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Господи слави і всіх Сотворителю,* ти явив у світі страстотерпців і мучеників,* прикрашених добрими ділами,* що приймають непереможну перемогу.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Взявши з дочасного війська,* показав тебе, страстотерп</w:t>
      </w:r>
      <w:r>
        <w:rPr>
          <w:rFonts w:ascii="Times New Roman" w:hAnsi="Times New Roman"/>
          <w:sz w:val="24"/>
        </w:rPr>
        <w:t>цю</w:t>
      </w:r>
      <w:r>
        <w:rPr>
          <w:rFonts w:ascii="Times New Roman" w:hAnsi="Times New Roman"/>
          <w:color w:val="000000"/>
          <w:sz w:val="24"/>
        </w:rPr>
        <w:t xml:space="preserve"> Мино,* нетлінним небесним спільником Христос Бог наш,*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кий є нетлінним вінцем для мучеників.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Православ’я наставнику, благочестя учителю*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Рівноангельське й подвижницьке життя твоє завершив подвигом страждання,* і оселився ти разом з ангелами, богоблаженний Теодоре.* З ними не переставай молитися до Христа Бога за всіх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мучеників Мини, Віктора й Вінкентія, святої мучениці Стефаніди, преподобного отця нашого й ісповідника Теодора Студійського,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