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hAnsi="Times New Roman"/>
          <w:sz w:val="24"/>
        </w:rPr>
        <w:t>монашому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hAnsi="Times New Roman"/>
          <w:sz w:val="24"/>
        </w:rPr>
        <w:t>монашому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hAnsi="Times New Roman"/>
          <w:sz w:val="24"/>
        </w:rPr>
        <w:t>монашому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Світильник світлий, явився ти,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 xml:space="preserve">Вогненним сяянням розп’ятого Христа в юності просвічений,* ангелам ти уподобився в </w:t>
      </w:r>
      <w:r>
        <w:rPr>
          <w:rFonts w:ascii="Times New Roman" w:hAnsi="Times New Roman"/>
          <w:sz w:val="24"/>
        </w:rPr>
        <w:t>монашому</w:t>
      </w:r>
      <w:r>
        <w:rPr>
          <w:rFonts w:ascii="Times New Roman" w:hAnsi="Times New Roman"/>
          <w:color w:val="000000"/>
          <w:sz w:val="24"/>
        </w:rPr>
        <w:t xml:space="preserve"> житті* і благочесно в святительстві ти пожив:* ясно проповідував ти з’єднання* та погасив розбратолюбних роздором розпалені серця* мученицькою твоєю кров’ю* і вінець від Христа прийняв ти.* Тому пом’яни нас, що кличемо до тебе:* Радуйся, непохитний стовпе з’єднання.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