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Амфілохія (г. 2): </w:t>
      </w:r>
      <w:r>
        <w:rPr>
          <w:rFonts w:ascii="Times New Roman" w:hAnsi="Times New Roman"/>
          <w:sz w:val="24"/>
        </w:rPr>
        <w:t>Божественний громе, сурмо Духа,* віри співзросителю і викорінювачу єресей,* ієрарше Амфілохію, Тройці угоднику великий,* із ангелами предстоячи завжди, молись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Амфілохія (г. 2): </w:t>
      </w:r>
      <w:r>
        <w:rPr>
          <w:rFonts w:ascii="Times New Roman" w:hAnsi="Times New Roman"/>
          <w:sz w:val="24"/>
        </w:rPr>
        <w:t>Божественний громе, сурмо Духа,* віри співзросителю і викорінювачу єресей,* ієрарше Амфілохію, Тройці угоднику великий,* із ангелами предстоячи завжди, молись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