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законного празника, всіх Творче і Владико,* до </w:t>
      </w:r>
      <w:r>
        <w:rPr>
          <w:rFonts w:ascii="Times New Roman" w:hAnsi="Times New Roman"/>
          <w:color w:val="333333"/>
          <w:sz w:val="24"/>
        </w:rPr>
        <w:t>предстоящих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глаголив</w:t>
      </w:r>
      <w:r>
        <w:rPr>
          <w:rFonts w:ascii="Times New Roman" w:hAnsi="Times New Roman"/>
          <w:color w:val="333333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законного празника, всіх Творче і Владико,* до </w:t>
      </w:r>
      <w:r>
        <w:rPr>
          <w:rFonts w:ascii="Times New Roman" w:hAnsi="Times New Roman"/>
          <w:color w:val="333333"/>
          <w:sz w:val="24"/>
        </w:rPr>
        <w:t>предстоящих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глаголив</w:t>
      </w:r>
      <w:r>
        <w:rPr>
          <w:rFonts w:ascii="Times New Roman" w:hAnsi="Times New Roman"/>
          <w:color w:val="333333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законного празника, всіх Творче і Владико,* до </w:t>
      </w:r>
      <w:r>
        <w:rPr>
          <w:rFonts w:ascii="Times New Roman" w:hAnsi="Times New Roman"/>
          <w:color w:val="333333"/>
          <w:sz w:val="24"/>
        </w:rPr>
        <w:t>предстоящих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глаголив</w:t>
      </w:r>
      <w:r>
        <w:rPr>
          <w:rFonts w:ascii="Times New Roman" w:hAnsi="Times New Roman"/>
          <w:color w:val="333333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В </w:t>
      </w:r>
      <w:r>
        <w:rPr>
          <w:rFonts w:ascii="Times New Roman" w:hAnsi="Times New Roman"/>
          <w:color w:val="333333"/>
          <w:sz w:val="24"/>
        </w:rPr>
        <w:t>переполовення</w:t>
      </w:r>
      <w:r>
        <w:rPr>
          <w:rFonts w:ascii="Times New Roman" w:hAnsi="Times New Roman"/>
          <w:color w:val="333333"/>
          <w:sz w:val="24"/>
        </w:rPr>
        <w:t xml:space="preserve"> законного празника, всіх Творче і Владико,* до </w:t>
      </w:r>
      <w:r>
        <w:rPr>
          <w:rFonts w:ascii="Times New Roman" w:hAnsi="Times New Roman"/>
          <w:color w:val="333333"/>
          <w:sz w:val="24"/>
        </w:rPr>
        <w:t>предстоящих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глаголив</w:t>
      </w:r>
      <w:r>
        <w:rPr>
          <w:rFonts w:ascii="Times New Roman" w:hAnsi="Times New Roman"/>
          <w:color w:val="333333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дев’ятьох мучеників, що в Кизиці, преподобного Мемнона, чудотворця,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