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color w:val="A28B6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Страсті Христові явно наслідуючи,* і його чашу усердно випивши,* спільником, </w:t>
      </w:r>
      <w:r>
        <w:rPr>
          <w:rFonts w:ascii="Times New Roman" w:hAnsi="Times New Roman"/>
          <w:sz w:val="24"/>
        </w:rPr>
        <w:t>Євстатію</w:t>
      </w:r>
      <w:r>
        <w:rPr>
          <w:rFonts w:ascii="Times New Roman" w:hAnsi="Times New Roman"/>
          <w:sz w:val="24"/>
        </w:rPr>
        <w:t>, і слави Його наслідником став єси,* від самого всіх Бога приймаючи з висоти божественне відпущення.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color w:val="A28B6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Страсті Христові явно наслідуючи,* і його чашу усердно випивши,* спільником, </w:t>
      </w:r>
      <w:r>
        <w:rPr>
          <w:rFonts w:ascii="Times New Roman" w:hAnsi="Times New Roman"/>
          <w:sz w:val="24"/>
        </w:rPr>
        <w:t>Євстатію</w:t>
      </w:r>
      <w:r>
        <w:rPr>
          <w:rFonts w:ascii="Times New Roman" w:hAnsi="Times New Roman"/>
          <w:sz w:val="24"/>
        </w:rPr>
        <w:t>, і слави Його наслідником став єси,* від самого всіх Бога приймаючи з висоти божественне відпущення.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