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</w:t>
      </w:r>
      <w:r>
        <w:rPr>
          <w:rFonts w:ascii="Times New Roman" w:hAnsi="Times New Roman"/>
          <w:sz w:val="24"/>
        </w:rPr>
        <w:t xml:space="preserve">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Дівицтва водами очищена, преподобна,* кров’ю мучеництва увінчана, Анастасіє</w:t>
      </w:r>
      <w:r>
        <w:rPr>
          <w:rFonts w:ascii="Times New Roman" w:hAnsi="Times New Roman"/>
          <w:sz w:val="24"/>
        </w:rPr>
        <w:t>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</w:t>
      </w:r>
      <w:r>
        <w:rPr>
          <w:rFonts w:ascii="Times New Roman" w:hAnsi="Times New Roman"/>
          <w:i/>
          <w:color w:val="FF0000"/>
          <w:sz w:val="24"/>
        </w:rPr>
        <w:t xml:space="preserve">к (г. 3): </w:t>
      </w:r>
      <w:r>
        <w:rPr>
          <w:rFonts w:ascii="Times New Roman" w:hAnsi="Times New Roman"/>
          <w:sz w:val="24"/>
        </w:rPr>
        <w:t>У плоті як ангел на землі явився ти,* і постячи, був ти як дерево насаджене,* що добре виросло, напоєне водою стриманості,* і потоками сліз твоїх скверну омив.* Тому став ти божественним вмістилищем Духа, Аврамію.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