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 xml:space="preserve">Знав ти божественні таємниці, мудрий,* і був приємною жертвою Богові, богоблаженний.* Бо Христову випив чашу славно,* святий Акепсимо зі співстраждальцями твоїми,* молячись неустанно за всіх нас. 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Як визволитель полонених і бідних захисник,* хворих лікар, поборник царів,* переможцю великомученику Юрію,* моли Христа Бога,* щоб спаслися душі наші. 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 вибраного і швидкого твого заступництва прибігши, вірні,* молимо позбавитися спокус ворожих* та всяких бід і скорбот,* страстотерп</w:t>
      </w:r>
      <w:r>
        <w:rPr>
          <w:rFonts w:ascii="Times New Roman" w:hAnsi="Times New Roman"/>
          <w:sz w:val="24"/>
        </w:rPr>
        <w:t xml:space="preserve">цю </w:t>
      </w:r>
      <w:r>
        <w:rPr>
          <w:rFonts w:ascii="Times New Roman" w:hAnsi="Times New Roman"/>
          <w:color w:val="000000"/>
          <w:sz w:val="24"/>
        </w:rPr>
        <w:t>Христовий,* ми, що оспівуємо і викликуємо:* Радуйся, мученику Юрію.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