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Мучеників двій</w:t>
      </w:r>
      <w:r>
        <w:rPr>
          <w:rFonts w:ascii="Times New Roman" w:hAnsi="Times New Roman"/>
          <w:sz w:val="24"/>
        </w:rPr>
        <w:t>ко,</w:t>
      </w:r>
      <w:r>
        <w:rPr>
          <w:rFonts w:ascii="Times New Roman" w:hAnsi="Times New Roman"/>
          <w:color w:val="000000"/>
          <w:sz w:val="24"/>
        </w:rPr>
        <w:t xml:space="preserve"> сильно постраждавши,* ворожу гординю на землю покла</w:t>
      </w:r>
      <w:r>
        <w:rPr>
          <w:rFonts w:ascii="Times New Roman" w:hAnsi="Times New Roman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>,* просвітившись благодаттю несотвореної Тройці,* славний Онисифоре й Порфирію, моліться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Мучеників двій</w:t>
      </w:r>
      <w:r>
        <w:rPr>
          <w:rFonts w:ascii="Times New Roman" w:hAnsi="Times New Roman"/>
          <w:sz w:val="24"/>
        </w:rPr>
        <w:t>ко,</w:t>
      </w:r>
      <w:r>
        <w:rPr>
          <w:rFonts w:ascii="Times New Roman" w:hAnsi="Times New Roman"/>
          <w:color w:val="000000"/>
          <w:sz w:val="24"/>
        </w:rPr>
        <w:t xml:space="preserve"> сильно постраждавши,* ворожу гординю на землю покла</w:t>
      </w:r>
      <w:r>
        <w:rPr>
          <w:rFonts w:ascii="Times New Roman" w:hAnsi="Times New Roman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>,* просвітившись благодаттю несотвореної Тройці,* славний Онисифоре й Порфирію, моліться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