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 висоти благодать зціляти хвороби і всякі немочі.* Її молитвами, Христе Боже,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 Тройці благочесно прославлюваного Бога ти наслідувала, мученице,* і ослабила ідольські капища,* а посеред подвигу мучена, Варваро,* мучителів погроз не убоялася,* і дорівнялась в мудрост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мужам,* та голосно завжди кликала:* Тройцю почитаю, єдине Божество.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ascii="Times New Roman" w:hAnsi="Times New Roman"/>
          <w:sz w:val="24"/>
        </w:rPr>
        <w:t xml:space="preserve">Йоане </w:t>
      </w:r>
      <w:r>
        <w:rPr>
          <w:rFonts w:ascii="Times New Roman" w:hAnsi="Times New Roman"/>
          <w:color w:val="000000"/>
          <w:sz w:val="24"/>
        </w:rPr>
        <w:t>премудрий,* ученнями твоїми все просвітив ти, сопілко духовна,* моли Христа Бога, щоб спас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Піснетворця і чесного проповідника Божого слова,* учителя Церкви і поборника ворогів, прославмо Йоана:* бо він взяв зброю, хрест Господній, і відбив всю хитрість єресей* і як теплий заступник перед Богом, усім подає гріхів прощення.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