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Анастасії,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2): </w:t>
      </w:r>
      <w:r>
        <w:rPr>
          <w:rFonts w:ascii="Times New Roman" w:hAnsi="Times New Roman"/>
          <w:sz w:val="24"/>
          <w:highlight w:val="white"/>
        </w:rPr>
        <w:t>У спокусах і скорботах перебуваючі,* прибігаючи до храму твого,* цінні дари отримують від божественної благодаті, яка у тобі живе,* Анастасіє, бо ти завжди світові виливаєш зцілення.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Анастасії,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Анастасії,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2): </w:t>
      </w:r>
      <w:r>
        <w:rPr>
          <w:rFonts w:ascii="Times New Roman" w:hAnsi="Times New Roman"/>
          <w:sz w:val="24"/>
          <w:highlight w:val="white"/>
        </w:rPr>
        <w:t>У спокусах і скорботах перебуваючі,* прибігаючи до храму твого,* цінні дари отримують від божественної благодаті, яка у тобі живе,* Анастасіє, бо ти завжди світові виливаєш зцілення.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Анастасії,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