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і чудотворця Тихона Аматунтського 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Перебувавши у </w:t>
      </w:r>
      <w:r>
        <w:rPr>
          <w:rFonts w:ascii="Times New Roman" w:hAnsi="Times New Roman"/>
          <w:sz w:val="24"/>
        </w:rPr>
        <w:t>богоугодному</w:t>
      </w:r>
      <w:r>
        <w:rPr>
          <w:rFonts w:ascii="Times New Roman" w:hAnsi="Times New Roman"/>
          <w:color w:val="000000"/>
          <w:sz w:val="24"/>
        </w:rPr>
        <w:t xml:space="preserve"> пості,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вятий,* прийняв ти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илу Утішителя з висоти,* щоб подолати ідолів оману,* людей спасти, демонів відігнати, недуги зціляти.* Тому й вшановуємо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як Божого друга, Тихоне блаженний.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і чудотворця Тихона Аматунтського 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і чудотворця Тихона Аматунтського 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Перебувавши у </w:t>
      </w:r>
      <w:r>
        <w:rPr>
          <w:rFonts w:ascii="Times New Roman" w:hAnsi="Times New Roman"/>
          <w:sz w:val="24"/>
        </w:rPr>
        <w:t>богоугодному</w:t>
      </w:r>
      <w:r>
        <w:rPr>
          <w:rFonts w:ascii="Times New Roman" w:hAnsi="Times New Roman"/>
          <w:color w:val="000000"/>
          <w:sz w:val="24"/>
        </w:rPr>
        <w:t xml:space="preserve"> пості,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вятий,* прийняв ти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илу Утішителя з висоти,* щоб подолати ідолів оману,* людей спасти, демонів відігнати, недуги зціляти.* Тому й вшановуємо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як Божого друга, Тихоне блаженний.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і чудотворця Тихона Аматунтського 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