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Вірою Христовою уражені,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себлаженні, і вірно її чашу </w:t>
      </w:r>
      <w:r>
        <w:rPr>
          <w:rFonts w:ascii="Times New Roman" w:hAnsi="Times New Roman"/>
          <w:sz w:val="24"/>
        </w:rPr>
        <w:t>випивши</w:t>
      </w:r>
      <w:r>
        <w:rPr>
          <w:rFonts w:ascii="Times New Roman" w:hAnsi="Times New Roman"/>
          <w:color w:val="000000"/>
          <w:sz w:val="24"/>
        </w:rPr>
        <w:t>,* перські служіння і нахабство зруйнували, рівночисленні Тройці,* і мо́литеся за всіх нас.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Вірою Христовою уражені,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себлаженні, і вірно її чашу </w:t>
      </w:r>
      <w:r>
        <w:rPr>
          <w:rFonts w:ascii="Times New Roman" w:hAnsi="Times New Roman"/>
          <w:sz w:val="24"/>
        </w:rPr>
        <w:t>випивши</w:t>
      </w:r>
      <w:r>
        <w:rPr>
          <w:rFonts w:ascii="Times New Roman" w:hAnsi="Times New Roman"/>
          <w:color w:val="000000"/>
          <w:sz w:val="24"/>
        </w:rPr>
        <w:t>,* перські служіння і нахабство зруйнували, рівночисленні Тройці,* і мо́литеся за всіх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