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Агатоніка і тих, що з ним, блаженного священномученика Симеона Лукача,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</w:t>
      </w:r>
      <w:r>
        <w:rPr>
          <w:rFonts w:ascii="Times New Roman" w:hAnsi="Times New Roman"/>
          <w:sz w:val="24"/>
        </w:rPr>
        <w:t>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</w:t>
      </w:r>
      <w:r>
        <w:rPr>
          <w:rFonts w:ascii="Times New Roman" w:hAnsi="Times New Roman"/>
          <w:sz w:val="24"/>
        </w:rPr>
        <w:t xml:space="preserve">тойні.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Агатоніка і тих, що з ним, блаженного священномученика Симеона Лукача,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Агатоніка і тих, що з ним, блаженного священномученика Симеона Лукача,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</w:t>
      </w:r>
      <w:r>
        <w:rPr>
          <w:rFonts w:ascii="Times New Roman" w:hAnsi="Times New Roman"/>
          <w:sz w:val="24"/>
        </w:rPr>
        <w:t>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</w:t>
      </w:r>
      <w:r>
        <w:rPr>
          <w:rFonts w:ascii="Times New Roman" w:hAnsi="Times New Roman"/>
          <w:sz w:val="24"/>
        </w:rPr>
        <w:t xml:space="preserve">тойні.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Агатоніка і тих, що з ним, блаженного священномученика Симеона Лукача,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