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Вартоломея (г. 4): </w:t>
      </w:r>
      <w:r>
        <w:rPr>
          <w:rFonts w:ascii="Times New Roman" w:hAnsi="Times New Roman"/>
          <w:sz w:val="24"/>
        </w:rPr>
        <w:t xml:space="preserve">Ти явився сонцем Церкви,* </w:t>
      </w:r>
      <w:r>
        <w:rPr>
          <w:rFonts w:ascii="Times New Roman" w:hAnsi="Times New Roman"/>
          <w:sz w:val="24"/>
        </w:rPr>
        <w:t>яке просвічує світлістю науки та страшними чудами тих,* які тебе прославляють, Вартоломею, Господній апостоле.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Тита (г. 2): </w:t>
      </w:r>
      <w:r>
        <w:rPr>
          <w:rFonts w:ascii="Times New Roman" w:hAnsi="Times New Roman"/>
          <w:sz w:val="24"/>
        </w:rPr>
        <w:t>Приятелем Павла явився єси, апостоле,* з ним проголосив ти нам слово Божественної благодаті,* проповіднику тайн, Тите всепам’</w:t>
      </w:r>
      <w:r>
        <w:rPr>
          <w:rFonts w:ascii="Times New Roman" w:hAnsi="Times New Roman"/>
          <w:sz w:val="24"/>
        </w:rPr>
        <w:t>ятний,* тому й кличемо: не переставай молитися за нас усіх.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