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Непереможною твердинею для нас* − чесний хрест Спаса,* бо уповаючи на нього,* всі спасаємось.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Небесних хорів</w:t>
      </w:r>
      <w:r>
        <w:rPr>
          <w:rFonts w:ascii="Times New Roman" w:hAnsi="Times New Roman"/>
          <w:color w:val="FF0000"/>
          <w:sz w:val="24"/>
        </w:rPr>
        <w:t>)</w:t>
      </w:r>
      <w:r>
        <w:rPr>
          <w:rFonts w:ascii="Times New Roman" w:hAnsi="Times New Roman"/>
          <w:sz w:val="24"/>
        </w:rPr>
        <w:t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Дереву хреста твого поклоняємось, Чоловіколюбче,*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Діва, що несказанно породила Слово-Чоловіколюбця,*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1): </w:t>
      </w:r>
      <w:r>
        <w:rPr>
          <w:rFonts w:ascii="Times New Roman" w:hAnsi="Times New Roman"/>
          <w:sz w:val="24"/>
        </w:rPr>
        <w:t>Тебе, що на хресті тілом розп'явся* і життя нам подав,* невпинно оспівуємо, як Спаса і Владику.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хрестом, Христе,* створилось одне стадо ангелів і людей,* і в одному зборі веселиться небо і земля, кличучи:*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