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Єрмила і Стратоніка,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color w:val="000000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>
        <w:rPr>
          <w:rFonts w:ascii="Times New Roman" w:hAnsi="Times New Roman"/>
          <w:color w:val="000000"/>
          <w:sz w:val="24"/>
          <w:highlight w:val="white"/>
        </w:rPr>
        <w:tab/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У водах блаженний кінець разом прийняли ви, мудрі,* в них Веліара зануривши благодаттю Бога нашого,* </w:t>
      </w:r>
      <w:r>
        <w:rPr>
          <w:rFonts w:ascii="Times New Roman" w:hAnsi="Times New Roman"/>
          <w:sz w:val="24"/>
          <w:highlight w:val="white"/>
        </w:rPr>
        <w:t>м</w:t>
      </w:r>
      <w:r>
        <w:rPr>
          <w:rFonts w:ascii="Times New Roman" w:hAnsi="Times New Roman"/>
          <w:color w:val="000000"/>
          <w:sz w:val="24"/>
          <w:highlight w:val="white"/>
        </w:rPr>
        <w:t>ученики, тому вінці, як побідоносні, прийнявши,* радуєтеся з ангельськими ликами, з якими і нас поминайте.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Єрмила і Стратоніка,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Єрмила і Стратоніка,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color w:val="000000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>
        <w:rPr>
          <w:rFonts w:ascii="Times New Roman" w:hAnsi="Times New Roman"/>
          <w:color w:val="000000"/>
          <w:sz w:val="24"/>
          <w:highlight w:val="white"/>
        </w:rPr>
        <w:tab/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У водах блаженний кінець разом прийняли ви, мудрі,* в них Веліара зануривши благодаттю Бога нашого,* </w:t>
      </w:r>
      <w:r>
        <w:rPr>
          <w:rFonts w:ascii="Times New Roman" w:hAnsi="Times New Roman"/>
          <w:sz w:val="24"/>
          <w:highlight w:val="white"/>
        </w:rPr>
        <w:t>м</w:t>
      </w:r>
      <w:r>
        <w:rPr>
          <w:rFonts w:ascii="Times New Roman" w:hAnsi="Times New Roman"/>
          <w:color w:val="000000"/>
          <w:sz w:val="24"/>
          <w:highlight w:val="white"/>
        </w:rPr>
        <w:t>ученики, тому вінці, як побідоносні, прийнявши,* радуєтеся з ангельськими ликами, з якими і нас поминайте.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Єрмила і Стратоніка,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