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2D7" w:rsidRPr="001C11BA" w:rsidRDefault="009842D7" w:rsidP="009842D7">
      <w:pPr>
        <w:shd w:val="clear" w:color="auto" w:fill="FFFFFF"/>
        <w:spacing w:after="0" w:line="384" w:lineRule="atLeast"/>
        <w:textAlignment w:val="baseline"/>
        <w:rPr>
          <w:rFonts w:ascii="Helvetica" w:eastAsia="Times New Roman" w:hAnsi="Helvetica" w:cs="Helvetica"/>
          <w:b/>
          <w:bCs/>
          <w:sz w:val="28"/>
          <w:szCs w:val="28"/>
          <w:lang w:eastAsia="nl-NL"/>
        </w:rPr>
      </w:pPr>
      <w:r w:rsidRPr="001C11BA">
        <w:rPr>
          <w:rFonts w:ascii="Helvetica" w:eastAsia="Times New Roman" w:hAnsi="Helvetica" w:cs="Helvetica"/>
          <w:b/>
          <w:bCs/>
          <w:sz w:val="28"/>
          <w:szCs w:val="28"/>
          <w:lang w:eastAsia="nl-NL"/>
        </w:rPr>
        <w:t>Hoofdstuk 1 en 2</w:t>
      </w:r>
    </w:p>
    <w:p w:rsidR="009842D7" w:rsidRPr="001C11BA" w:rsidRDefault="009842D7" w:rsidP="009842D7">
      <w:pPr>
        <w:shd w:val="clear" w:color="auto" w:fill="FFFFFF"/>
        <w:spacing w:after="0" w:line="384" w:lineRule="atLeast"/>
        <w:textAlignment w:val="baseline"/>
        <w:rPr>
          <w:rFonts w:ascii="inherit" w:eastAsia="Times New Roman" w:hAnsi="inherit" w:cs="Helvetica"/>
          <w:b/>
          <w:bCs/>
          <w:sz w:val="20"/>
          <w:lang w:eastAsia="nl-NL"/>
        </w:rPr>
      </w:pPr>
    </w:p>
    <w:p w:rsidR="009842D7" w:rsidRPr="009842D7" w:rsidRDefault="009842D7" w:rsidP="009842D7">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Omzet, afzet en prijs</w:t>
      </w:r>
      <w:r w:rsidRPr="009842D7">
        <w:rPr>
          <w:rFonts w:ascii="Helvetica" w:eastAsia="Times New Roman" w:hAnsi="Helvetica" w:cs="Helvetica"/>
          <w:b/>
          <w:bCs/>
          <w:sz w:val="20"/>
          <w:szCs w:val="20"/>
          <w:bdr w:val="none" w:sz="0" w:space="0" w:color="auto" w:frame="1"/>
          <w:lang w:eastAsia="nl-NL"/>
        </w:rPr>
        <w:br/>
      </w:r>
      <w:r w:rsidRPr="009842D7">
        <w:rPr>
          <w:rFonts w:ascii="Helvetica" w:eastAsia="Times New Roman" w:hAnsi="Helvetica" w:cs="Helvetica"/>
          <w:sz w:val="20"/>
          <w:szCs w:val="20"/>
          <w:lang w:eastAsia="nl-NL"/>
        </w:rPr>
        <w:t>Omzet = afzet × prijs</w:t>
      </w:r>
    </w:p>
    <w:tbl>
      <w:tblPr>
        <w:tblW w:w="0" w:type="auto"/>
        <w:tblCellSpacing w:w="0" w:type="dxa"/>
        <w:shd w:val="clear" w:color="auto" w:fill="FFFFFF"/>
        <w:tblCellMar>
          <w:left w:w="0" w:type="dxa"/>
          <w:right w:w="0" w:type="dxa"/>
        </w:tblCellMar>
        <w:tblLook w:val="04A0"/>
      </w:tblPr>
      <w:tblGrid>
        <w:gridCol w:w="1684"/>
        <w:gridCol w:w="2879"/>
      </w:tblGrid>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Indexcijfer afzet x prijsindexcijfer</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Indexcijfer omzet =</w:t>
            </w: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100</w:t>
            </w:r>
          </w:p>
        </w:tc>
      </w:tr>
    </w:tbl>
    <w:p w:rsidR="009842D7" w:rsidRPr="001C11BA"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 </w:t>
      </w:r>
    </w:p>
    <w:p w:rsidR="009842D7" w:rsidRPr="009842D7"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Verschuiving over of langs de vraaglijn</w:t>
      </w:r>
    </w:p>
    <w:p w:rsidR="009842D7" w:rsidRPr="009842D7"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 xml:space="preserve">Een (collectieve) vraaglijn geeft het verband weer tussen de prijs van een product en de vraag naar dat product. Dit op voorwaarde dat alle andere factoren die van invloed zijn op de vraag naar het product zoals het inkomen, de prijs van andere producten, de voorkeur, etc. niet veranderen. De veronderstelling dat de andere factoren die de vraag beïnvloeden constant blijven, noemen we de </w:t>
      </w:r>
      <w:proofErr w:type="spellStart"/>
      <w:r w:rsidRPr="009842D7">
        <w:rPr>
          <w:rFonts w:ascii="Helvetica" w:eastAsia="Times New Roman" w:hAnsi="Helvetica" w:cs="Helvetica"/>
          <w:sz w:val="20"/>
          <w:szCs w:val="20"/>
          <w:lang w:eastAsia="nl-NL"/>
        </w:rPr>
        <w:t>ceteris</w:t>
      </w:r>
      <w:proofErr w:type="spellEnd"/>
      <w:r w:rsidRPr="009842D7">
        <w:rPr>
          <w:rFonts w:ascii="Helvetica" w:eastAsia="Times New Roman" w:hAnsi="Helvetica" w:cs="Helvetica"/>
          <w:sz w:val="20"/>
          <w:szCs w:val="20"/>
          <w:lang w:eastAsia="nl-NL"/>
        </w:rPr>
        <w:t xml:space="preserve"> paribus voorwaarde.</w:t>
      </w:r>
      <w:r w:rsidRPr="009842D7">
        <w:rPr>
          <w:rFonts w:ascii="Helvetica" w:eastAsia="Times New Roman" w:hAnsi="Helvetica" w:cs="Helvetica"/>
          <w:sz w:val="20"/>
          <w:szCs w:val="20"/>
          <w:lang w:eastAsia="nl-NL"/>
        </w:rPr>
        <w:br/>
        <w:t>Als de prijs van een product verandert, verandert de vraaglijn niet. Er vindt dan een verschuiving plaats over (langs) de vraaglijn. Er is daarbij sprake van een negatief verband. Als de prijs stijgt, daalt de vraag en als de prijs daalt, stijgt de vraag.</w:t>
      </w:r>
    </w:p>
    <w:p w:rsidR="009842D7" w:rsidRPr="009842D7" w:rsidRDefault="009842D7" w:rsidP="009842D7">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Verschuiving van de vraaglijn</w:t>
      </w:r>
    </w:p>
    <w:p w:rsidR="009842D7" w:rsidRPr="009842D7"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Als de voorkeur naar een bepaald product toeneemt, als het inkomen stijgt, als de prijzen van andere producten (substituten) stijgen, verschuift de (collectieve) vraaglijn van dat product naar rechts</w:t>
      </w:r>
      <w:r w:rsidRPr="009842D7">
        <w:rPr>
          <w:rFonts w:ascii="Helvetica" w:eastAsia="Times New Roman" w:hAnsi="Helvetica" w:cs="Helvetica"/>
          <w:sz w:val="20"/>
          <w:szCs w:val="20"/>
          <w:lang w:eastAsia="nl-NL"/>
        </w:rPr>
        <w:br/>
        <w:t>Als de voorkeur naar een bepaald product afneemt, als het inkomen daalt, als de prijzen van andere producten (substituten) dalen, verschuift de (collectieve) vraaglijn van dat product naar links.</w:t>
      </w:r>
    </w:p>
    <w:p w:rsidR="009842D7" w:rsidRPr="009842D7"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Prijselasticiteit van de vraag</w:t>
      </w:r>
      <w:r w:rsidRPr="009842D7">
        <w:rPr>
          <w:rFonts w:ascii="Helvetica" w:eastAsia="Times New Roman" w:hAnsi="Helvetica" w:cs="Helvetica"/>
          <w:b/>
          <w:bCs/>
          <w:sz w:val="20"/>
          <w:szCs w:val="20"/>
          <w:bdr w:val="none" w:sz="0" w:space="0" w:color="auto" w:frame="1"/>
          <w:lang w:eastAsia="nl-NL"/>
        </w:rPr>
        <w:br/>
      </w:r>
      <w:r w:rsidRPr="009842D7">
        <w:rPr>
          <w:rFonts w:ascii="Helvetica" w:eastAsia="Times New Roman" w:hAnsi="Helvetica" w:cs="Helvetica"/>
          <w:sz w:val="20"/>
          <w:szCs w:val="20"/>
          <w:lang w:eastAsia="nl-NL"/>
        </w:rPr>
        <w:t>Hoe sterk reageert de vraag op een verandering van de prijs?</w:t>
      </w:r>
      <w:r w:rsidRPr="009842D7">
        <w:rPr>
          <w:rFonts w:ascii="Helvetica" w:eastAsia="Times New Roman" w:hAnsi="Helvetica" w:cs="Helvetica"/>
          <w:sz w:val="20"/>
          <w:szCs w:val="20"/>
          <w:lang w:eastAsia="nl-NL"/>
        </w:rPr>
        <w:br/>
        <w:t xml:space="preserve">Indien de procentuele afname van de vraag groter is dan de procentuele stijging van de prijs is de vraag prijsgevoelig of prijselastisch. Als de procentuele afname van de vraag kleiner is dan de procentuele stijging van de prijs, is de vraag prijsongevoelig of </w:t>
      </w:r>
      <w:proofErr w:type="spellStart"/>
      <w:r w:rsidRPr="009842D7">
        <w:rPr>
          <w:rFonts w:ascii="Helvetica" w:eastAsia="Times New Roman" w:hAnsi="Helvetica" w:cs="Helvetica"/>
          <w:sz w:val="20"/>
          <w:szCs w:val="20"/>
          <w:lang w:eastAsia="nl-NL"/>
        </w:rPr>
        <w:t>prijsinelastisch</w:t>
      </w:r>
      <w:proofErr w:type="spellEnd"/>
      <w:r w:rsidRPr="009842D7">
        <w:rPr>
          <w:rFonts w:ascii="Helvetica" w:eastAsia="Times New Roman" w:hAnsi="Helvetica" w:cs="Helvetica"/>
          <w:sz w:val="20"/>
          <w:szCs w:val="20"/>
          <w:lang w:eastAsia="nl-NL"/>
        </w:rPr>
        <w:t>.</w:t>
      </w:r>
      <w:r w:rsidRPr="009842D7">
        <w:rPr>
          <w:rFonts w:ascii="Helvetica" w:eastAsia="Times New Roman" w:hAnsi="Helvetica" w:cs="Helvetica"/>
          <w:sz w:val="20"/>
          <w:szCs w:val="20"/>
          <w:lang w:eastAsia="nl-NL"/>
        </w:rPr>
        <w:br/>
      </w:r>
      <w:proofErr w:type="spellStart"/>
      <w:r w:rsidRPr="009842D7">
        <w:rPr>
          <w:rFonts w:ascii="Helvetica" w:eastAsia="Times New Roman" w:hAnsi="Helvetica" w:cs="Helvetica"/>
          <w:sz w:val="20"/>
          <w:szCs w:val="20"/>
          <w:lang w:eastAsia="nl-NL"/>
        </w:rPr>
        <w:t>Ev</w:t>
      </w:r>
      <w:proofErr w:type="spellEnd"/>
      <w:r w:rsidRPr="009842D7">
        <w:rPr>
          <w:rFonts w:ascii="Helvetica" w:eastAsia="Times New Roman" w:hAnsi="Helvetica" w:cs="Helvetica"/>
          <w:sz w:val="20"/>
          <w:szCs w:val="20"/>
          <w:lang w:eastAsia="nl-NL"/>
        </w:rPr>
        <w:t xml:space="preserve"> = prijselasticiteit van de vraag.</w:t>
      </w:r>
    </w:p>
    <w:tbl>
      <w:tblPr>
        <w:tblW w:w="0" w:type="auto"/>
        <w:tblCellSpacing w:w="0" w:type="dxa"/>
        <w:shd w:val="clear" w:color="auto" w:fill="FFFFFF"/>
        <w:tblCellMar>
          <w:left w:w="0" w:type="dxa"/>
          <w:right w:w="0" w:type="dxa"/>
        </w:tblCellMar>
        <w:tblLook w:val="04A0"/>
      </w:tblPr>
      <w:tblGrid>
        <w:gridCol w:w="406"/>
        <w:gridCol w:w="5748"/>
      </w:tblGrid>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Procentuele verandering van de gevraagde hoeveelheid (gevolg)</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roofErr w:type="spellStart"/>
            <w:r w:rsidRPr="009842D7">
              <w:rPr>
                <w:rFonts w:ascii="Helvetica" w:eastAsia="Times New Roman" w:hAnsi="Helvetica" w:cs="Helvetica"/>
                <w:sz w:val="20"/>
                <w:szCs w:val="20"/>
                <w:lang w:eastAsia="nl-NL"/>
              </w:rPr>
              <w:t>Ev</w:t>
            </w:r>
            <w:proofErr w:type="spellEnd"/>
            <w:r w:rsidRPr="009842D7">
              <w:rPr>
                <w:rFonts w:ascii="Helvetica" w:eastAsia="Times New Roman" w:hAnsi="Helvetica" w:cs="Helvetica"/>
                <w:sz w:val="20"/>
                <w:szCs w:val="20"/>
                <w:lang w:eastAsia="nl-NL"/>
              </w:rPr>
              <w:t xml:space="preserve"> =</w:t>
            </w: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Procentuele verandering van de prijs (oorzaak)</w:t>
            </w:r>
          </w:p>
        </w:tc>
      </w:tr>
    </w:tbl>
    <w:p w:rsidR="009842D7" w:rsidRPr="009842D7"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 </w:t>
      </w:r>
    </w:p>
    <w:p w:rsidR="009842D7" w:rsidRPr="009842D7"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 xml:space="preserve">De uitkomst is negatief omdat een stijging van de prijs leidt tot een daling van de vraag </w:t>
      </w:r>
      <w:proofErr w:type="spellStart"/>
      <w:r w:rsidRPr="009842D7">
        <w:rPr>
          <w:rFonts w:ascii="Helvetica" w:eastAsia="Times New Roman" w:hAnsi="Helvetica" w:cs="Helvetica"/>
          <w:sz w:val="20"/>
          <w:szCs w:val="20"/>
          <w:lang w:eastAsia="nl-NL"/>
        </w:rPr>
        <w:t>eeen</w:t>
      </w:r>
      <w:proofErr w:type="spellEnd"/>
      <w:r w:rsidRPr="009842D7">
        <w:rPr>
          <w:rFonts w:ascii="Helvetica" w:eastAsia="Times New Roman" w:hAnsi="Helvetica" w:cs="Helvetica"/>
          <w:sz w:val="20"/>
          <w:szCs w:val="20"/>
          <w:lang w:eastAsia="nl-NL"/>
        </w:rPr>
        <w:t xml:space="preserve"> daling van de prijs leidt tot een stijging van de vraag (met uitzondering van statusgoederen).</w:t>
      </w:r>
    </w:p>
    <w:tbl>
      <w:tblPr>
        <w:tblW w:w="0" w:type="auto"/>
        <w:tblCellSpacing w:w="0" w:type="dxa"/>
        <w:shd w:val="clear" w:color="auto" w:fill="FFFFFF"/>
        <w:tblCellMar>
          <w:left w:w="0" w:type="dxa"/>
          <w:right w:w="0" w:type="dxa"/>
        </w:tblCellMar>
        <w:tblLook w:val="04A0"/>
      </w:tblPr>
      <w:tblGrid>
        <w:gridCol w:w="923"/>
        <w:gridCol w:w="6036"/>
      </w:tblGrid>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lastRenderedPageBreak/>
              <w:t xml:space="preserve">-1&lt; </w:t>
            </w:r>
            <w:proofErr w:type="spellStart"/>
            <w:r w:rsidRPr="009842D7">
              <w:rPr>
                <w:rFonts w:ascii="Helvetica" w:eastAsia="Times New Roman" w:hAnsi="Helvetica" w:cs="Helvetica"/>
                <w:sz w:val="20"/>
                <w:szCs w:val="20"/>
                <w:lang w:eastAsia="nl-NL"/>
              </w:rPr>
              <w:t>Ev</w:t>
            </w:r>
            <w:proofErr w:type="spellEnd"/>
            <w:r w:rsidRPr="009842D7">
              <w:rPr>
                <w:rFonts w:ascii="Helvetica" w:eastAsia="Times New Roman" w:hAnsi="Helvetica" w:cs="Helvetica"/>
                <w:sz w:val="20"/>
                <w:szCs w:val="20"/>
                <w:lang w:eastAsia="nl-NL"/>
              </w:rPr>
              <w:t xml:space="preserve"> &lt; 0</w:t>
            </w: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roofErr w:type="spellStart"/>
            <w:r w:rsidRPr="009842D7">
              <w:rPr>
                <w:rFonts w:ascii="Helvetica" w:eastAsia="Times New Roman" w:hAnsi="Helvetica" w:cs="Helvetica"/>
                <w:sz w:val="20"/>
                <w:szCs w:val="20"/>
                <w:lang w:eastAsia="nl-NL"/>
              </w:rPr>
              <w:t>inelastische</w:t>
            </w:r>
            <w:proofErr w:type="spellEnd"/>
            <w:r w:rsidRPr="009842D7">
              <w:rPr>
                <w:rFonts w:ascii="Helvetica" w:eastAsia="Times New Roman" w:hAnsi="Helvetica" w:cs="Helvetica"/>
                <w:sz w:val="20"/>
                <w:szCs w:val="20"/>
                <w:lang w:eastAsia="nl-NL"/>
              </w:rPr>
              <w:t xml:space="preserve"> vraag</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roofErr w:type="spellStart"/>
            <w:r w:rsidRPr="009842D7">
              <w:rPr>
                <w:rFonts w:ascii="Helvetica" w:eastAsia="Times New Roman" w:hAnsi="Helvetica" w:cs="Helvetica"/>
                <w:sz w:val="20"/>
                <w:szCs w:val="20"/>
                <w:lang w:eastAsia="nl-NL"/>
              </w:rPr>
              <w:t>Ev</w:t>
            </w:r>
            <w:proofErr w:type="spellEnd"/>
            <w:r w:rsidRPr="009842D7">
              <w:rPr>
                <w:rFonts w:ascii="Helvetica" w:eastAsia="Times New Roman" w:hAnsi="Helvetica" w:cs="Helvetica"/>
                <w:sz w:val="20"/>
                <w:szCs w:val="20"/>
                <w:lang w:eastAsia="nl-NL"/>
              </w:rPr>
              <w:t xml:space="preserve"> = 0</w:t>
            </w: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de vraag reageert helemaal niet op een prijsverandering: medicijnen</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roofErr w:type="spellStart"/>
            <w:r w:rsidRPr="009842D7">
              <w:rPr>
                <w:rFonts w:ascii="Helvetica" w:eastAsia="Times New Roman" w:hAnsi="Helvetica" w:cs="Helvetica"/>
                <w:sz w:val="20"/>
                <w:szCs w:val="20"/>
                <w:lang w:eastAsia="nl-NL"/>
              </w:rPr>
              <w:t>Ev</w:t>
            </w:r>
            <w:proofErr w:type="spellEnd"/>
            <w:r w:rsidRPr="009842D7">
              <w:rPr>
                <w:rFonts w:ascii="Helvetica" w:eastAsia="Times New Roman" w:hAnsi="Helvetica" w:cs="Helvetica"/>
                <w:sz w:val="20"/>
                <w:szCs w:val="20"/>
                <w:lang w:eastAsia="nl-NL"/>
              </w:rPr>
              <w:t xml:space="preserve"> ? -1</w:t>
            </w: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elastische vraag</w:t>
            </w:r>
          </w:p>
        </w:tc>
      </w:tr>
    </w:tbl>
    <w:p w:rsidR="009842D7" w:rsidRPr="001C11BA" w:rsidRDefault="009842D7" w:rsidP="009842D7">
      <w:pPr>
        <w:shd w:val="clear" w:color="auto" w:fill="FFFFFF"/>
        <w:spacing w:after="0" w:line="384" w:lineRule="atLeast"/>
        <w:textAlignment w:val="baseline"/>
        <w:rPr>
          <w:rFonts w:ascii="Helvetica" w:eastAsia="Times New Roman" w:hAnsi="Helvetica" w:cs="Helvetica"/>
          <w:b/>
          <w:bCs/>
          <w:sz w:val="20"/>
          <w:lang w:eastAsia="nl-NL"/>
        </w:rPr>
      </w:pPr>
    </w:p>
    <w:p w:rsidR="009842D7" w:rsidRPr="001C11BA" w:rsidRDefault="009842D7" w:rsidP="009842D7">
      <w:pPr>
        <w:shd w:val="clear" w:color="auto" w:fill="FFFFFF"/>
        <w:spacing w:after="0" w:line="384" w:lineRule="atLeast"/>
        <w:textAlignment w:val="baseline"/>
        <w:rPr>
          <w:rFonts w:ascii="Helvetica" w:eastAsia="Times New Roman" w:hAnsi="Helvetica" w:cs="Helvetica"/>
          <w:b/>
          <w:bCs/>
          <w:sz w:val="20"/>
          <w:lang w:eastAsia="nl-NL"/>
        </w:rPr>
      </w:pPr>
      <w:r w:rsidRPr="001C11BA">
        <w:rPr>
          <w:rFonts w:ascii="Helvetica" w:eastAsia="Times New Roman" w:hAnsi="Helvetica" w:cs="Helvetica"/>
          <w:b/>
          <w:bCs/>
          <w:sz w:val="20"/>
          <w:lang w:eastAsia="nl-NL"/>
        </w:rPr>
        <w:t>Wel of niet prijsgevoelig</w:t>
      </w:r>
      <w:r w:rsidRPr="009842D7">
        <w:rPr>
          <w:rFonts w:ascii="Helvetica" w:eastAsia="Times New Roman" w:hAnsi="Helvetica" w:cs="Helvetica"/>
          <w:sz w:val="20"/>
          <w:szCs w:val="20"/>
          <w:lang w:eastAsia="nl-NL"/>
        </w:rPr>
        <w:br/>
        <w:t>Het wel of niet prijsgevoelig zijn van de vraag is afhankelijk van:</w:t>
      </w:r>
      <w:r w:rsidRPr="009842D7">
        <w:rPr>
          <w:rFonts w:ascii="Helvetica" w:eastAsia="Times New Roman" w:hAnsi="Helvetica" w:cs="Helvetica"/>
          <w:sz w:val="20"/>
          <w:szCs w:val="20"/>
          <w:lang w:eastAsia="nl-NL"/>
        </w:rPr>
        <w:br/>
      </w:r>
      <w:r w:rsidRPr="001C11BA">
        <w:rPr>
          <w:rFonts w:ascii="Helvetica" w:eastAsia="Times New Roman" w:hAnsi="Helvetica" w:cs="Helvetica"/>
          <w:sz w:val="20"/>
          <w:szCs w:val="20"/>
          <w:lang w:eastAsia="nl-NL"/>
        </w:rPr>
        <w:t>-</w:t>
      </w:r>
      <w:r w:rsidRPr="009842D7">
        <w:rPr>
          <w:rFonts w:ascii="Helvetica" w:eastAsia="Times New Roman" w:hAnsi="Helvetica" w:cs="Helvetica"/>
          <w:sz w:val="20"/>
          <w:szCs w:val="20"/>
          <w:lang w:eastAsia="nl-NL"/>
        </w:rPr>
        <w:t>het feit of er substituten zijn, dit wil zeggen alternatieve goederen. Als er substituten zijn zullen vragers bij een prijsverhoging van een bepaald product het substituut (alternatief) kiezen. Ze reageren in dat geval sterk op een prijsverandering: dus hoge prijselasticiteit.</w:t>
      </w:r>
      <w:r w:rsidRPr="009842D7">
        <w:rPr>
          <w:rFonts w:ascii="Helvetica" w:eastAsia="Times New Roman" w:hAnsi="Helvetica" w:cs="Helvetica"/>
          <w:sz w:val="20"/>
          <w:szCs w:val="20"/>
          <w:lang w:eastAsia="nl-NL"/>
        </w:rPr>
        <w:br/>
        <w:t>- de termijn waarop je dit bekijkt. Op korte termijn heb je niet altijd een alternatief, op lange termijn wel. Gevolg is dat de prijselasticiteit op korte termijn lager is dan op langere termijn.</w:t>
      </w:r>
      <w:r w:rsidRPr="009842D7">
        <w:rPr>
          <w:rFonts w:ascii="Helvetica" w:eastAsia="Times New Roman" w:hAnsi="Helvetica" w:cs="Helvetica"/>
          <w:sz w:val="20"/>
          <w:szCs w:val="20"/>
          <w:lang w:eastAsia="nl-NL"/>
        </w:rPr>
        <w:br/>
        <w:t>- Het soort goed. Primaire goederen (brood, water, kleding) zijn minder elastisch dan luxe goederen.</w:t>
      </w:r>
      <w:r w:rsidRPr="009842D7">
        <w:rPr>
          <w:rFonts w:ascii="Helvetica" w:eastAsia="Times New Roman" w:hAnsi="Helvetica" w:cs="Helvetica"/>
          <w:sz w:val="20"/>
          <w:szCs w:val="20"/>
          <w:lang w:eastAsia="nl-NL"/>
        </w:rPr>
        <w:br/>
      </w:r>
    </w:p>
    <w:p w:rsidR="009842D7" w:rsidRPr="009842D7" w:rsidRDefault="009842D7" w:rsidP="009842D7">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Prijselasticiteit en omzet</w:t>
      </w:r>
      <w:r w:rsidRPr="009842D7">
        <w:rPr>
          <w:rFonts w:ascii="Helvetica" w:eastAsia="Times New Roman" w:hAnsi="Helvetica" w:cs="Helvetica"/>
          <w:sz w:val="20"/>
          <w:szCs w:val="20"/>
          <w:lang w:eastAsia="nl-NL"/>
        </w:rPr>
        <w:br/>
        <w:t>Een dubbele pijl betekent een sterke reactie.</w:t>
      </w:r>
    </w:p>
    <w:p w:rsidR="009842D7" w:rsidRPr="001C11BA" w:rsidRDefault="009842D7" w:rsidP="009842D7">
      <w:pPr>
        <w:shd w:val="clear" w:color="auto" w:fill="FFFFFF"/>
        <w:spacing w:after="0" w:line="384" w:lineRule="atLeast"/>
        <w:textAlignment w:val="baseline"/>
        <w:rPr>
          <w:rFonts w:ascii="Helvetica" w:eastAsia="Times New Roman" w:hAnsi="Helvetica" w:cs="Helvetica"/>
          <w:b/>
          <w:bCs/>
          <w:sz w:val="20"/>
          <w:lang w:eastAsia="nl-NL"/>
        </w:rPr>
      </w:pPr>
    </w:p>
    <w:p w:rsidR="009842D7" w:rsidRPr="009842D7" w:rsidRDefault="009842D7" w:rsidP="009842D7">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Kruislingse prijselasticiteit</w:t>
      </w:r>
      <w:r w:rsidRPr="009842D7">
        <w:rPr>
          <w:rFonts w:ascii="Helvetica" w:eastAsia="Times New Roman" w:hAnsi="Helvetica" w:cs="Helvetica"/>
          <w:b/>
          <w:bCs/>
          <w:sz w:val="20"/>
          <w:szCs w:val="20"/>
          <w:bdr w:val="none" w:sz="0" w:space="0" w:color="auto" w:frame="1"/>
          <w:lang w:eastAsia="nl-NL"/>
        </w:rPr>
        <w:br/>
      </w:r>
      <w:r w:rsidRPr="009842D7">
        <w:rPr>
          <w:rFonts w:ascii="Helvetica" w:eastAsia="Times New Roman" w:hAnsi="Helvetica" w:cs="Helvetica"/>
          <w:sz w:val="20"/>
          <w:szCs w:val="20"/>
          <w:lang w:eastAsia="nl-NL"/>
        </w:rPr>
        <w:t>De kruislingse prijselasticiteit van de vraag geeft weer hoe sterk de vraag naar het ene goed reageert op een prijsverandering van een ander goed.</w:t>
      </w:r>
      <w:r w:rsidRPr="009842D7">
        <w:rPr>
          <w:rFonts w:ascii="Helvetica" w:eastAsia="Times New Roman" w:hAnsi="Helvetica" w:cs="Helvetica"/>
          <w:sz w:val="20"/>
          <w:szCs w:val="20"/>
          <w:lang w:eastAsia="nl-NL"/>
        </w:rPr>
        <w:br/>
      </w:r>
      <w:proofErr w:type="spellStart"/>
      <w:r w:rsidRPr="009842D7">
        <w:rPr>
          <w:rFonts w:ascii="Helvetica" w:eastAsia="Times New Roman" w:hAnsi="Helvetica" w:cs="Helvetica"/>
          <w:sz w:val="20"/>
          <w:szCs w:val="20"/>
          <w:lang w:eastAsia="nl-NL"/>
        </w:rPr>
        <w:t>Ek</w:t>
      </w:r>
      <w:proofErr w:type="spellEnd"/>
      <w:r w:rsidRPr="009842D7">
        <w:rPr>
          <w:rFonts w:ascii="Helvetica" w:eastAsia="Times New Roman" w:hAnsi="Helvetica" w:cs="Helvetica"/>
          <w:sz w:val="20"/>
          <w:szCs w:val="20"/>
          <w:lang w:eastAsia="nl-NL"/>
        </w:rPr>
        <w:t xml:space="preserve"> = kruislingse prijselasticiteit</w:t>
      </w:r>
    </w:p>
    <w:tbl>
      <w:tblPr>
        <w:tblW w:w="0" w:type="auto"/>
        <w:tblCellSpacing w:w="0" w:type="dxa"/>
        <w:shd w:val="clear" w:color="auto" w:fill="FFFFFF"/>
        <w:tblCellMar>
          <w:left w:w="0" w:type="dxa"/>
          <w:right w:w="0" w:type="dxa"/>
        </w:tblCellMar>
        <w:tblLook w:val="04A0"/>
      </w:tblPr>
      <w:tblGrid>
        <w:gridCol w:w="406"/>
        <w:gridCol w:w="6459"/>
      </w:tblGrid>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Procentuele verandering van de gevraagde hoeveelheid van een product</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roofErr w:type="spellStart"/>
            <w:r w:rsidRPr="009842D7">
              <w:rPr>
                <w:rFonts w:ascii="Helvetica" w:eastAsia="Times New Roman" w:hAnsi="Helvetica" w:cs="Helvetica"/>
                <w:sz w:val="20"/>
                <w:szCs w:val="20"/>
                <w:lang w:eastAsia="nl-NL"/>
              </w:rPr>
              <w:t>Ek</w:t>
            </w:r>
            <w:proofErr w:type="spellEnd"/>
            <w:r w:rsidRPr="009842D7">
              <w:rPr>
                <w:rFonts w:ascii="Helvetica" w:eastAsia="Times New Roman" w:hAnsi="Helvetica" w:cs="Helvetica"/>
                <w:sz w:val="20"/>
                <w:szCs w:val="20"/>
                <w:lang w:eastAsia="nl-NL"/>
              </w:rPr>
              <w:t xml:space="preserve"> =</w:t>
            </w: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Procentuele verandering van de prijs van een ander product</w:t>
            </w:r>
          </w:p>
        </w:tc>
      </w:tr>
    </w:tbl>
    <w:p w:rsidR="009842D7" w:rsidRPr="009842D7"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 xml:space="preserve">Bij substitutiegoederen, dat zijn goederen die elkaar kunnen vervangen, is </w:t>
      </w:r>
      <w:proofErr w:type="spellStart"/>
      <w:r w:rsidRPr="009842D7">
        <w:rPr>
          <w:rFonts w:ascii="Helvetica" w:eastAsia="Times New Roman" w:hAnsi="Helvetica" w:cs="Helvetica"/>
          <w:sz w:val="20"/>
          <w:szCs w:val="20"/>
          <w:lang w:eastAsia="nl-NL"/>
        </w:rPr>
        <w:t>Ek</w:t>
      </w:r>
      <w:proofErr w:type="spellEnd"/>
      <w:r w:rsidRPr="009842D7">
        <w:rPr>
          <w:rFonts w:ascii="Helvetica" w:eastAsia="Times New Roman" w:hAnsi="Helvetica" w:cs="Helvetica"/>
          <w:sz w:val="20"/>
          <w:szCs w:val="20"/>
          <w:lang w:eastAsia="nl-NL"/>
        </w:rPr>
        <w:t xml:space="preserve"> positief. Bij complementaire goederen, dat zijn goederen die elkaar aanvullen, is </w:t>
      </w:r>
      <w:proofErr w:type="spellStart"/>
      <w:r w:rsidRPr="009842D7">
        <w:rPr>
          <w:rFonts w:ascii="Helvetica" w:eastAsia="Times New Roman" w:hAnsi="Helvetica" w:cs="Helvetica"/>
          <w:sz w:val="20"/>
          <w:szCs w:val="20"/>
          <w:lang w:eastAsia="nl-NL"/>
        </w:rPr>
        <w:t>Ek</w:t>
      </w:r>
      <w:proofErr w:type="spellEnd"/>
      <w:r w:rsidRPr="009842D7">
        <w:rPr>
          <w:rFonts w:ascii="Helvetica" w:eastAsia="Times New Roman" w:hAnsi="Helvetica" w:cs="Helvetica"/>
          <w:sz w:val="20"/>
          <w:szCs w:val="20"/>
          <w:lang w:eastAsia="nl-NL"/>
        </w:rPr>
        <w:t xml:space="preserve"> negatief.</w:t>
      </w:r>
    </w:p>
    <w:p w:rsidR="009842D7" w:rsidRPr="009842D7" w:rsidRDefault="009842D7" w:rsidP="009842D7">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Inkomenselasticiteit</w:t>
      </w:r>
      <w:r w:rsidRPr="009842D7">
        <w:rPr>
          <w:rFonts w:ascii="Helvetica" w:eastAsia="Times New Roman" w:hAnsi="Helvetica" w:cs="Helvetica"/>
          <w:sz w:val="20"/>
          <w:szCs w:val="20"/>
          <w:lang w:eastAsia="nl-NL"/>
        </w:rPr>
        <w:br/>
      </w:r>
      <w:proofErr w:type="spellStart"/>
      <w:r w:rsidRPr="009842D7">
        <w:rPr>
          <w:rFonts w:ascii="Helvetica" w:eastAsia="Times New Roman" w:hAnsi="Helvetica" w:cs="Helvetica"/>
          <w:sz w:val="20"/>
          <w:szCs w:val="20"/>
          <w:lang w:eastAsia="nl-NL"/>
        </w:rPr>
        <w:t>Ey</w:t>
      </w:r>
      <w:proofErr w:type="spellEnd"/>
      <w:r w:rsidRPr="009842D7">
        <w:rPr>
          <w:rFonts w:ascii="Helvetica" w:eastAsia="Times New Roman" w:hAnsi="Helvetica" w:cs="Helvetica"/>
          <w:sz w:val="20"/>
          <w:szCs w:val="20"/>
          <w:lang w:eastAsia="nl-NL"/>
        </w:rPr>
        <w:t xml:space="preserve"> = inkomenselasticiteit</w:t>
      </w:r>
    </w:p>
    <w:tbl>
      <w:tblPr>
        <w:tblW w:w="0" w:type="auto"/>
        <w:tblCellSpacing w:w="0" w:type="dxa"/>
        <w:shd w:val="clear" w:color="auto" w:fill="FFFFFF"/>
        <w:tblCellMar>
          <w:left w:w="0" w:type="dxa"/>
          <w:right w:w="0" w:type="dxa"/>
        </w:tblCellMar>
        <w:tblLook w:val="04A0"/>
      </w:tblPr>
      <w:tblGrid>
        <w:gridCol w:w="406"/>
        <w:gridCol w:w="4970"/>
      </w:tblGrid>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Procentuele verandering van de gevraagde hoeveelheid</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roofErr w:type="spellStart"/>
            <w:r w:rsidRPr="009842D7">
              <w:rPr>
                <w:rFonts w:ascii="Helvetica" w:eastAsia="Times New Roman" w:hAnsi="Helvetica" w:cs="Helvetica"/>
                <w:sz w:val="20"/>
                <w:szCs w:val="20"/>
                <w:lang w:eastAsia="nl-NL"/>
              </w:rPr>
              <w:t>Ey</w:t>
            </w:r>
            <w:proofErr w:type="spellEnd"/>
            <w:r w:rsidRPr="009842D7">
              <w:rPr>
                <w:rFonts w:ascii="Helvetica" w:eastAsia="Times New Roman" w:hAnsi="Helvetica" w:cs="Helvetica"/>
                <w:sz w:val="20"/>
                <w:szCs w:val="20"/>
                <w:lang w:eastAsia="nl-NL"/>
              </w:rPr>
              <w:t xml:space="preserve"> =</w:t>
            </w: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w:t>
            </w:r>
          </w:p>
        </w:tc>
      </w:tr>
      <w:tr w:rsidR="009842D7" w:rsidRPr="009842D7" w:rsidTr="009842D7">
        <w:trPr>
          <w:tblCellSpacing w:w="0" w:type="dxa"/>
        </w:trPr>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842D7" w:rsidRPr="009842D7" w:rsidRDefault="009842D7" w:rsidP="009842D7">
            <w:pPr>
              <w:spacing w:after="0" w:line="195" w:lineRule="atLeast"/>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Procentuele verandering van het besteedbaar inkomen</w:t>
            </w:r>
          </w:p>
        </w:tc>
      </w:tr>
    </w:tbl>
    <w:p w:rsidR="009842D7" w:rsidRPr="009842D7"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 </w:t>
      </w:r>
    </w:p>
    <w:p w:rsidR="009842D7" w:rsidRPr="001C11BA" w:rsidRDefault="009842D7"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9842D7">
        <w:rPr>
          <w:rFonts w:ascii="Helvetica" w:eastAsia="Times New Roman" w:hAnsi="Helvetica" w:cs="Helvetica"/>
          <w:sz w:val="20"/>
          <w:szCs w:val="20"/>
          <w:lang w:eastAsia="nl-NL"/>
        </w:rPr>
        <w:t xml:space="preserve">Normale goederen (luxe en primaire goederen) hebben een positieve inkomenselasticiteit, dat wil zeggen dat bij een hoger inkomen de gevraagde hoeveelheid naar dat goed stijgt. De vraag naar primaire goederen is </w:t>
      </w:r>
      <w:proofErr w:type="spellStart"/>
      <w:r w:rsidRPr="009842D7">
        <w:rPr>
          <w:rFonts w:ascii="Helvetica" w:eastAsia="Times New Roman" w:hAnsi="Helvetica" w:cs="Helvetica"/>
          <w:sz w:val="20"/>
          <w:szCs w:val="20"/>
          <w:lang w:eastAsia="nl-NL"/>
        </w:rPr>
        <w:t>inkomensinelastisch</w:t>
      </w:r>
      <w:proofErr w:type="spellEnd"/>
      <w:r w:rsidRPr="009842D7">
        <w:rPr>
          <w:rFonts w:ascii="Helvetica" w:eastAsia="Times New Roman" w:hAnsi="Helvetica" w:cs="Helvetica"/>
          <w:sz w:val="20"/>
          <w:szCs w:val="20"/>
          <w:lang w:eastAsia="nl-NL"/>
        </w:rPr>
        <w:t xml:space="preserve"> (&lt; 1) en de vraag naar luxe goederen is inkomenselastisch (&gt;1). Luxe goederen hebben een drempelinkomen. Verder is er bij de meeste goederen sprake van een verzadigingsinkomen. Goederen met een negatieve inkomenselasticiteit worden inferieure goederen genoemd</w:t>
      </w:r>
      <w:r w:rsidRPr="001C11BA">
        <w:rPr>
          <w:rFonts w:ascii="Helvetica" w:eastAsia="Times New Roman" w:hAnsi="Helvetica" w:cs="Helvetica"/>
          <w:sz w:val="20"/>
          <w:szCs w:val="20"/>
          <w:lang w:eastAsia="nl-NL"/>
        </w:rPr>
        <w:t>.</w:t>
      </w:r>
    </w:p>
    <w:p w:rsidR="009842D7" w:rsidRPr="001C11BA" w:rsidRDefault="009842D7" w:rsidP="009842D7">
      <w:pPr>
        <w:shd w:val="clear" w:color="auto" w:fill="FFFFFF"/>
        <w:spacing w:after="270" w:line="384" w:lineRule="atLeast"/>
        <w:textAlignment w:val="baseline"/>
        <w:rPr>
          <w:rFonts w:ascii="Helvetica" w:eastAsia="Times New Roman" w:hAnsi="Helvetica" w:cs="Helvetica"/>
          <w:b/>
          <w:sz w:val="28"/>
          <w:szCs w:val="28"/>
          <w:lang w:eastAsia="nl-NL"/>
        </w:rPr>
      </w:pPr>
      <w:r w:rsidRPr="001C11BA">
        <w:rPr>
          <w:rFonts w:ascii="Helvetica" w:eastAsia="Times New Roman" w:hAnsi="Helvetica" w:cs="Helvetica"/>
          <w:b/>
          <w:sz w:val="28"/>
          <w:szCs w:val="28"/>
          <w:lang w:eastAsia="nl-NL"/>
        </w:rPr>
        <w:lastRenderedPageBreak/>
        <w:t>Hoofdstuk 3</w:t>
      </w:r>
    </w:p>
    <w:p w:rsidR="009F7D2A" w:rsidRPr="009F7D2A" w:rsidRDefault="009F7D2A" w:rsidP="009842D7">
      <w:pPr>
        <w:shd w:val="clear" w:color="auto" w:fill="FFFFFF"/>
        <w:spacing w:after="27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Specialisatie, parallellisatie, verticale integratie en differentiatie</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De bedrijfskolom omvat de schakels die nodig zijn bij de productie van een goed van oerproducent tot consument. Bij specialisatie stoot een bedrijf activiteiten af naar een andere bedrijfskolom. Bij parallellisatie (horizontale integratie) breidt een bedrijf haar activiteiten uit naar een andere bedrijfskolom. Als een bedrijf haar activiteiten uitbreidt naar hogere of lagere schakels in de bedrijfskolom is er sprake van verticale integratie. Bij differentiatie wordt een productiefase uit de bedrijfskolom afgestoten.</w:t>
      </w:r>
      <w:r w:rsidRPr="009F7D2A">
        <w:rPr>
          <w:rFonts w:ascii="Helvetica" w:eastAsia="Times New Roman" w:hAnsi="Helvetica" w:cs="Helvetica"/>
          <w:sz w:val="20"/>
          <w:szCs w:val="20"/>
          <w:lang w:eastAsia="nl-NL"/>
        </w:rPr>
        <w:br/>
        <w:t>Bij verticale integratie wordt een tussenliggende markt uitgeschakeld. Ondernemingen kunnen verschillende redenen hebben om verticaal te integreren zoals:</w:t>
      </w:r>
      <w:r w:rsidRPr="009F7D2A">
        <w:rPr>
          <w:rFonts w:ascii="Helvetica" w:eastAsia="Times New Roman" w:hAnsi="Helvetica" w:cs="Helvetica"/>
          <w:sz w:val="20"/>
          <w:szCs w:val="20"/>
          <w:lang w:eastAsia="nl-NL"/>
        </w:rPr>
        <w:br/>
        <w:t>- Het wegnemen van onzekerheid en het veilig stellen van de aanvoer van grondstof.</w:t>
      </w:r>
      <w:r w:rsidRPr="009F7D2A">
        <w:rPr>
          <w:rFonts w:ascii="Helvetica" w:eastAsia="Times New Roman" w:hAnsi="Helvetica" w:cs="Helvetica"/>
          <w:sz w:val="20"/>
          <w:szCs w:val="20"/>
          <w:lang w:eastAsia="nl-NL"/>
        </w:rPr>
        <w:br/>
        <w:t>- Het zelf produceren goedkoper is dan de marktprijs plus de transactiekosten.</w:t>
      </w:r>
    </w:p>
    <w:p w:rsidR="009842D7" w:rsidRPr="001C11BA" w:rsidRDefault="009F7D2A" w:rsidP="009F7D2A">
      <w:pPr>
        <w:shd w:val="clear" w:color="auto" w:fill="FFFFFF"/>
        <w:spacing w:after="0" w:line="384" w:lineRule="atLeast"/>
        <w:textAlignment w:val="baseline"/>
        <w:rPr>
          <w:rFonts w:ascii="Helvetica" w:eastAsia="Times New Roman" w:hAnsi="Helvetica" w:cs="Helvetica"/>
          <w:b/>
          <w:bCs/>
          <w:sz w:val="20"/>
          <w:lang w:eastAsia="nl-NL"/>
        </w:rPr>
      </w:pPr>
      <w:r w:rsidRPr="001C11BA">
        <w:rPr>
          <w:rFonts w:ascii="Helvetica" w:eastAsia="Times New Roman" w:hAnsi="Helvetica" w:cs="Helvetica"/>
          <w:b/>
          <w:bCs/>
          <w:sz w:val="20"/>
          <w:lang w:eastAsia="nl-NL"/>
        </w:rPr>
        <w:t>Het aanbod</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Het (collectieve) aanbod is afhankelijk van de prijs en van andere factoren zoals de toe of afname van het aantal aanbieders, de toe of afname van de productiekosten, de toe of afname van heffingen door de overheid, etc.</w:t>
      </w:r>
      <w:r w:rsidRPr="009F7D2A">
        <w:rPr>
          <w:rFonts w:ascii="Helvetica" w:eastAsia="Times New Roman" w:hAnsi="Helvetica" w:cs="Helvetica"/>
          <w:sz w:val="20"/>
          <w:szCs w:val="20"/>
          <w:lang w:eastAsia="nl-NL"/>
        </w:rPr>
        <w:br/>
        <w:t xml:space="preserve">De (collectieve) aanbodlijn of aanbodfunctie geeft het verband weer tussen de prijs en de hoeveelheid die producten bereid zijn om tegen die prijs aan te bieden. Ook hierbij geldt de </w:t>
      </w:r>
      <w:proofErr w:type="spellStart"/>
      <w:r w:rsidRPr="009F7D2A">
        <w:rPr>
          <w:rFonts w:ascii="Helvetica" w:eastAsia="Times New Roman" w:hAnsi="Helvetica" w:cs="Helvetica"/>
          <w:sz w:val="20"/>
          <w:szCs w:val="20"/>
          <w:lang w:eastAsia="nl-NL"/>
        </w:rPr>
        <w:t>ceteris</w:t>
      </w:r>
      <w:proofErr w:type="spellEnd"/>
      <w:r w:rsidRPr="009F7D2A">
        <w:rPr>
          <w:rFonts w:ascii="Helvetica" w:eastAsia="Times New Roman" w:hAnsi="Helvetica" w:cs="Helvetica"/>
          <w:sz w:val="20"/>
          <w:szCs w:val="20"/>
          <w:lang w:eastAsia="nl-NL"/>
        </w:rPr>
        <w:t xml:space="preserve"> paribus voorwaarde: de relatie tussen het aanbod en de prijs kan pas vastgesteld worden als alle ander factoren die van invloed zijn niet veranderen.</w:t>
      </w:r>
      <w:r w:rsidRPr="009F7D2A">
        <w:rPr>
          <w:rFonts w:ascii="Helvetica" w:eastAsia="Times New Roman" w:hAnsi="Helvetica" w:cs="Helvetica"/>
          <w:sz w:val="20"/>
          <w:szCs w:val="20"/>
          <w:lang w:eastAsia="nl-NL"/>
        </w:rPr>
        <w:br/>
      </w:r>
    </w:p>
    <w:p w:rsidR="009842D7" w:rsidRPr="001C11BA" w:rsidRDefault="009F7D2A" w:rsidP="009F7D2A">
      <w:pPr>
        <w:shd w:val="clear" w:color="auto" w:fill="FFFFFF"/>
        <w:spacing w:after="0" w:line="384" w:lineRule="atLeast"/>
        <w:textAlignment w:val="baseline"/>
        <w:rPr>
          <w:rFonts w:ascii="Helvetica" w:eastAsia="Times New Roman" w:hAnsi="Helvetica" w:cs="Helvetica"/>
          <w:b/>
          <w:bCs/>
          <w:sz w:val="20"/>
          <w:lang w:eastAsia="nl-NL"/>
        </w:rPr>
      </w:pPr>
      <w:r w:rsidRPr="001C11BA">
        <w:rPr>
          <w:rFonts w:ascii="Helvetica" w:eastAsia="Times New Roman" w:hAnsi="Helvetica" w:cs="Helvetica"/>
          <w:b/>
          <w:bCs/>
          <w:sz w:val="20"/>
          <w:lang w:eastAsia="nl-NL"/>
        </w:rPr>
        <w:t>Verschuiving over of langs de aanbodlijn en verschuiving van de aanbodlijn.</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Als de prijs van een product verandert, vindt er een verschuiving plaats over of langs de aanbodlijn. In dit geval is er sprake van een positief verband tussen de prijs en de aangeboden hoeveelheid. Stijgt de prijs dan zal er meer aangeboden worden, daalt de prijs dan wordt er minder aangeboden.</w:t>
      </w:r>
      <w:r w:rsidRPr="009F7D2A">
        <w:rPr>
          <w:rFonts w:ascii="Helvetica" w:eastAsia="Times New Roman" w:hAnsi="Helvetica" w:cs="Helvetica"/>
          <w:sz w:val="20"/>
          <w:szCs w:val="20"/>
          <w:lang w:eastAsia="nl-NL"/>
        </w:rPr>
        <w:br/>
        <w:t>De aanbodlijn verschuift naar links (boven) of naar rechts (onder) als de andere factoren die van invloed zijn op het aanbod veranderen. Zo zal een prijsstijging van katoen de kosten voor het maken van spijkerbroeken doen toenemen. Bij een gegeven prijs zullen minder fabrikanten spijkerbroeken aanbieden. De kosten zullen voor een aantal fabrikanten dan hoger zijn dan de opbrengsten. De aanbodlijn verschuift in dit geval naar links (boven). Omgekeerd zal het aanbod van spijkerbroeken toenemen als katoen goedkoper wordt aangeboden. De aanbodlijn verschuift dan naar rechts (onder).</w:t>
      </w:r>
      <w:r w:rsidRPr="009F7D2A">
        <w:rPr>
          <w:rFonts w:ascii="Helvetica" w:eastAsia="Times New Roman" w:hAnsi="Helvetica" w:cs="Helvetica"/>
          <w:sz w:val="20"/>
          <w:szCs w:val="20"/>
          <w:lang w:eastAsia="nl-NL"/>
        </w:rPr>
        <w:br/>
      </w:r>
    </w:p>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F7D2A" w:rsidRPr="009F7D2A" w:rsidRDefault="009F7D2A" w:rsidP="009F7D2A">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lastRenderedPageBreak/>
        <w:t>Prijselasticiteit van het aanbod</w:t>
      </w:r>
    </w:p>
    <w:tbl>
      <w:tblPr>
        <w:tblW w:w="0" w:type="auto"/>
        <w:tblCellSpacing w:w="0" w:type="dxa"/>
        <w:shd w:val="clear" w:color="auto" w:fill="FFFFFF"/>
        <w:tblCellMar>
          <w:left w:w="0" w:type="dxa"/>
          <w:right w:w="0" w:type="dxa"/>
        </w:tblCellMar>
        <w:tblLook w:val="04A0"/>
      </w:tblPr>
      <w:tblGrid>
        <w:gridCol w:w="417"/>
        <w:gridCol w:w="5915"/>
      </w:tblGrid>
      <w:tr w:rsidR="009F7D2A" w:rsidRPr="009F7D2A" w:rsidTr="009F7D2A">
        <w:trPr>
          <w:tblCellSpacing w:w="0" w:type="dxa"/>
        </w:trPr>
        <w:tc>
          <w:tcPr>
            <w:tcW w:w="0" w:type="auto"/>
            <w:tcBorders>
              <w:top w:val="nil"/>
              <w:left w:val="nil"/>
              <w:bottom w:val="nil"/>
              <w:right w:val="nil"/>
            </w:tcBorders>
            <w:shd w:val="clear" w:color="auto" w:fill="FFFFFF"/>
            <w:vAlign w:val="bottom"/>
            <w:hideMark/>
          </w:tcPr>
          <w:p w:rsidR="009F7D2A" w:rsidRPr="009F7D2A" w:rsidRDefault="009F7D2A" w:rsidP="009F7D2A">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F7D2A" w:rsidRPr="009F7D2A" w:rsidRDefault="009F7D2A" w:rsidP="009F7D2A">
            <w:pPr>
              <w:spacing w:after="0" w:line="195" w:lineRule="atLeast"/>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Procentuele verandering van de aangeboden hoeveelheid (gevolg</w:t>
            </w:r>
            <w:r w:rsidRPr="001C11BA">
              <w:rPr>
                <w:rFonts w:ascii="Helvetica" w:eastAsia="Times New Roman" w:hAnsi="Helvetica" w:cs="Helvetica"/>
                <w:b/>
                <w:bCs/>
                <w:sz w:val="20"/>
                <w:lang w:eastAsia="nl-NL"/>
              </w:rPr>
              <w:t>)</w:t>
            </w:r>
          </w:p>
        </w:tc>
      </w:tr>
      <w:tr w:rsidR="009F7D2A" w:rsidRPr="009F7D2A" w:rsidTr="009F7D2A">
        <w:trPr>
          <w:tblCellSpacing w:w="0" w:type="dxa"/>
        </w:trPr>
        <w:tc>
          <w:tcPr>
            <w:tcW w:w="0" w:type="auto"/>
            <w:tcBorders>
              <w:top w:val="nil"/>
              <w:left w:val="nil"/>
              <w:bottom w:val="nil"/>
              <w:right w:val="nil"/>
            </w:tcBorders>
            <w:shd w:val="clear" w:color="auto" w:fill="FFFFFF"/>
            <w:vAlign w:val="bottom"/>
            <w:hideMark/>
          </w:tcPr>
          <w:p w:rsidR="009F7D2A" w:rsidRPr="009F7D2A" w:rsidRDefault="009F7D2A" w:rsidP="009F7D2A">
            <w:pPr>
              <w:spacing w:after="0" w:line="195" w:lineRule="atLeast"/>
              <w:rPr>
                <w:rFonts w:ascii="Helvetica" w:eastAsia="Times New Roman" w:hAnsi="Helvetica" w:cs="Helvetica"/>
                <w:sz w:val="20"/>
                <w:szCs w:val="20"/>
                <w:lang w:eastAsia="nl-NL"/>
              </w:rPr>
            </w:pPr>
            <w:proofErr w:type="spellStart"/>
            <w:r w:rsidRPr="009F7D2A">
              <w:rPr>
                <w:rFonts w:ascii="Helvetica" w:eastAsia="Times New Roman" w:hAnsi="Helvetica" w:cs="Helvetica"/>
                <w:sz w:val="20"/>
                <w:szCs w:val="20"/>
                <w:lang w:eastAsia="nl-NL"/>
              </w:rPr>
              <w:t>Ea</w:t>
            </w:r>
            <w:proofErr w:type="spellEnd"/>
            <w:r w:rsidRPr="009F7D2A">
              <w:rPr>
                <w:rFonts w:ascii="Helvetica" w:eastAsia="Times New Roman" w:hAnsi="Helvetica" w:cs="Helvetica"/>
                <w:sz w:val="20"/>
                <w:szCs w:val="20"/>
                <w:lang w:eastAsia="nl-NL"/>
              </w:rPr>
              <w:t xml:space="preserve"> =</w:t>
            </w:r>
          </w:p>
        </w:tc>
        <w:tc>
          <w:tcPr>
            <w:tcW w:w="0" w:type="auto"/>
            <w:tcBorders>
              <w:top w:val="nil"/>
              <w:left w:val="nil"/>
              <w:bottom w:val="nil"/>
              <w:right w:val="nil"/>
            </w:tcBorders>
            <w:shd w:val="clear" w:color="auto" w:fill="FFFFFF"/>
            <w:vAlign w:val="bottom"/>
            <w:hideMark/>
          </w:tcPr>
          <w:p w:rsidR="009F7D2A" w:rsidRPr="009F7D2A" w:rsidRDefault="009F7D2A" w:rsidP="009F7D2A">
            <w:pPr>
              <w:spacing w:after="0" w:line="195" w:lineRule="atLeast"/>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w:t>
            </w:r>
          </w:p>
        </w:tc>
      </w:tr>
      <w:tr w:rsidR="009F7D2A" w:rsidRPr="009F7D2A" w:rsidTr="009F7D2A">
        <w:trPr>
          <w:tblCellSpacing w:w="0" w:type="dxa"/>
        </w:trPr>
        <w:tc>
          <w:tcPr>
            <w:tcW w:w="0" w:type="auto"/>
            <w:tcBorders>
              <w:top w:val="nil"/>
              <w:left w:val="nil"/>
              <w:bottom w:val="nil"/>
              <w:right w:val="nil"/>
            </w:tcBorders>
            <w:shd w:val="clear" w:color="auto" w:fill="FFFFFF"/>
            <w:vAlign w:val="bottom"/>
            <w:hideMark/>
          </w:tcPr>
          <w:p w:rsidR="009F7D2A" w:rsidRPr="009F7D2A" w:rsidRDefault="009F7D2A" w:rsidP="009F7D2A">
            <w:pPr>
              <w:spacing w:after="0" w:line="195" w:lineRule="atLeast"/>
              <w:rPr>
                <w:rFonts w:ascii="Helvetica" w:eastAsia="Times New Roman" w:hAnsi="Helvetica" w:cs="Helvetica"/>
                <w:sz w:val="20"/>
                <w:szCs w:val="20"/>
                <w:lang w:eastAsia="nl-NL"/>
              </w:rPr>
            </w:pPr>
          </w:p>
        </w:tc>
        <w:tc>
          <w:tcPr>
            <w:tcW w:w="0" w:type="auto"/>
            <w:tcBorders>
              <w:top w:val="nil"/>
              <w:left w:val="nil"/>
              <w:bottom w:val="nil"/>
              <w:right w:val="nil"/>
            </w:tcBorders>
            <w:shd w:val="clear" w:color="auto" w:fill="FFFFFF"/>
            <w:vAlign w:val="bottom"/>
            <w:hideMark/>
          </w:tcPr>
          <w:p w:rsidR="009F7D2A" w:rsidRPr="009F7D2A" w:rsidRDefault="009F7D2A" w:rsidP="009F7D2A">
            <w:pPr>
              <w:spacing w:after="0" w:line="195" w:lineRule="atLeast"/>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Procentuele verandering van de verkoopprijs (oorzaak)</w:t>
            </w:r>
          </w:p>
        </w:tc>
      </w:tr>
    </w:tbl>
    <w:p w:rsidR="009842D7" w:rsidRPr="001C11BA" w:rsidRDefault="009F7D2A" w:rsidP="009F7D2A">
      <w:pPr>
        <w:shd w:val="clear" w:color="auto" w:fill="FFFFFF"/>
        <w:spacing w:after="0" w:line="384" w:lineRule="atLeast"/>
        <w:textAlignment w:val="baseline"/>
        <w:rPr>
          <w:rFonts w:ascii="Helvetica" w:eastAsia="Times New Roman" w:hAnsi="Helvetica" w:cs="Helvetica"/>
          <w:b/>
          <w:bCs/>
          <w:sz w:val="20"/>
          <w:lang w:eastAsia="nl-NL"/>
        </w:rPr>
      </w:pPr>
      <w:r w:rsidRPr="009F7D2A">
        <w:rPr>
          <w:rFonts w:ascii="Helvetica" w:eastAsia="Times New Roman" w:hAnsi="Helvetica" w:cs="Helvetica"/>
          <w:sz w:val="20"/>
          <w:szCs w:val="20"/>
          <w:lang w:eastAsia="nl-NL"/>
        </w:rPr>
        <w:t xml:space="preserve">De prijselasticiteit van het aanbod is altijd positief. Een hogere prijs leidt tot een groter aanbod. Is de prijselasticiteit van het aanbod kleiner dan 1, dan is het aanbod </w:t>
      </w:r>
      <w:proofErr w:type="spellStart"/>
      <w:r w:rsidRPr="009F7D2A">
        <w:rPr>
          <w:rFonts w:ascii="Helvetica" w:eastAsia="Times New Roman" w:hAnsi="Helvetica" w:cs="Helvetica"/>
          <w:sz w:val="20"/>
          <w:szCs w:val="20"/>
          <w:lang w:eastAsia="nl-NL"/>
        </w:rPr>
        <w:t>prijsinelastisch</w:t>
      </w:r>
      <w:proofErr w:type="spellEnd"/>
      <w:r w:rsidRPr="009F7D2A">
        <w:rPr>
          <w:rFonts w:ascii="Helvetica" w:eastAsia="Times New Roman" w:hAnsi="Helvetica" w:cs="Helvetica"/>
          <w:sz w:val="20"/>
          <w:szCs w:val="20"/>
          <w:lang w:eastAsia="nl-NL"/>
        </w:rPr>
        <w:t>. Bij een waarde groter dan 1 is het aanbod prijselastisch. Op lange termijn is het aanbod elastischer dan op korte termijn.</w:t>
      </w:r>
      <w:r w:rsidRPr="009F7D2A">
        <w:rPr>
          <w:rFonts w:ascii="Helvetica" w:eastAsia="Times New Roman" w:hAnsi="Helvetica" w:cs="Helvetica"/>
          <w:sz w:val="20"/>
          <w:szCs w:val="20"/>
          <w:lang w:eastAsia="nl-NL"/>
        </w:rPr>
        <w:br/>
      </w:r>
    </w:p>
    <w:p w:rsidR="009F7D2A" w:rsidRPr="001C11BA" w:rsidRDefault="009F7D2A" w:rsidP="009F7D2A">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De balans</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De balans geeft een overzicht van de bezittingen en het vermogen op één bepaald moment. De bezittingen, ook wel activa genoemd, staan links op de balans. Het vermogen of de passiva, staan rechts. Op de balans staan voorraadgrootheden, want ze worden geregistreerd op een bepaald tijdstip. De activa worden onderscheiden in vaste, vlottende en liquide activa. Vaste activa zijn bezittingen die langer dan een jaar meegaan. De vlottende activa gaan korter dan een jaar mee. Liquide activa zijn geld in de kas en geld op een bankrekening bij een bank. Aan de vermogenskant (passiefzijde) wordt er onderscheid gemaakt tussen eigen vermogen en vreemd vermogen (schulden). Vreemd vermogen wordt onderscheiden in lang en kort vreemd vermogen. Lang vreemd vermogen betreft leningen met een looptijd langer dan een jaar. Kort vreemd vermogen is geleend geld dat binnen een jaar terug betaald moet worden.</w:t>
      </w:r>
    </w:p>
    <w:p w:rsidR="009842D7" w:rsidRPr="001C11BA" w:rsidRDefault="009842D7" w:rsidP="009F7D2A">
      <w:pPr>
        <w:shd w:val="clear" w:color="auto" w:fill="FFFFFF"/>
        <w:spacing w:after="0" w:line="384" w:lineRule="atLeast"/>
        <w:textAlignment w:val="baseline"/>
        <w:rPr>
          <w:rFonts w:ascii="Helvetica" w:eastAsia="Times New Roman" w:hAnsi="Helvetica" w:cs="Helvetica"/>
          <w:sz w:val="20"/>
          <w:szCs w:val="20"/>
          <w:lang w:eastAsia="nl-NL"/>
        </w:rPr>
      </w:pPr>
    </w:p>
    <w:p w:rsidR="009842D7" w:rsidRPr="001C11BA" w:rsidRDefault="009842D7" w:rsidP="009F7D2A">
      <w:pPr>
        <w:shd w:val="clear" w:color="auto" w:fill="FFFFFF"/>
        <w:spacing w:after="0" w:line="384" w:lineRule="atLeast"/>
        <w:textAlignment w:val="baseline"/>
        <w:rPr>
          <w:rFonts w:ascii="Helvetica" w:eastAsia="Times New Roman" w:hAnsi="Helvetica" w:cs="Helvetica"/>
          <w:sz w:val="20"/>
          <w:szCs w:val="20"/>
          <w:lang w:eastAsia="nl-NL"/>
        </w:rPr>
      </w:pPr>
    </w:p>
    <w:p w:rsidR="009842D7" w:rsidRPr="009F7D2A" w:rsidRDefault="009842D7" w:rsidP="009F7D2A">
      <w:pPr>
        <w:shd w:val="clear" w:color="auto" w:fill="FFFFFF"/>
        <w:spacing w:after="0" w:line="384" w:lineRule="atLeast"/>
        <w:textAlignment w:val="baseline"/>
        <w:rPr>
          <w:rFonts w:ascii="Helvetica" w:eastAsia="Times New Roman" w:hAnsi="Helvetica" w:cs="Helvetica"/>
          <w:sz w:val="20"/>
          <w:szCs w:val="20"/>
          <w:lang w:eastAsia="nl-NL"/>
        </w:rPr>
      </w:pPr>
    </w:p>
    <w:tbl>
      <w:tblPr>
        <w:tblW w:w="0" w:type="auto"/>
        <w:tblCellSpacing w:w="0" w:type="dxa"/>
        <w:shd w:val="clear" w:color="auto" w:fill="FFFFFF"/>
        <w:tblCellMar>
          <w:left w:w="0" w:type="dxa"/>
          <w:right w:w="0" w:type="dxa"/>
        </w:tblCellMar>
        <w:tblLook w:val="04A0"/>
      </w:tblPr>
      <w:tblGrid>
        <w:gridCol w:w="6765"/>
      </w:tblGrid>
      <w:tr w:rsidR="009F7D2A" w:rsidRPr="009F7D2A" w:rsidTr="009F7D2A">
        <w:trPr>
          <w:tblCellSpacing w:w="0" w:type="dxa"/>
        </w:trPr>
        <w:tc>
          <w:tcPr>
            <w:tcW w:w="0" w:type="auto"/>
            <w:tcBorders>
              <w:top w:val="nil"/>
              <w:left w:val="nil"/>
              <w:bottom w:val="nil"/>
              <w:right w:val="nil"/>
            </w:tcBorders>
            <w:shd w:val="clear" w:color="auto" w:fill="FFFFFF"/>
            <w:vAlign w:val="bottom"/>
            <w:hideMark/>
          </w:tcPr>
          <w:tbl>
            <w:tblPr>
              <w:tblpPr w:leftFromText="45" w:rightFromText="45" w:vertAnchor="text"/>
              <w:tblW w:w="6765" w:type="dxa"/>
              <w:tblCellSpacing w:w="0" w:type="dxa"/>
              <w:tblCellMar>
                <w:left w:w="0" w:type="dxa"/>
                <w:right w:w="0" w:type="dxa"/>
              </w:tblCellMar>
              <w:tblLook w:val="04A0"/>
            </w:tblPr>
            <w:tblGrid>
              <w:gridCol w:w="1980"/>
              <w:gridCol w:w="1140"/>
              <w:gridCol w:w="2505"/>
              <w:gridCol w:w="1140"/>
            </w:tblGrid>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debet</w:t>
                  </w:r>
                </w:p>
              </w:tc>
              <w:tc>
                <w:tcPr>
                  <w:tcW w:w="3645" w:type="dxa"/>
                  <w:gridSpan w:val="2"/>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Balans 1 januari 2010</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credit</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vaste activa</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eigen vermogen</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281.200</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gebouwen</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300.000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machines</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260.000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lang vreemd vermogen</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inventaris</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120.000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7% hypothecaire lening</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240.000</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bedrijfskrediet</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40.000</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vlottende activa</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onderhandse lening</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160.000</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debiteuren</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30.000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voorraden</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60.000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kort vreemd vermogen</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vooruitbetaalde huur</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6.000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crediteuren</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66.000</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Nog te betalen interest</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4.800</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liquide activa</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te betalen garagerekening</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4.000</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bank</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12.000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kas</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8.000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19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totaal</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796.000</w:t>
                  </w:r>
                </w:p>
              </w:tc>
              <w:tc>
                <w:tcPr>
                  <w:tcW w:w="250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i/>
                      <w:iCs/>
                      <w:sz w:val="20"/>
                      <w:szCs w:val="20"/>
                      <w:bdr w:val="none" w:sz="0" w:space="0" w:color="auto" w:frame="1"/>
                      <w:lang w:eastAsia="nl-NL"/>
                    </w:rPr>
                    <w:t>totaal</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796.000</w:t>
                  </w:r>
                </w:p>
              </w:tc>
            </w:tr>
          </w:tbl>
          <w:p w:rsidR="009F7D2A" w:rsidRPr="009F7D2A" w:rsidRDefault="009F7D2A" w:rsidP="009F7D2A">
            <w:pPr>
              <w:spacing w:after="0" w:line="195" w:lineRule="atLeast"/>
              <w:rPr>
                <w:rFonts w:ascii="Helvetica" w:eastAsia="Times New Roman" w:hAnsi="Helvetica" w:cs="Helvetica"/>
                <w:sz w:val="20"/>
                <w:szCs w:val="20"/>
                <w:lang w:eastAsia="nl-NL"/>
              </w:rPr>
            </w:pPr>
          </w:p>
        </w:tc>
      </w:tr>
    </w:tbl>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F7D2A" w:rsidRPr="001C11BA" w:rsidRDefault="009F7D2A" w:rsidP="009F7D2A">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lastRenderedPageBreak/>
        <w:t>De resultatenrekening</w:t>
      </w:r>
      <w:r w:rsidRPr="009F7D2A">
        <w:rPr>
          <w:rFonts w:ascii="Helvetica" w:eastAsia="Times New Roman" w:hAnsi="Helvetica" w:cs="Helvetica"/>
          <w:sz w:val="20"/>
          <w:szCs w:val="20"/>
          <w:lang w:eastAsia="nl-NL"/>
        </w:rPr>
        <w:br/>
        <w:t>De resultatenrekening is een overzicht van de opbrengsten (omzet) en de kosten in een bepaalde periode (vaak één jaar). Opbrengsten en kosten zijn periodegrootheden. De omzet min alle kosten geeft de winst in een bepaalde periode.</w:t>
      </w:r>
    </w:p>
    <w:p w:rsidR="009842D7" w:rsidRPr="009F7D2A" w:rsidRDefault="009842D7" w:rsidP="009F7D2A">
      <w:pPr>
        <w:shd w:val="clear" w:color="auto" w:fill="FFFFFF"/>
        <w:spacing w:after="0" w:line="384" w:lineRule="atLeast"/>
        <w:textAlignment w:val="baseline"/>
        <w:rPr>
          <w:rFonts w:ascii="Helvetica" w:eastAsia="Times New Roman" w:hAnsi="Helvetica" w:cs="Helvetica"/>
          <w:sz w:val="20"/>
          <w:szCs w:val="20"/>
          <w:lang w:eastAsia="nl-NL"/>
        </w:rPr>
      </w:pPr>
    </w:p>
    <w:tbl>
      <w:tblPr>
        <w:tblW w:w="0" w:type="auto"/>
        <w:tblCellSpacing w:w="0" w:type="dxa"/>
        <w:shd w:val="clear" w:color="auto" w:fill="FFFFFF"/>
        <w:tblCellMar>
          <w:left w:w="0" w:type="dxa"/>
          <w:right w:w="0" w:type="dxa"/>
        </w:tblCellMar>
        <w:tblLook w:val="04A0"/>
      </w:tblPr>
      <w:tblGrid>
        <w:gridCol w:w="6825"/>
      </w:tblGrid>
      <w:tr w:rsidR="009F7D2A" w:rsidRPr="009F7D2A" w:rsidTr="009F7D2A">
        <w:trPr>
          <w:tblCellSpacing w:w="0" w:type="dxa"/>
        </w:trPr>
        <w:tc>
          <w:tcPr>
            <w:tcW w:w="0" w:type="auto"/>
            <w:tcBorders>
              <w:top w:val="nil"/>
              <w:left w:val="nil"/>
              <w:bottom w:val="nil"/>
              <w:right w:val="nil"/>
            </w:tcBorders>
            <w:shd w:val="clear" w:color="auto" w:fill="FFFFFF"/>
            <w:vAlign w:val="bottom"/>
            <w:hideMark/>
          </w:tcPr>
          <w:tbl>
            <w:tblPr>
              <w:tblW w:w="6825" w:type="dxa"/>
              <w:tblCellSpacing w:w="0" w:type="dxa"/>
              <w:tblCellMar>
                <w:left w:w="0" w:type="dxa"/>
                <w:right w:w="0" w:type="dxa"/>
              </w:tblCellMar>
              <w:tblLook w:val="04A0"/>
            </w:tblPr>
            <w:tblGrid>
              <w:gridCol w:w="2540"/>
              <w:gridCol w:w="1383"/>
              <w:gridCol w:w="1143"/>
              <w:gridCol w:w="1759"/>
            </w:tblGrid>
            <w:tr w:rsidR="009F7D2A" w:rsidRPr="009F7D2A">
              <w:trPr>
                <w:tblCellSpacing w:w="0" w:type="dxa"/>
              </w:trPr>
              <w:tc>
                <w:tcPr>
                  <w:tcW w:w="253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Kosten</w:t>
                  </w:r>
                </w:p>
              </w:tc>
              <w:tc>
                <w:tcPr>
                  <w:tcW w:w="2520" w:type="dxa"/>
                  <w:gridSpan w:val="2"/>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Resultatenrekening 2010</w:t>
                  </w:r>
                </w:p>
              </w:tc>
              <w:tc>
                <w:tcPr>
                  <w:tcW w:w="175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Opbrengsten</w:t>
                  </w:r>
                </w:p>
              </w:tc>
            </w:tr>
            <w:tr w:rsidR="009F7D2A" w:rsidRPr="009F7D2A">
              <w:trPr>
                <w:tblCellSpacing w:w="0" w:type="dxa"/>
              </w:trPr>
              <w:tc>
                <w:tcPr>
                  <w:tcW w:w="253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inkoopwaarde omzet</w:t>
                  </w:r>
                </w:p>
              </w:tc>
              <w:tc>
                <w:tcPr>
                  <w:tcW w:w="13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560.000</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Omzet</w:t>
                  </w:r>
                </w:p>
              </w:tc>
              <w:tc>
                <w:tcPr>
                  <w:tcW w:w="175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910.000</w:t>
                  </w:r>
                </w:p>
              </w:tc>
            </w:tr>
            <w:tr w:rsidR="009F7D2A" w:rsidRPr="009F7D2A">
              <w:trPr>
                <w:tblCellSpacing w:w="0" w:type="dxa"/>
              </w:trPr>
              <w:tc>
                <w:tcPr>
                  <w:tcW w:w="253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rentekosten</w:t>
                  </w:r>
                </w:p>
              </w:tc>
              <w:tc>
                <w:tcPr>
                  <w:tcW w:w="13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32.000</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75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253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huurkosten</w:t>
                  </w:r>
                </w:p>
              </w:tc>
              <w:tc>
                <w:tcPr>
                  <w:tcW w:w="13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32.000</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75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253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loonkosten</w:t>
                  </w:r>
                </w:p>
              </w:tc>
              <w:tc>
                <w:tcPr>
                  <w:tcW w:w="13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150.000</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75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253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energiekosten</w:t>
                  </w:r>
                </w:p>
              </w:tc>
              <w:tc>
                <w:tcPr>
                  <w:tcW w:w="13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21.000</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75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253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winstsaldo</w:t>
                  </w:r>
                </w:p>
              </w:tc>
              <w:tc>
                <w:tcPr>
                  <w:tcW w:w="13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105.000</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c>
                <w:tcPr>
                  <w:tcW w:w="175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9F7D2A">
                    <w:rPr>
                      <w:rFonts w:ascii="Helvetica" w:eastAsia="Times New Roman" w:hAnsi="Helvetica" w:cs="Helvetica"/>
                      <w:sz w:val="20"/>
                      <w:szCs w:val="20"/>
                      <w:lang w:eastAsia="nl-NL"/>
                    </w:rPr>
                    <w:t> </w:t>
                  </w:r>
                </w:p>
              </w:tc>
            </w:tr>
            <w:tr w:rsidR="009F7D2A" w:rsidRPr="009F7D2A">
              <w:trPr>
                <w:tblCellSpacing w:w="0" w:type="dxa"/>
              </w:trPr>
              <w:tc>
                <w:tcPr>
                  <w:tcW w:w="253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Totaal</w:t>
                  </w:r>
                </w:p>
              </w:tc>
              <w:tc>
                <w:tcPr>
                  <w:tcW w:w="138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910.000</w:t>
                  </w:r>
                </w:p>
              </w:tc>
              <w:tc>
                <w:tcPr>
                  <w:tcW w:w="1140"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Totaal</w:t>
                  </w:r>
                </w:p>
              </w:tc>
              <w:tc>
                <w:tcPr>
                  <w:tcW w:w="1755" w:type="dxa"/>
                  <w:tcBorders>
                    <w:top w:val="nil"/>
                    <w:left w:val="nil"/>
                    <w:bottom w:val="nil"/>
                    <w:right w:val="nil"/>
                  </w:tcBorders>
                  <w:noWrap/>
                  <w:vAlign w:val="bottom"/>
                  <w:hideMark/>
                </w:tcPr>
                <w:p w:rsidR="009F7D2A" w:rsidRPr="009F7D2A" w:rsidRDefault="009F7D2A" w:rsidP="009F7D2A">
                  <w:pPr>
                    <w:spacing w:after="0" w:line="240" w:lineRule="auto"/>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910.000</w:t>
                  </w:r>
                </w:p>
              </w:tc>
            </w:tr>
          </w:tbl>
          <w:p w:rsidR="009F7D2A" w:rsidRPr="009F7D2A" w:rsidRDefault="009F7D2A" w:rsidP="009F7D2A">
            <w:pPr>
              <w:spacing w:after="0" w:line="195" w:lineRule="atLeast"/>
              <w:rPr>
                <w:rFonts w:ascii="Helvetica" w:eastAsia="Times New Roman" w:hAnsi="Helvetica" w:cs="Helvetica"/>
                <w:sz w:val="20"/>
                <w:szCs w:val="20"/>
                <w:lang w:eastAsia="nl-NL"/>
              </w:rPr>
            </w:pPr>
          </w:p>
        </w:tc>
      </w:tr>
    </w:tbl>
    <w:p w:rsidR="009842D7" w:rsidRPr="001C11BA" w:rsidRDefault="009842D7" w:rsidP="009F7D2A">
      <w:pPr>
        <w:shd w:val="clear" w:color="auto" w:fill="FFFFFF"/>
        <w:spacing w:after="0" w:line="384" w:lineRule="atLeast"/>
        <w:textAlignment w:val="baseline"/>
        <w:rPr>
          <w:rFonts w:ascii="Helvetica" w:eastAsia="Times New Roman" w:hAnsi="Helvetica" w:cs="Helvetica"/>
          <w:b/>
          <w:bCs/>
          <w:sz w:val="20"/>
          <w:lang w:eastAsia="nl-NL"/>
        </w:rPr>
      </w:pPr>
    </w:p>
    <w:p w:rsidR="009842D7" w:rsidRPr="001C11BA" w:rsidRDefault="009F7D2A" w:rsidP="009F7D2A">
      <w:pPr>
        <w:shd w:val="clear" w:color="auto" w:fill="FFFFFF"/>
        <w:spacing w:after="0" w:line="384" w:lineRule="atLeast"/>
        <w:textAlignment w:val="baseline"/>
        <w:rPr>
          <w:rFonts w:ascii="Helvetica" w:eastAsia="Times New Roman" w:hAnsi="Helvetica" w:cs="Helvetica"/>
          <w:b/>
          <w:bCs/>
          <w:sz w:val="20"/>
          <w:lang w:eastAsia="nl-NL"/>
        </w:rPr>
      </w:pPr>
      <w:r w:rsidRPr="001C11BA">
        <w:rPr>
          <w:rFonts w:ascii="Helvetica" w:eastAsia="Times New Roman" w:hAnsi="Helvetica" w:cs="Helvetica"/>
          <w:b/>
          <w:bCs/>
          <w:sz w:val="20"/>
          <w:lang w:eastAsia="nl-NL"/>
        </w:rPr>
        <w:t>Ondernemingsvormen</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De vier belangrijkste rechtsvormen voor bedrijven zijn de eenmanszaak, de vennootschap onder firma (vof), de besloten vennootschap (bv) en de naamloze vennootschap (nv).</w:t>
      </w:r>
      <w:r w:rsidRPr="009F7D2A">
        <w:rPr>
          <w:rFonts w:ascii="Helvetica" w:eastAsia="Times New Roman" w:hAnsi="Helvetica" w:cs="Helvetica"/>
          <w:sz w:val="20"/>
          <w:szCs w:val="20"/>
          <w:lang w:eastAsia="nl-NL"/>
        </w:rPr>
        <w:br/>
      </w:r>
    </w:p>
    <w:p w:rsidR="009842D7" w:rsidRPr="001C11BA" w:rsidRDefault="009F7D2A" w:rsidP="009F7D2A">
      <w:pPr>
        <w:shd w:val="clear" w:color="auto" w:fill="FFFFFF"/>
        <w:spacing w:after="0" w:line="384" w:lineRule="atLeast"/>
        <w:textAlignment w:val="baseline"/>
        <w:rPr>
          <w:rFonts w:ascii="Helvetica" w:eastAsia="Times New Roman" w:hAnsi="Helvetica" w:cs="Helvetica"/>
          <w:b/>
          <w:bCs/>
          <w:sz w:val="20"/>
          <w:lang w:eastAsia="nl-NL"/>
        </w:rPr>
      </w:pPr>
      <w:r w:rsidRPr="001C11BA">
        <w:rPr>
          <w:rFonts w:ascii="Helvetica" w:eastAsia="Times New Roman" w:hAnsi="Helvetica" w:cs="Helvetica"/>
          <w:b/>
          <w:bCs/>
          <w:sz w:val="20"/>
          <w:lang w:eastAsia="nl-NL"/>
        </w:rPr>
        <w:t>Eenmanszaak</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Kenmerkend voor de eenmanszaak is het feit dat deze geleid wordt door één persoon die tevens eigenaar is van het bedrijf. Daarnaast is er geen scheiding van privévermogen en het vermogen van de onderneming. Dit betekent dat de eigenaar met zijn privévermogen aansprakelijk is voor de schulden van het bedrijf. Kan het bedrijf haar schulden niet betalen, dan wordt het privévermogen (huis, auto, etc.) van de eigenaar aangesproken. Veel kleine bedrijven zijn eenmanszaken die geen personeel in dienst hebben. We spreken in dat geval van zelfstandigen zonder personeel (</w:t>
      </w:r>
      <w:proofErr w:type="spellStart"/>
      <w:r w:rsidRPr="009F7D2A">
        <w:rPr>
          <w:rFonts w:ascii="Helvetica" w:eastAsia="Times New Roman" w:hAnsi="Helvetica" w:cs="Helvetica"/>
          <w:sz w:val="20"/>
          <w:szCs w:val="20"/>
          <w:lang w:eastAsia="nl-NL"/>
        </w:rPr>
        <w:t>zzp’er</w:t>
      </w:r>
      <w:proofErr w:type="spellEnd"/>
      <w:r w:rsidRPr="009F7D2A">
        <w:rPr>
          <w:rFonts w:ascii="Helvetica" w:eastAsia="Times New Roman" w:hAnsi="Helvetica" w:cs="Helvetica"/>
          <w:sz w:val="20"/>
          <w:szCs w:val="20"/>
          <w:lang w:eastAsia="nl-NL"/>
        </w:rPr>
        <w:t>).</w:t>
      </w:r>
      <w:r w:rsidRPr="009F7D2A">
        <w:rPr>
          <w:rFonts w:ascii="Helvetica" w:eastAsia="Times New Roman" w:hAnsi="Helvetica" w:cs="Helvetica"/>
          <w:sz w:val="20"/>
          <w:szCs w:val="20"/>
          <w:lang w:eastAsia="nl-NL"/>
        </w:rPr>
        <w:br/>
      </w:r>
    </w:p>
    <w:p w:rsidR="009842D7" w:rsidRPr="001C11BA" w:rsidRDefault="009F7D2A" w:rsidP="009F7D2A">
      <w:pPr>
        <w:shd w:val="clear" w:color="auto" w:fill="FFFFFF"/>
        <w:spacing w:after="0" w:line="384" w:lineRule="atLeast"/>
        <w:textAlignment w:val="baseline"/>
        <w:rPr>
          <w:rFonts w:ascii="Helvetica" w:eastAsia="Times New Roman" w:hAnsi="Helvetica" w:cs="Helvetica"/>
          <w:b/>
          <w:bCs/>
          <w:sz w:val="20"/>
          <w:lang w:eastAsia="nl-NL"/>
        </w:rPr>
      </w:pPr>
      <w:r w:rsidRPr="001C11BA">
        <w:rPr>
          <w:rFonts w:ascii="Helvetica" w:eastAsia="Times New Roman" w:hAnsi="Helvetica" w:cs="Helvetica"/>
          <w:b/>
          <w:bCs/>
          <w:sz w:val="20"/>
          <w:lang w:eastAsia="nl-NL"/>
        </w:rPr>
        <w:t>Vennootschap onder firma</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Wanneer enkele zelfstandigen willen samenwerken, bijvoorbeeld omdat ze samen een groter vermogen bij elkaar kunnen brengen, dan kunnen ze dat doen in de vorm van een vennootschap onder firma. De betrokkenen, firmanten genoemd, leiden de onderneming en zijn samen eigenaar. Omdat er meerdere firmanten zijn is specialisatie mogelijk. Zo kan de ene firmant de marketing doen, de ander personeelszaken en een derde de financiering. Elk van de firmanten is hoofdelijk aansprakelijk voor de schulden van de onderneming. Dit wil zeggen dat elk van de firmanten met zijn privévermogen aansprakelijk is voor alle schulden van de firma.</w:t>
      </w:r>
      <w:r w:rsidRPr="009F7D2A">
        <w:rPr>
          <w:rFonts w:ascii="Helvetica" w:eastAsia="Times New Roman" w:hAnsi="Helvetica" w:cs="Helvetica"/>
          <w:sz w:val="20"/>
          <w:szCs w:val="20"/>
          <w:lang w:eastAsia="nl-NL"/>
        </w:rPr>
        <w:br/>
      </w:r>
    </w:p>
    <w:p w:rsidR="009842D7" w:rsidRPr="001C11BA" w:rsidRDefault="009F7D2A" w:rsidP="009F7D2A">
      <w:pPr>
        <w:shd w:val="clear" w:color="auto" w:fill="FFFFFF"/>
        <w:spacing w:after="0" w:line="384" w:lineRule="atLeast"/>
        <w:textAlignment w:val="baseline"/>
        <w:rPr>
          <w:rFonts w:ascii="Helvetica" w:eastAsia="Times New Roman" w:hAnsi="Helvetica" w:cs="Helvetica"/>
          <w:b/>
          <w:bCs/>
          <w:sz w:val="20"/>
          <w:lang w:eastAsia="nl-NL"/>
        </w:rPr>
      </w:pPr>
      <w:r w:rsidRPr="001C11BA">
        <w:rPr>
          <w:rFonts w:ascii="Helvetica" w:eastAsia="Times New Roman" w:hAnsi="Helvetica" w:cs="Helvetica"/>
          <w:b/>
          <w:bCs/>
          <w:sz w:val="20"/>
          <w:lang w:eastAsia="nl-NL"/>
        </w:rPr>
        <w:t>Besloten vennootschap</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 xml:space="preserve">Met het oprichten van een besloten vennootschap kan het privévermogen afgeschermd worden voor schuldeisers van de onderneming. De vennoten nemen elk voor een bepaald bedrag deel in het eigen vermogen van de onderneming. Hun aansprakelijkheid beperkt zich tot het bedrag dat ze hebben </w:t>
      </w:r>
      <w:r w:rsidRPr="009F7D2A">
        <w:rPr>
          <w:rFonts w:ascii="Helvetica" w:eastAsia="Times New Roman" w:hAnsi="Helvetica" w:cs="Helvetica"/>
          <w:sz w:val="20"/>
          <w:szCs w:val="20"/>
          <w:lang w:eastAsia="nl-NL"/>
        </w:rPr>
        <w:lastRenderedPageBreak/>
        <w:t>ingelegd. Dat is mogelijk omdat de bv (net als de nv) een rechtspersoon is. Een rechtspersoon kan zelfstandig schulden aangaan. De aandeelhouders zijn voor deze schulden niet aansprakelijk, waardoor hun privévermogen buiten schot blijft.</w:t>
      </w:r>
      <w:r w:rsidRPr="009F7D2A">
        <w:rPr>
          <w:rFonts w:ascii="Helvetica" w:eastAsia="Times New Roman" w:hAnsi="Helvetica" w:cs="Helvetica"/>
          <w:sz w:val="20"/>
          <w:szCs w:val="20"/>
          <w:lang w:eastAsia="nl-NL"/>
        </w:rPr>
        <w:br/>
        <w:t>Besloten vennootschappen zijn vaak familiebedrijven. De directeuren zijn in loondienst van de bv, maar hebben meestal ook de aandelen in handen. Zij krijgen als werknemer een loon en als aandeelhouder een deel van de winst: het zogenaamde dividend. De aandelen van een bv staan op naam en kunnen alleen met toestemming van de aandeelhouders aan iemand anders worden overgedragen.</w:t>
      </w:r>
      <w:r w:rsidRPr="009F7D2A">
        <w:rPr>
          <w:rFonts w:ascii="Helvetica" w:eastAsia="Times New Roman" w:hAnsi="Helvetica" w:cs="Helvetica"/>
          <w:sz w:val="20"/>
          <w:szCs w:val="20"/>
          <w:lang w:eastAsia="nl-NL"/>
        </w:rPr>
        <w:br/>
      </w:r>
    </w:p>
    <w:p w:rsidR="009842D7" w:rsidRPr="001C11BA" w:rsidRDefault="009F7D2A" w:rsidP="009F7D2A">
      <w:pPr>
        <w:shd w:val="clear" w:color="auto" w:fill="FFFFFF"/>
        <w:spacing w:after="0" w:line="384" w:lineRule="atLeast"/>
        <w:textAlignment w:val="baseline"/>
        <w:rPr>
          <w:rFonts w:ascii="Helvetica" w:eastAsia="Times New Roman" w:hAnsi="Helvetica" w:cs="Helvetica"/>
          <w:b/>
          <w:bCs/>
          <w:sz w:val="20"/>
          <w:lang w:eastAsia="nl-NL"/>
        </w:rPr>
      </w:pPr>
      <w:r w:rsidRPr="001C11BA">
        <w:rPr>
          <w:rFonts w:ascii="Helvetica" w:eastAsia="Times New Roman" w:hAnsi="Helvetica" w:cs="Helvetica"/>
          <w:b/>
          <w:bCs/>
          <w:sz w:val="20"/>
          <w:lang w:eastAsia="nl-NL"/>
        </w:rPr>
        <w:t>Naamloze vennootschap</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Als een onderneming grote bedragen aan kapitaal nodig heeft is de bv minder geschikt en is de nv een beter alternatief. De aandelen van de nv staan niet op naam en zijn daarom vrij verhandelbaar op de effectenbeurs. Hierdoor kan een nv een veel groter vermogen aantrekken. De bezitters van de aandelen, aandeelhouders genoemd, hebben letterlijk een aandeel in het eigen vermogen van de onderneming en zijn voor de grootte van dat aandeel, eigenaar van de onderneming. Het aandeel geeft de aandeelhouder recht op een deel van de winst. Bij de nv is de dagelijkse leiding verder losgekoppeld van de eigenaars dan bij de bv. De aandeelhouders worden vertegenwoordigd door de Raad van Commissarissen die de Raad van Bestuur (de directie) van de onderneming controleert. De directie voert de dagelijkse leiding van het bedrijf. De directeuren zijn werknemers van het bedrijf.</w:t>
      </w:r>
      <w:r w:rsidRPr="009F7D2A">
        <w:rPr>
          <w:rFonts w:ascii="Helvetica" w:eastAsia="Times New Roman" w:hAnsi="Helvetica" w:cs="Helvetica"/>
          <w:sz w:val="20"/>
          <w:szCs w:val="20"/>
          <w:lang w:eastAsia="nl-NL"/>
        </w:rPr>
        <w:br/>
      </w:r>
    </w:p>
    <w:p w:rsidR="009F7D2A" w:rsidRPr="009F7D2A" w:rsidRDefault="009F7D2A" w:rsidP="009F7D2A">
      <w:pPr>
        <w:shd w:val="clear" w:color="auto" w:fill="FFFFFF"/>
        <w:spacing w:after="0" w:line="384" w:lineRule="atLeast"/>
        <w:textAlignment w:val="baseline"/>
        <w:rPr>
          <w:rFonts w:ascii="Helvetica" w:eastAsia="Times New Roman" w:hAnsi="Helvetica" w:cs="Helvetica"/>
          <w:sz w:val="20"/>
          <w:szCs w:val="20"/>
          <w:lang w:eastAsia="nl-NL"/>
        </w:rPr>
      </w:pPr>
      <w:r w:rsidRPr="001C11BA">
        <w:rPr>
          <w:rFonts w:ascii="Helvetica" w:eastAsia="Times New Roman" w:hAnsi="Helvetica" w:cs="Helvetica"/>
          <w:b/>
          <w:bCs/>
          <w:sz w:val="20"/>
          <w:lang w:eastAsia="nl-NL"/>
        </w:rPr>
        <w:t>Fiscale verschillen</w:t>
      </w:r>
      <w:r w:rsidRPr="009F7D2A">
        <w:rPr>
          <w:rFonts w:ascii="Helvetica" w:eastAsia="Times New Roman" w:hAnsi="Helvetica" w:cs="Helvetica"/>
          <w:b/>
          <w:bCs/>
          <w:sz w:val="20"/>
          <w:szCs w:val="20"/>
          <w:bdr w:val="none" w:sz="0" w:space="0" w:color="auto" w:frame="1"/>
          <w:lang w:eastAsia="nl-NL"/>
        </w:rPr>
        <w:br/>
      </w:r>
      <w:r w:rsidRPr="009F7D2A">
        <w:rPr>
          <w:rFonts w:ascii="Helvetica" w:eastAsia="Times New Roman" w:hAnsi="Helvetica" w:cs="Helvetica"/>
          <w:sz w:val="20"/>
          <w:szCs w:val="20"/>
          <w:lang w:eastAsia="nl-NL"/>
        </w:rPr>
        <w:t xml:space="preserve">De winst van een bv/nv valt onder de vennootschapsbelasting terwijl de winst van de eenmanszaak en de vof </w:t>
      </w:r>
      <w:proofErr w:type="spellStart"/>
      <w:r w:rsidRPr="009F7D2A">
        <w:rPr>
          <w:rFonts w:ascii="Helvetica" w:eastAsia="Times New Roman" w:hAnsi="Helvetica" w:cs="Helvetica"/>
          <w:sz w:val="20"/>
          <w:szCs w:val="20"/>
          <w:lang w:eastAsia="nl-NL"/>
        </w:rPr>
        <w:t>on</w:t>
      </w:r>
      <w:proofErr w:type="spellEnd"/>
      <w:r w:rsidRPr="009F7D2A">
        <w:rPr>
          <w:rFonts w:ascii="Helvetica" w:eastAsia="Times New Roman" w:hAnsi="Helvetica" w:cs="Helvetica"/>
          <w:sz w:val="20"/>
          <w:szCs w:val="20"/>
          <w:lang w:eastAsia="nl-NL"/>
        </w:rPr>
        <w:t xml:space="preserve"> de inkomensheffing valt. De inkomensheffing kan oplopen tot 52 procent, terwijl de vennootschapsbelasting ongeveer 25 procent is.</w:t>
      </w:r>
    </w:p>
    <w:p w:rsidR="000E19F2" w:rsidRPr="001C11BA" w:rsidRDefault="000E19F2">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rPr>
      </w:pPr>
    </w:p>
    <w:p w:rsidR="001C11BA" w:rsidRPr="001C11BA" w:rsidRDefault="001C11BA">
      <w:pPr>
        <w:rPr>
          <w:rFonts w:ascii="Helvetica" w:hAnsi="Helvetica" w:cs="Helvetica"/>
          <w:sz w:val="28"/>
          <w:szCs w:val="28"/>
        </w:rPr>
      </w:pPr>
      <w:r w:rsidRPr="001C11BA">
        <w:rPr>
          <w:rFonts w:ascii="Helvetica" w:hAnsi="Helvetica" w:cs="Helvetica"/>
          <w:sz w:val="28"/>
          <w:szCs w:val="28"/>
        </w:rPr>
        <w:lastRenderedPageBreak/>
        <w:t>Begrippenlijst</w:t>
      </w:r>
    </w:p>
    <w:p w:rsidR="001C11BA" w:rsidRDefault="001C11BA">
      <w:pPr>
        <w:rPr>
          <w:rFonts w:ascii="Helvetica" w:hAnsi="Helvetica" w:cs="Helvetica"/>
          <w:sz w:val="20"/>
          <w:szCs w:val="20"/>
          <w:shd w:val="clear" w:color="auto" w:fill="FFFFFF"/>
        </w:rPr>
      </w:pPr>
      <w:r w:rsidRPr="001C11BA">
        <w:rPr>
          <w:rStyle w:val="Zwaar"/>
          <w:rFonts w:ascii="Helvetica" w:hAnsi="Helvetica" w:cs="Helvetica"/>
          <w:sz w:val="20"/>
          <w:szCs w:val="20"/>
          <w:bdr w:val="none" w:sz="0" w:space="0" w:color="auto" w:frame="1"/>
          <w:shd w:val="clear" w:color="auto" w:fill="FFFFFF"/>
        </w:rPr>
        <w:t>Hoofdstuk 1</w:t>
      </w:r>
      <w:r w:rsidRPr="001C11BA">
        <w:rPr>
          <w:rFonts w:ascii="Helvetica" w:hAnsi="Helvetica" w:cs="Helvetica"/>
          <w:b/>
          <w:bCs/>
          <w:sz w:val="20"/>
          <w:szCs w:val="20"/>
          <w:bdr w:val="none" w:sz="0" w:space="0" w:color="auto" w:frame="1"/>
          <w:shd w:val="clear" w:color="auto" w:fill="FFFFFF"/>
        </w:rPr>
        <w:br/>
      </w:r>
      <w:r w:rsidRPr="001C11BA">
        <w:rPr>
          <w:rStyle w:val="Zwaar"/>
          <w:rFonts w:ascii="Helvetica" w:hAnsi="Helvetica" w:cs="Helvetica"/>
          <w:sz w:val="20"/>
          <w:szCs w:val="20"/>
          <w:bdr w:val="none" w:sz="0" w:space="0" w:color="auto" w:frame="1"/>
          <w:shd w:val="clear" w:color="auto" w:fill="FFFFFF"/>
        </w:rPr>
        <w:t>afzet</w:t>
      </w:r>
      <w:r w:rsidRPr="001C11BA">
        <w:rPr>
          <w:rFonts w:ascii="Helvetica" w:hAnsi="Helvetica" w:cs="Helvetica"/>
          <w:sz w:val="20"/>
          <w:szCs w:val="20"/>
        </w:rPr>
        <w:br/>
      </w:r>
      <w:r w:rsidRPr="001C11BA">
        <w:rPr>
          <w:rFonts w:ascii="Helvetica" w:hAnsi="Helvetica" w:cs="Helvetica"/>
          <w:sz w:val="20"/>
          <w:szCs w:val="20"/>
          <w:shd w:val="clear" w:color="auto" w:fill="FFFFFF"/>
        </w:rPr>
        <w:t>Het aantal producten (stuks, liters, kg) dat een bedrijf verkoopt.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bestedingscategorieën</w:t>
      </w:r>
      <w:r w:rsidRPr="001C11BA">
        <w:rPr>
          <w:rFonts w:ascii="Helvetica" w:hAnsi="Helvetica" w:cs="Helvetica"/>
          <w:sz w:val="20"/>
          <w:szCs w:val="20"/>
        </w:rPr>
        <w:br/>
      </w:r>
      <w:r w:rsidRPr="001C11BA">
        <w:rPr>
          <w:rFonts w:ascii="Helvetica" w:hAnsi="Helvetica" w:cs="Helvetica"/>
          <w:sz w:val="20"/>
          <w:szCs w:val="20"/>
          <w:shd w:val="clear" w:color="auto" w:fill="FFFFFF"/>
        </w:rPr>
        <w:t>De uitgaven van de consument kunnen verdeeld worden over een aantal hoofd- en subgroepen.</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bestedingspatroon</w:t>
      </w:r>
      <w:r w:rsidRPr="001C11BA">
        <w:rPr>
          <w:rStyle w:val="apple-converted-space"/>
          <w:rFonts w:ascii="Helvetica" w:hAnsi="Helvetica" w:cs="Helvetica"/>
          <w:sz w:val="20"/>
          <w:szCs w:val="20"/>
          <w:shd w:val="clear" w:color="auto" w:fill="FFFFFF"/>
        </w:rPr>
        <w:t> </w:t>
      </w:r>
      <w:r w:rsidRPr="001C11BA">
        <w:rPr>
          <w:rFonts w:ascii="Helvetica" w:hAnsi="Helvetica" w:cs="Helvetica"/>
          <w:sz w:val="20"/>
          <w:szCs w:val="20"/>
          <w:shd w:val="clear" w:color="auto" w:fill="FFFFFF"/>
        </w:rPr>
        <w:t>(= uitgavenpatroon)</w:t>
      </w:r>
      <w:r w:rsidRPr="001C11BA">
        <w:rPr>
          <w:rFonts w:ascii="Helvetica" w:hAnsi="Helvetica" w:cs="Helvetica"/>
          <w:sz w:val="20"/>
          <w:szCs w:val="20"/>
        </w:rPr>
        <w:br/>
      </w:r>
      <w:r w:rsidRPr="001C11BA">
        <w:rPr>
          <w:rFonts w:ascii="Helvetica" w:hAnsi="Helvetica" w:cs="Helvetica"/>
          <w:sz w:val="20"/>
          <w:szCs w:val="20"/>
          <w:shd w:val="clear" w:color="auto" w:fill="FFFFFF"/>
        </w:rPr>
        <w:t>In kaart brengen aan welke producten de consument zijn geld uitgeeft.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budget</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Beschikbare hoeveelheid geld nodig voor een bepaalde activiteit.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budgetonderzoek</w:t>
      </w:r>
      <w:r w:rsidRPr="001C11BA">
        <w:rPr>
          <w:rFonts w:ascii="Helvetica" w:hAnsi="Helvetica" w:cs="Helvetica"/>
          <w:sz w:val="20"/>
          <w:szCs w:val="20"/>
        </w:rPr>
        <w:br/>
      </w:r>
      <w:r w:rsidRPr="001C11BA">
        <w:rPr>
          <w:rFonts w:ascii="Helvetica" w:hAnsi="Helvetica" w:cs="Helvetica"/>
          <w:sz w:val="20"/>
          <w:szCs w:val="20"/>
          <w:shd w:val="clear" w:color="auto" w:fill="FFFFFF"/>
        </w:rPr>
        <w:t>Onderzoek naar de bestedingsgewoonten van een modaal gezin.</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omzet</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 totale opbrengst) De geldopbrengst van de verkochte producten. Is te berekenen door: verkoopprijs × afzet.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uitgavenpatroon</w:t>
      </w:r>
      <w:r w:rsidRPr="001C11BA">
        <w:rPr>
          <w:rFonts w:ascii="Helvetica" w:hAnsi="Helvetica" w:cs="Helvetica"/>
          <w:sz w:val="20"/>
          <w:szCs w:val="20"/>
        </w:rPr>
        <w:br/>
      </w:r>
      <w:r w:rsidRPr="001C11BA">
        <w:rPr>
          <w:rFonts w:ascii="Helvetica" w:hAnsi="Helvetica" w:cs="Helvetica"/>
          <w:sz w:val="20"/>
          <w:szCs w:val="20"/>
          <w:shd w:val="clear" w:color="auto" w:fill="FFFFFF"/>
        </w:rPr>
        <w:t>(= bestedingspatroon) In kaart brengen aan welke producten de consument zijn geld uitgeeft.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verkoopprijs</w:t>
      </w:r>
      <w:r w:rsidRPr="001C11BA">
        <w:rPr>
          <w:rFonts w:ascii="Helvetica" w:hAnsi="Helvetica" w:cs="Helvetica"/>
          <w:sz w:val="20"/>
          <w:szCs w:val="20"/>
        </w:rPr>
        <w:br/>
      </w:r>
      <w:r w:rsidRPr="001C11BA">
        <w:rPr>
          <w:rFonts w:ascii="Helvetica" w:hAnsi="Helvetica" w:cs="Helvetica"/>
          <w:sz w:val="20"/>
          <w:szCs w:val="20"/>
          <w:shd w:val="clear" w:color="auto" w:fill="FFFFFF"/>
        </w:rPr>
        <w:t>Het bedrag waarvoor een product verhandeld wordt.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Hoofdstuk 2</w:t>
      </w:r>
      <w:r w:rsidRPr="001C11BA">
        <w:rPr>
          <w:rFonts w:ascii="Helvetica" w:hAnsi="Helvetica" w:cs="Helvetica"/>
          <w:b/>
          <w:bCs/>
          <w:sz w:val="20"/>
          <w:szCs w:val="20"/>
          <w:bdr w:val="none" w:sz="0" w:space="0" w:color="auto" w:frame="1"/>
          <w:shd w:val="clear" w:color="auto" w:fill="FFFFFF"/>
        </w:rPr>
        <w:br/>
      </w:r>
      <w:r w:rsidRPr="001C11BA">
        <w:rPr>
          <w:rStyle w:val="Zwaar"/>
          <w:rFonts w:ascii="Helvetica" w:hAnsi="Helvetica" w:cs="Helvetica"/>
          <w:sz w:val="20"/>
          <w:szCs w:val="20"/>
          <w:bdr w:val="none" w:sz="0" w:space="0" w:color="auto" w:frame="1"/>
          <w:shd w:val="clear" w:color="auto" w:fill="FFFFFF"/>
        </w:rPr>
        <w:t>betalingsbereidheid</w:t>
      </w:r>
      <w:r w:rsidRPr="001C11BA">
        <w:rPr>
          <w:rFonts w:ascii="Helvetica" w:hAnsi="Helvetica" w:cs="Helvetica"/>
          <w:sz w:val="20"/>
          <w:szCs w:val="20"/>
        </w:rPr>
        <w:br/>
      </w:r>
      <w:r w:rsidRPr="001C11BA">
        <w:rPr>
          <w:rFonts w:ascii="Helvetica" w:hAnsi="Helvetica" w:cs="Helvetica"/>
          <w:sz w:val="20"/>
          <w:szCs w:val="20"/>
          <w:shd w:val="clear" w:color="auto" w:fill="FFFFFF"/>
        </w:rPr>
        <w:t>Het maximale bedrag dat je voor iets wilt betalen.</w:t>
      </w:r>
      <w:r w:rsidRPr="001C11BA">
        <w:rPr>
          <w:rFonts w:ascii="Helvetica" w:hAnsi="Helvetica" w:cs="Helvetica"/>
          <w:sz w:val="20"/>
          <w:szCs w:val="20"/>
        </w:rPr>
        <w:br/>
      </w:r>
      <w:proofErr w:type="spellStart"/>
      <w:r w:rsidRPr="001C11BA">
        <w:rPr>
          <w:rStyle w:val="Zwaar"/>
          <w:rFonts w:ascii="Helvetica" w:hAnsi="Helvetica" w:cs="Helvetica"/>
          <w:sz w:val="20"/>
          <w:szCs w:val="20"/>
          <w:bdr w:val="none" w:sz="0" w:space="0" w:color="auto" w:frame="1"/>
          <w:shd w:val="clear" w:color="auto" w:fill="FFFFFF"/>
        </w:rPr>
        <w:t>ceteris</w:t>
      </w:r>
      <w:proofErr w:type="spellEnd"/>
      <w:r w:rsidRPr="001C11BA">
        <w:rPr>
          <w:rStyle w:val="Zwaar"/>
          <w:rFonts w:ascii="Helvetica" w:hAnsi="Helvetica" w:cs="Helvetica"/>
          <w:sz w:val="20"/>
          <w:szCs w:val="20"/>
          <w:bdr w:val="none" w:sz="0" w:space="0" w:color="auto" w:frame="1"/>
          <w:shd w:val="clear" w:color="auto" w:fill="FFFFFF"/>
        </w:rPr>
        <w:t xml:space="preserve"> paribus</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Alle andere factoren die invloed hebben, blijven gelijk.</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collectieve vraaglijn</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Geeft het verband weer tussen de prijs en de gevraagde hoeveelheid van een product door alle consumenten samen.</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complementaire goederen</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Goederen die elkaar aanvullen. Bijvoorbeeld vulling voor vulpen, batterijen voor rekenmachine. Deze producten horen bij elkaar.</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drempelinkomen</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Het inkomen wat verdiend moet worden voordat bepaalde producten (luxe goederen) worden aangeschaft.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elastisch</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De vraag reageert meer dan evenredig op een daling/stijging van de prijs.</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individuele vraagfunctie</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Geeft het verband weer tussen de prijs van een product en de gevraagde hoeveelheid door één consument.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individuele vraaglijn</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De lijn die het verband weergeeft tussen de prijs van een product en de gevraagde hoeveelheid door één consument.</w:t>
      </w:r>
      <w:r w:rsidRPr="001C11BA">
        <w:rPr>
          <w:rFonts w:ascii="Helvetica" w:hAnsi="Helvetica" w:cs="Helvetica"/>
          <w:sz w:val="20"/>
          <w:szCs w:val="20"/>
        </w:rPr>
        <w:br/>
      </w:r>
      <w:proofErr w:type="spellStart"/>
      <w:r w:rsidRPr="001C11BA">
        <w:rPr>
          <w:rStyle w:val="Zwaar"/>
          <w:rFonts w:ascii="Helvetica" w:hAnsi="Helvetica" w:cs="Helvetica"/>
          <w:sz w:val="20"/>
          <w:szCs w:val="20"/>
          <w:bdr w:val="none" w:sz="0" w:space="0" w:color="auto" w:frame="1"/>
          <w:shd w:val="clear" w:color="auto" w:fill="FFFFFF"/>
        </w:rPr>
        <w:t>inelastisch</w:t>
      </w:r>
      <w:proofErr w:type="spellEnd"/>
      <w:r w:rsidRPr="001C11BA">
        <w:rPr>
          <w:rFonts w:ascii="Helvetica" w:hAnsi="Helvetica" w:cs="Helvetica"/>
          <w:sz w:val="20"/>
          <w:szCs w:val="20"/>
        </w:rPr>
        <w:br/>
      </w:r>
      <w:r w:rsidRPr="001C11BA">
        <w:rPr>
          <w:rFonts w:ascii="Helvetica" w:hAnsi="Helvetica" w:cs="Helvetica"/>
          <w:sz w:val="20"/>
          <w:szCs w:val="20"/>
          <w:shd w:val="clear" w:color="auto" w:fill="FFFFFF"/>
        </w:rPr>
        <w:t>De vraag reageert minder dan evenredig op een daling/stijging van de prijs.</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inferieur goed</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Product waarvan de vraag afneemt als het inkomen stijgt.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inkomenselasticiteit van de vraag</w:t>
      </w:r>
      <w:r w:rsidRPr="001C11BA">
        <w:rPr>
          <w:rFonts w:ascii="Helvetica" w:hAnsi="Helvetica" w:cs="Helvetica"/>
          <w:sz w:val="20"/>
          <w:szCs w:val="20"/>
        </w:rPr>
        <w:br/>
      </w:r>
      <w:r w:rsidRPr="001C11BA">
        <w:rPr>
          <w:rFonts w:ascii="Helvetica" w:hAnsi="Helvetica" w:cs="Helvetica"/>
          <w:sz w:val="20"/>
          <w:szCs w:val="20"/>
          <w:shd w:val="clear" w:color="auto" w:fill="FFFFFF"/>
        </w:rPr>
        <w:t>De verandering van de vraag als gevolg van een verandering van het inkomen.</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inkomenselastisch</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De vraag naar een product reageert meer dan evenredig op een inkomensverandering.</w:t>
      </w:r>
      <w:r w:rsidRPr="001C11BA">
        <w:rPr>
          <w:rFonts w:ascii="Helvetica" w:hAnsi="Helvetica" w:cs="Helvetica"/>
          <w:sz w:val="20"/>
          <w:szCs w:val="20"/>
        </w:rPr>
        <w:br/>
      </w:r>
      <w:proofErr w:type="spellStart"/>
      <w:r w:rsidRPr="001C11BA">
        <w:rPr>
          <w:rStyle w:val="Zwaar"/>
          <w:rFonts w:ascii="Helvetica" w:hAnsi="Helvetica" w:cs="Helvetica"/>
          <w:sz w:val="20"/>
          <w:szCs w:val="20"/>
          <w:bdr w:val="none" w:sz="0" w:space="0" w:color="auto" w:frame="1"/>
          <w:shd w:val="clear" w:color="auto" w:fill="FFFFFF"/>
        </w:rPr>
        <w:t>inkomensinelastisch</w:t>
      </w:r>
      <w:proofErr w:type="spellEnd"/>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De vraag naar een product reageert minder dan evenredig op een inkomensverandering.</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lastRenderedPageBreak/>
        <w:t>kruislingse prijselasticiteit van de vraag</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De verandering van de vraag van het ene goed als gevolg van een prijsverandering van het andere goed.</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luxe goed</w:t>
      </w:r>
      <w:r w:rsidRPr="001C11BA">
        <w:rPr>
          <w:rFonts w:ascii="Helvetica" w:hAnsi="Helvetica" w:cs="Helvetica"/>
          <w:sz w:val="20"/>
          <w:szCs w:val="20"/>
        </w:rPr>
        <w:br/>
      </w:r>
      <w:r w:rsidRPr="001C11BA">
        <w:rPr>
          <w:rFonts w:ascii="Helvetica" w:hAnsi="Helvetica" w:cs="Helvetica"/>
          <w:sz w:val="20"/>
          <w:szCs w:val="20"/>
          <w:shd w:val="clear" w:color="auto" w:fill="FFFFFF"/>
        </w:rPr>
        <w:t>Product waarvan de vraag meer dan evenredig toeneemt als je inkomen stijgt.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normaal goed</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Product waarvan de vraag toeneemt als het inkomen stijgt.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prijselasticiteit van de vraag</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De verandering van de vraag als gevolg van een verandering van de prijs.</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primair goed</w:t>
      </w:r>
      <w:r w:rsidRPr="001C11BA">
        <w:rPr>
          <w:rFonts w:ascii="Helvetica" w:hAnsi="Helvetica" w:cs="Helvetica"/>
          <w:sz w:val="20"/>
          <w:szCs w:val="20"/>
        </w:rPr>
        <w:br/>
      </w:r>
      <w:r w:rsidRPr="001C11BA">
        <w:rPr>
          <w:rFonts w:ascii="Helvetica" w:hAnsi="Helvetica" w:cs="Helvetica"/>
          <w:sz w:val="20"/>
          <w:szCs w:val="20"/>
          <w:shd w:val="clear" w:color="auto" w:fill="FFFFFF"/>
        </w:rPr>
        <w:t>Product waarvan de vraag minder dan evenredig toeneemt als het inkomen stijgt.</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substitutiegoederen</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Goederen die elkaar kunnen vervangen.</w:t>
      </w:r>
      <w:r w:rsidRPr="001C11BA">
        <w:rPr>
          <w:rFonts w:ascii="Helvetica" w:hAnsi="Helvetica" w:cs="Helvetica"/>
          <w:sz w:val="20"/>
          <w:szCs w:val="20"/>
        </w:rPr>
        <w:br/>
      </w:r>
      <w:r w:rsidRPr="001C11BA">
        <w:rPr>
          <w:rStyle w:val="Zwaar"/>
          <w:rFonts w:ascii="Helvetica" w:hAnsi="Helvetica" w:cs="Helvetica"/>
          <w:sz w:val="20"/>
          <w:szCs w:val="20"/>
          <w:bdr w:val="none" w:sz="0" w:space="0" w:color="auto" w:frame="1"/>
          <w:shd w:val="clear" w:color="auto" w:fill="FFFFFF"/>
        </w:rPr>
        <w:t>verzadigingsinkomen</w:t>
      </w:r>
      <w:r w:rsidRPr="001C11BA">
        <w:rPr>
          <w:rStyle w:val="apple-converted-space"/>
          <w:rFonts w:ascii="Helvetica" w:hAnsi="Helvetica" w:cs="Helvetica"/>
          <w:b/>
          <w:bCs/>
          <w:sz w:val="20"/>
          <w:szCs w:val="20"/>
          <w:bdr w:val="none" w:sz="0" w:space="0" w:color="auto" w:frame="1"/>
          <w:shd w:val="clear" w:color="auto" w:fill="FFFFFF"/>
        </w:rPr>
        <w:t> </w:t>
      </w:r>
      <w:r w:rsidRPr="001C11BA">
        <w:rPr>
          <w:rFonts w:ascii="Helvetica" w:hAnsi="Helvetica" w:cs="Helvetica"/>
          <w:sz w:val="20"/>
          <w:szCs w:val="20"/>
        </w:rPr>
        <w:br/>
      </w:r>
      <w:r w:rsidRPr="001C11BA">
        <w:rPr>
          <w:rFonts w:ascii="Helvetica" w:hAnsi="Helvetica" w:cs="Helvetica"/>
          <w:sz w:val="20"/>
          <w:szCs w:val="20"/>
          <w:shd w:val="clear" w:color="auto" w:fill="FFFFFF"/>
        </w:rPr>
        <w:t>Vanaf een bepaald inkomen leidt een verdere stijging van het inkomen niet meer tot een toename van de gevraagde hoeveelheid.</w:t>
      </w:r>
    </w:p>
    <w:p w:rsidR="005D5FBA" w:rsidRDefault="005D5FBA" w:rsidP="005D5FBA">
      <w:pPr>
        <w:pStyle w:val="Geenafstand"/>
        <w:rPr>
          <w:rFonts w:ascii="Helvetica" w:hAnsi="Helvetica" w:cs="Helvetica"/>
          <w:b/>
          <w:sz w:val="20"/>
          <w:szCs w:val="20"/>
          <w:shd w:val="clear" w:color="auto" w:fill="FFFFFF"/>
        </w:rPr>
      </w:pPr>
    </w:p>
    <w:p w:rsidR="001C11BA" w:rsidRDefault="005D5FBA" w:rsidP="005D5FBA">
      <w:pPr>
        <w:pStyle w:val="Geenafstand"/>
        <w:rPr>
          <w:rFonts w:ascii="Helvetica" w:hAnsi="Helvetica" w:cs="Helvetica"/>
          <w:b/>
          <w:sz w:val="20"/>
          <w:szCs w:val="20"/>
          <w:shd w:val="clear" w:color="auto" w:fill="FFFFFF"/>
        </w:rPr>
      </w:pPr>
      <w:r>
        <w:rPr>
          <w:rFonts w:ascii="Helvetica" w:hAnsi="Helvetica" w:cs="Helvetica"/>
          <w:b/>
          <w:sz w:val="20"/>
          <w:szCs w:val="20"/>
          <w:shd w:val="clear" w:color="auto" w:fill="FFFFFF"/>
        </w:rPr>
        <w:t>Hoofdstuk 3</w:t>
      </w:r>
    </w:p>
    <w:p w:rsidR="005D5FBA" w:rsidRPr="005D5FBA" w:rsidRDefault="005D5FBA" w:rsidP="005D5FBA">
      <w:pPr>
        <w:pStyle w:val="Geenafstand"/>
        <w:rPr>
          <w:rFonts w:ascii="Helvetica" w:hAnsi="Helvetica" w:cs="Helvetica"/>
          <w:b/>
          <w:sz w:val="20"/>
          <w:szCs w:val="20"/>
          <w:shd w:val="clear" w:color="auto" w:fill="FFFFFF"/>
        </w:rPr>
      </w:pPr>
    </w:p>
    <w:p w:rsidR="001C11BA" w:rsidRPr="005D5FBA" w:rsidRDefault="001C11BA">
      <w:pPr>
        <w:rPr>
          <w:rFonts w:ascii="Helvetica" w:hAnsi="Helvetica" w:cs="Helvetica"/>
        </w:rPr>
      </w:pPr>
      <w:r w:rsidRPr="005D5FBA">
        <w:rPr>
          <w:rStyle w:val="Zwaar"/>
          <w:rFonts w:ascii="Helvetica" w:hAnsi="Helvetica" w:cs="Helvetica"/>
          <w:sz w:val="20"/>
          <w:szCs w:val="20"/>
          <w:bdr w:val="none" w:sz="0" w:space="0" w:color="auto" w:frame="1"/>
          <w:shd w:val="clear" w:color="auto" w:fill="FFFFFF"/>
        </w:rPr>
        <w:t>aandeelhouder</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Iemand die aandelen (eigendomsbewijzen) bezit van een bedrijf en dus voor het deel van zijn aandeel mede-eigenaar is.</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afschrijven</w:t>
      </w:r>
      <w:r w:rsidRPr="005D5FBA">
        <w:rPr>
          <w:rFonts w:ascii="Helvetica" w:hAnsi="Helvetica" w:cs="Helvetica"/>
          <w:sz w:val="20"/>
          <w:szCs w:val="20"/>
        </w:rPr>
        <w:br/>
      </w:r>
      <w:r w:rsidRPr="005D5FBA">
        <w:rPr>
          <w:rFonts w:ascii="Helvetica" w:hAnsi="Helvetica" w:cs="Helvetica"/>
          <w:sz w:val="20"/>
          <w:szCs w:val="20"/>
          <w:shd w:val="clear" w:color="auto" w:fill="FFFFFF"/>
        </w:rPr>
        <w:t>De waardevermindering van duurzame productiemiddelen (meestal per jaar gerekend).</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balans</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Een overzicht van de bezittingen (activa) en schulden (passiva) van een bedrijf op een bepaald moment.</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bedrijfskolom</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Bestaat uit alle bedrijven waarin de opeenvolgende productiestadia worden doorlopen van oerproduct tot eindproduct (boer………bakkerswinkel).</w:t>
      </w:r>
      <w:r w:rsidRPr="005D5FBA">
        <w:rPr>
          <w:rFonts w:ascii="Helvetica" w:hAnsi="Helvetica" w:cs="Helvetica"/>
          <w:sz w:val="20"/>
          <w:szCs w:val="20"/>
        </w:rPr>
        <w:br/>
      </w:r>
      <w:proofErr w:type="spellStart"/>
      <w:r w:rsidRPr="005D5FBA">
        <w:rPr>
          <w:rStyle w:val="Zwaar"/>
          <w:rFonts w:ascii="Helvetica" w:hAnsi="Helvetica" w:cs="Helvetica"/>
          <w:sz w:val="20"/>
          <w:szCs w:val="20"/>
          <w:bdr w:val="none" w:sz="0" w:space="0" w:color="auto" w:frame="1"/>
          <w:shd w:val="clear" w:color="auto" w:fill="FFFFFF"/>
        </w:rPr>
        <w:t>berovingsprobleem</w:t>
      </w:r>
      <w:proofErr w:type="spellEnd"/>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Bij een samenwerkingsverband investeert de ene partij meer in de samenwerking dan de andere partij, waardoor de machtsverhouding verandert.</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besloten vennootschap</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Ondernemingsvorm waarbij er een scheiding is tussen de leiding en de personen die eigenaar zijn. De eigenaren (aandeelhouders) zijn niet met hun privévermogen aansprakelijk. Bij een bv staan de aandelen op naam.</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collectieve aanbodvergelijking</w:t>
      </w:r>
      <w:r w:rsidRPr="005D5FBA">
        <w:rPr>
          <w:rFonts w:ascii="Helvetica" w:hAnsi="Helvetica" w:cs="Helvetica"/>
          <w:sz w:val="20"/>
          <w:szCs w:val="20"/>
        </w:rPr>
        <w:br/>
      </w:r>
      <w:r w:rsidRPr="005D5FBA">
        <w:rPr>
          <w:rFonts w:ascii="Helvetica" w:hAnsi="Helvetica" w:cs="Helvetica"/>
          <w:sz w:val="20"/>
          <w:szCs w:val="20"/>
          <w:shd w:val="clear" w:color="auto" w:fill="FFFFFF"/>
        </w:rPr>
        <w:t>Het aanbod van alle individuele producenten van een bepaald goed of dienst bij elkaar geteld.</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differentiatie</w:t>
      </w:r>
      <w:r w:rsidRPr="005D5FBA">
        <w:rPr>
          <w:rFonts w:ascii="Helvetica" w:hAnsi="Helvetica" w:cs="Helvetica"/>
          <w:sz w:val="20"/>
          <w:szCs w:val="20"/>
        </w:rPr>
        <w:br/>
      </w:r>
      <w:r w:rsidRPr="005D5FBA">
        <w:rPr>
          <w:rFonts w:ascii="Helvetica" w:hAnsi="Helvetica" w:cs="Helvetica"/>
          <w:sz w:val="20"/>
          <w:szCs w:val="20"/>
          <w:shd w:val="clear" w:color="auto" w:fill="FFFFFF"/>
        </w:rPr>
        <w:t>Bij differentiatie wordt een bepaalde schakel in de bedrijfskolom, een productiefase, afgestoten door een bedrijf dat eerder deze schakel omvatte.</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eenmanszaak</w:t>
      </w:r>
      <w:r w:rsidRPr="005D5FBA">
        <w:rPr>
          <w:rFonts w:ascii="Helvetica" w:hAnsi="Helvetica" w:cs="Helvetica"/>
          <w:sz w:val="20"/>
          <w:szCs w:val="20"/>
        </w:rPr>
        <w:br/>
      </w:r>
      <w:r w:rsidRPr="005D5FBA">
        <w:rPr>
          <w:rFonts w:ascii="Helvetica" w:hAnsi="Helvetica" w:cs="Helvetica"/>
          <w:sz w:val="20"/>
          <w:szCs w:val="20"/>
          <w:shd w:val="clear" w:color="auto" w:fill="FFFFFF"/>
        </w:rPr>
        <w:t>Ondernemingsvorm waarbij er maar één eigenaar is. Deze is persoonlijk aansprakelijk voor eventuele schulden. De eigenaar moet zelf zorgen voor het startvermogen.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eigen vermogen</w:t>
      </w:r>
      <w:r w:rsidRPr="005D5FBA">
        <w:rPr>
          <w:rFonts w:ascii="Helvetica" w:hAnsi="Helvetica" w:cs="Helvetica"/>
          <w:sz w:val="20"/>
          <w:szCs w:val="20"/>
        </w:rPr>
        <w:br/>
      </w:r>
      <w:r w:rsidRPr="005D5FBA">
        <w:rPr>
          <w:rFonts w:ascii="Helvetica" w:hAnsi="Helvetica" w:cs="Helvetica"/>
          <w:sz w:val="20"/>
          <w:szCs w:val="20"/>
          <w:shd w:val="clear" w:color="auto" w:fill="FFFFFF"/>
        </w:rPr>
        <w:t>Het door de eigenaren ingebrachte geld.</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gemiddelde opbrengst</w:t>
      </w:r>
      <w:r w:rsidRPr="005D5FBA">
        <w:rPr>
          <w:rFonts w:ascii="Helvetica" w:hAnsi="Helvetica" w:cs="Helvetica"/>
          <w:sz w:val="20"/>
          <w:szCs w:val="20"/>
        </w:rPr>
        <w:br/>
      </w:r>
      <w:r w:rsidRPr="005D5FBA">
        <w:rPr>
          <w:rFonts w:ascii="Helvetica" w:hAnsi="Helvetica" w:cs="Helvetica"/>
          <w:sz w:val="20"/>
          <w:szCs w:val="20"/>
          <w:shd w:val="clear" w:color="auto" w:fill="FFFFFF"/>
        </w:rPr>
        <w:t>De opbrengst per product. De gemiddelde opbrengst is gelijk aan de totale opbrengst gedeeld door het aantal verkochte goederen of diensten. Als alle consumenten dezelfde prijs betalen voor een product is de gemiddelde opbrengst gelijk aan de prijs.</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gemiddelde totale kosten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lastRenderedPageBreak/>
        <w:t>(GTK) (Productie)kosten per stuk. Dit bedrag bestaat uit de optelsom van de gemiddelde constante kosten (GCK) en de gemiddelde variabele kosten (GVK): GTK = GCK + GVK .</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hold-upprobleem</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 xml:space="preserve">Zie: </w:t>
      </w:r>
      <w:proofErr w:type="spellStart"/>
      <w:r w:rsidRPr="005D5FBA">
        <w:rPr>
          <w:rFonts w:ascii="Helvetica" w:hAnsi="Helvetica" w:cs="Helvetica"/>
          <w:sz w:val="20"/>
          <w:szCs w:val="20"/>
          <w:shd w:val="clear" w:color="auto" w:fill="FFFFFF"/>
        </w:rPr>
        <w:t>berovingsprobleem</w:t>
      </w:r>
      <w:proofErr w:type="spellEnd"/>
      <w:r w:rsidRPr="005D5FBA">
        <w:rPr>
          <w:rFonts w:ascii="Helvetica" w:hAnsi="Helvetica" w:cs="Helvetica"/>
          <w:sz w:val="20"/>
          <w:szCs w:val="20"/>
          <w:shd w:val="clear" w:color="auto" w:fill="FFFFFF"/>
        </w:rPr>
        <w:t>.</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horizontale integratie</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 parallellisatie) Bedrijven zijn actief in meerdere bedrijfskolommen.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individuele aanbodfunctie</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Het verband tussen de prijs en de aangeboden hoeveelheid van een producent.</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individuele aanbodvergelijking</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Zie individuele aanbodfunctie.</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investeren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Het aanschaffen van kapitaalgoederen door bedrijven.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kapitaalgoederen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Goederen van een onderneming waarmee geproduceerd wordt om een inkomen te verkrijgen.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naamloze vennootschap</w:t>
      </w:r>
      <w:r w:rsidRPr="005D5FBA">
        <w:rPr>
          <w:rFonts w:ascii="Helvetica" w:hAnsi="Helvetica" w:cs="Helvetica"/>
          <w:sz w:val="20"/>
          <w:szCs w:val="20"/>
        </w:rPr>
        <w:br/>
      </w:r>
      <w:r w:rsidRPr="005D5FBA">
        <w:rPr>
          <w:rFonts w:ascii="Helvetica" w:hAnsi="Helvetica" w:cs="Helvetica"/>
          <w:sz w:val="20"/>
          <w:szCs w:val="20"/>
          <w:shd w:val="clear" w:color="auto" w:fill="FFFFFF"/>
        </w:rPr>
        <w:t>Ondernemingsvorm waarbij er een scheiding is tussen de leiding en de personen die eigenaar zijn. De eigenaren (aandeelhouders) zijn niet met hun privévermogen aansprakelijk. Bij een nv staan de aandelen niet op naam.</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parallellisatie</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Bedrijven zijn actief zijn in meerdere bedrijfskolommen.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prijselasticiteit van het aanbod</w:t>
      </w:r>
      <w:r w:rsidRPr="005D5FBA">
        <w:rPr>
          <w:rFonts w:ascii="Helvetica" w:hAnsi="Helvetica" w:cs="Helvetica"/>
          <w:sz w:val="20"/>
          <w:szCs w:val="20"/>
        </w:rPr>
        <w:br/>
      </w:r>
      <w:r w:rsidRPr="005D5FBA">
        <w:rPr>
          <w:rFonts w:ascii="Helvetica" w:hAnsi="Helvetica" w:cs="Helvetica"/>
          <w:sz w:val="20"/>
          <w:szCs w:val="20"/>
          <w:shd w:val="clear" w:color="auto" w:fill="FFFFFF"/>
        </w:rPr>
        <w:t>De prijselasticiteit van het aanbod (</w:t>
      </w:r>
      <w:proofErr w:type="spellStart"/>
      <w:r w:rsidRPr="005D5FBA">
        <w:rPr>
          <w:rFonts w:ascii="Helvetica" w:hAnsi="Helvetica" w:cs="Helvetica"/>
          <w:sz w:val="20"/>
          <w:szCs w:val="20"/>
          <w:shd w:val="clear" w:color="auto" w:fill="FFFFFF"/>
        </w:rPr>
        <w:t>Ea</w:t>
      </w:r>
      <w:proofErr w:type="spellEnd"/>
      <w:r w:rsidRPr="005D5FBA">
        <w:rPr>
          <w:rFonts w:ascii="Helvetica" w:hAnsi="Helvetica" w:cs="Helvetica"/>
          <w:sz w:val="20"/>
          <w:szCs w:val="20"/>
          <w:shd w:val="clear" w:color="auto" w:fill="FFFFFF"/>
        </w:rPr>
        <w:t xml:space="preserve">) geeft aan hoe sterk het aanbod reageert op veranderingen in de prijs. Deze kan als volgt worden berekend: </w:t>
      </w:r>
      <w:proofErr w:type="spellStart"/>
      <w:r w:rsidRPr="005D5FBA">
        <w:rPr>
          <w:rFonts w:ascii="Helvetica" w:hAnsi="Helvetica" w:cs="Helvetica"/>
          <w:sz w:val="20"/>
          <w:szCs w:val="20"/>
          <w:shd w:val="clear" w:color="auto" w:fill="FFFFFF"/>
        </w:rPr>
        <w:t>Ea</w:t>
      </w:r>
      <w:proofErr w:type="spellEnd"/>
      <w:r w:rsidRPr="005D5FBA">
        <w:rPr>
          <w:rFonts w:ascii="Helvetica" w:hAnsi="Helvetica" w:cs="Helvetica"/>
          <w:sz w:val="20"/>
          <w:szCs w:val="20"/>
          <w:shd w:val="clear" w:color="auto" w:fill="FFFFFF"/>
        </w:rPr>
        <w:t xml:space="preserve"> = procentuele verandering van het aanbod (gevolg) / procentuele verandering van de verkoopprijs (oorzaak). </w:t>
      </w:r>
      <w:proofErr w:type="spellStart"/>
      <w:r w:rsidRPr="005D5FBA">
        <w:rPr>
          <w:rFonts w:ascii="Helvetica" w:hAnsi="Helvetica" w:cs="Helvetica"/>
          <w:sz w:val="20"/>
          <w:szCs w:val="20"/>
          <w:shd w:val="clear" w:color="auto" w:fill="FFFFFF"/>
        </w:rPr>
        <w:t>Ea</w:t>
      </w:r>
      <w:proofErr w:type="spellEnd"/>
      <w:r w:rsidRPr="005D5FBA">
        <w:rPr>
          <w:rFonts w:ascii="Helvetica" w:hAnsi="Helvetica" w:cs="Helvetica"/>
          <w:sz w:val="20"/>
          <w:szCs w:val="20"/>
          <w:shd w:val="clear" w:color="auto" w:fill="FFFFFF"/>
        </w:rPr>
        <w:t xml:space="preserve"> is over het algemeen positief, omdat de productie bij gelijkblijvende kosten winstgevender wordt.</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rechtspersoon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Juridische onafhankelijke eenheid met eigen rechten en verplichtingen, los van de eigenaar/eigenaren.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resultatenrekening</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Een overzicht van de opbrengst, de kosten en het resultaat (winst of verlies) over de afgelopen periode.</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specialisatie</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Toeleggen op één activiteit.</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stroomgrootheden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Grootheden die over een bepaalde periode, een maand of een jaar, worden gemeten.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totale kosten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De som van de totale constante (TCK) en de totale variabele kosten (TVK).</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totale opbrengst</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shd w:val="clear" w:color="auto" w:fill="FFFFFF"/>
        </w:rPr>
        <w:t>(= omzet)</w:t>
      </w:r>
      <w:r w:rsidRPr="005D5FBA">
        <w:rPr>
          <w:rFonts w:ascii="Helvetica" w:hAnsi="Helvetica" w:cs="Helvetica"/>
          <w:sz w:val="20"/>
          <w:szCs w:val="20"/>
        </w:rPr>
        <w:br/>
      </w:r>
      <w:r w:rsidRPr="005D5FBA">
        <w:rPr>
          <w:rFonts w:ascii="Helvetica" w:hAnsi="Helvetica" w:cs="Helvetica"/>
          <w:sz w:val="20"/>
          <w:szCs w:val="20"/>
          <w:shd w:val="clear" w:color="auto" w:fill="FFFFFF"/>
        </w:rPr>
        <w:t>De waarde van de verkochte producten. Is te berekenen door: verkoopprijs × afzet.</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totale winst</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Het verschil tussen de totale opbrengst (TO) en de totale kosten (TK).</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transactiekosten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Alle kosten die samenhangen met het tot stand komen en afwikkelen van een ruil.</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vennootschap onder firma</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shd w:val="clear" w:color="auto" w:fill="FFFFFF"/>
        </w:rPr>
        <w:t>(= vof)</w:t>
      </w:r>
      <w:r w:rsidRPr="005D5FBA">
        <w:rPr>
          <w:rFonts w:ascii="Helvetica" w:hAnsi="Helvetica" w:cs="Helvetica"/>
          <w:sz w:val="20"/>
          <w:szCs w:val="20"/>
        </w:rPr>
        <w:br/>
      </w:r>
      <w:r w:rsidRPr="005D5FBA">
        <w:rPr>
          <w:rFonts w:ascii="Helvetica" w:hAnsi="Helvetica" w:cs="Helvetica"/>
          <w:sz w:val="20"/>
          <w:szCs w:val="20"/>
          <w:shd w:val="clear" w:color="auto" w:fill="FFFFFF"/>
        </w:rPr>
        <w:t>Ondernemingsvorm waarbij er meerdere eigenaren van een bedrijf zijn. De eigenaren zijn met hun privévermogen aansprakelijk voor de schulden. De winst wordt verdeeld over de eigenaren.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vennootschapsbelasting</w:t>
      </w:r>
      <w:r w:rsidRPr="005D5FBA">
        <w:rPr>
          <w:rFonts w:ascii="Helvetica" w:hAnsi="Helvetica" w:cs="Helvetica"/>
          <w:sz w:val="20"/>
          <w:szCs w:val="20"/>
        </w:rPr>
        <w:br/>
      </w:r>
      <w:r w:rsidRPr="005D5FBA">
        <w:rPr>
          <w:rFonts w:ascii="Helvetica" w:hAnsi="Helvetica" w:cs="Helvetica"/>
          <w:sz w:val="20"/>
          <w:szCs w:val="20"/>
          <w:shd w:val="clear" w:color="auto" w:fill="FFFFFF"/>
        </w:rPr>
        <w:t>Belasting die geheven wordt over de winst van een bv en nv.</w:t>
      </w:r>
      <w:r w:rsidRPr="005D5FBA">
        <w:rPr>
          <w:rFonts w:ascii="Helvetica" w:hAnsi="Helvetica" w:cs="Helvetica"/>
          <w:sz w:val="20"/>
          <w:szCs w:val="20"/>
        </w:rPr>
        <w:br/>
      </w:r>
      <w:proofErr w:type="spellStart"/>
      <w:r w:rsidRPr="005D5FBA">
        <w:rPr>
          <w:rStyle w:val="Zwaar"/>
          <w:rFonts w:ascii="Helvetica" w:hAnsi="Helvetica" w:cs="Helvetica"/>
          <w:sz w:val="20"/>
          <w:szCs w:val="20"/>
          <w:bdr w:val="none" w:sz="0" w:space="0" w:color="auto" w:frame="1"/>
          <w:shd w:val="clear" w:color="auto" w:fill="FFFFFF"/>
        </w:rPr>
        <w:t>verlies-en-winstrekening</w:t>
      </w:r>
      <w:proofErr w:type="spellEnd"/>
      <w:r w:rsidRPr="005D5FBA">
        <w:rPr>
          <w:rFonts w:ascii="Helvetica" w:hAnsi="Helvetica" w:cs="Helvetica"/>
          <w:sz w:val="20"/>
          <w:szCs w:val="20"/>
        </w:rPr>
        <w:br/>
      </w:r>
      <w:r w:rsidRPr="005D5FBA">
        <w:rPr>
          <w:rFonts w:ascii="Helvetica" w:hAnsi="Helvetica" w:cs="Helvetica"/>
          <w:sz w:val="20"/>
          <w:szCs w:val="20"/>
          <w:shd w:val="clear" w:color="auto" w:fill="FFFFFF"/>
        </w:rPr>
        <w:t>Een overzicht van de opbrengst, de kosten en het resultaat (winst of verlies) over de afgelopen periode.</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verticale integratie</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 xml:space="preserve">Bedrijven omvatten meerdere schakels uit een bepaalde bedrijfskolom. Een kledingconcern heeft </w:t>
      </w:r>
      <w:r w:rsidRPr="005D5FBA">
        <w:rPr>
          <w:rFonts w:ascii="Helvetica" w:hAnsi="Helvetica" w:cs="Helvetica"/>
          <w:sz w:val="20"/>
          <w:szCs w:val="20"/>
          <w:shd w:val="clear" w:color="auto" w:fill="FFFFFF"/>
        </w:rPr>
        <w:lastRenderedPageBreak/>
        <w:t>bijvoorbeeld eigen fabrieken: ontwerp, productie en verkoop van kleding zijn geïntegreerd.</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verzonken kosten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Kosten die als ze eenmaal zijn gemaakt niet meer kunnen worden terugverdiend als een activiteit wordt gestaakt.</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voorraadgrootheden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Grootheden die op een bepaald moment of tijdstip wordt gemeten.</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vreemd vermogen</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Het door schuldeisers ingebrachte geld.</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winstmarge</w:t>
      </w:r>
      <w:r w:rsidRPr="005D5FBA">
        <w:rPr>
          <w:rStyle w:val="apple-converted-space"/>
          <w:rFonts w:ascii="Helvetica" w:hAnsi="Helvetica" w:cs="Helvetica"/>
          <w:sz w:val="20"/>
          <w:szCs w:val="20"/>
          <w:shd w:val="clear" w:color="auto" w:fill="FFFFFF"/>
        </w:rPr>
        <w:t> </w:t>
      </w:r>
      <w:r w:rsidRPr="005D5FBA">
        <w:rPr>
          <w:rFonts w:ascii="Helvetica" w:hAnsi="Helvetica" w:cs="Helvetica"/>
          <w:sz w:val="20"/>
          <w:szCs w:val="20"/>
          <w:shd w:val="clear" w:color="auto" w:fill="FFFFFF"/>
        </w:rPr>
        <w:t>(= winst per product)</w:t>
      </w:r>
      <w:r w:rsidRPr="005D5FBA">
        <w:rPr>
          <w:rFonts w:ascii="Helvetica" w:hAnsi="Helvetica" w:cs="Helvetica"/>
          <w:sz w:val="20"/>
          <w:szCs w:val="20"/>
        </w:rPr>
        <w:br/>
      </w:r>
      <w:r w:rsidRPr="005D5FBA">
        <w:rPr>
          <w:rFonts w:ascii="Helvetica" w:hAnsi="Helvetica" w:cs="Helvetica"/>
          <w:sz w:val="20"/>
          <w:szCs w:val="20"/>
          <w:shd w:val="clear" w:color="auto" w:fill="FFFFFF"/>
        </w:rPr>
        <w:t>Een positief verschil tussen de verkoopprijs en de kostprijs.</w:t>
      </w:r>
      <w:r w:rsidRPr="005D5FBA">
        <w:rPr>
          <w:rFonts w:ascii="Helvetica" w:hAnsi="Helvetica" w:cs="Helvetica"/>
          <w:sz w:val="20"/>
          <w:szCs w:val="20"/>
        </w:rPr>
        <w:br/>
      </w:r>
      <w:r w:rsidRPr="005D5FBA">
        <w:rPr>
          <w:rStyle w:val="Zwaar"/>
          <w:rFonts w:ascii="Helvetica" w:hAnsi="Helvetica" w:cs="Helvetica"/>
          <w:sz w:val="20"/>
          <w:szCs w:val="20"/>
          <w:bdr w:val="none" w:sz="0" w:space="0" w:color="auto" w:frame="1"/>
          <w:shd w:val="clear" w:color="auto" w:fill="FFFFFF"/>
        </w:rPr>
        <w:t>zelfstandige zonder personeel</w:t>
      </w:r>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 xml:space="preserve">(= </w:t>
      </w:r>
      <w:proofErr w:type="spellStart"/>
      <w:r w:rsidRPr="005D5FBA">
        <w:rPr>
          <w:rFonts w:ascii="Helvetica" w:hAnsi="Helvetica" w:cs="Helvetica"/>
          <w:sz w:val="20"/>
          <w:szCs w:val="20"/>
          <w:shd w:val="clear" w:color="auto" w:fill="FFFFFF"/>
        </w:rPr>
        <w:t>zzp’er</w:t>
      </w:r>
      <w:proofErr w:type="spellEnd"/>
      <w:r w:rsidRPr="005D5FBA">
        <w:rPr>
          <w:rFonts w:ascii="Helvetica" w:hAnsi="Helvetica" w:cs="Helvetica"/>
          <w:sz w:val="20"/>
          <w:szCs w:val="20"/>
          <w:shd w:val="clear" w:color="auto" w:fill="FFFFFF"/>
        </w:rPr>
        <w:t>) Een eenmanszaak zonder personeel.</w:t>
      </w:r>
      <w:r w:rsidRPr="005D5FBA">
        <w:rPr>
          <w:rFonts w:ascii="Helvetica" w:hAnsi="Helvetica" w:cs="Helvetica"/>
          <w:sz w:val="20"/>
          <w:szCs w:val="20"/>
        </w:rPr>
        <w:br/>
      </w:r>
      <w:proofErr w:type="spellStart"/>
      <w:r w:rsidRPr="005D5FBA">
        <w:rPr>
          <w:rStyle w:val="Zwaar"/>
          <w:rFonts w:ascii="Helvetica" w:hAnsi="Helvetica" w:cs="Helvetica"/>
          <w:sz w:val="20"/>
          <w:szCs w:val="20"/>
          <w:bdr w:val="none" w:sz="0" w:space="0" w:color="auto" w:frame="1"/>
          <w:shd w:val="clear" w:color="auto" w:fill="FFFFFF"/>
        </w:rPr>
        <w:t>zzp’er</w:t>
      </w:r>
      <w:proofErr w:type="spellEnd"/>
      <w:r w:rsidRPr="005D5FBA">
        <w:rPr>
          <w:rStyle w:val="apple-converted-space"/>
          <w:rFonts w:ascii="Helvetica" w:hAnsi="Helvetica" w:cs="Helvetica"/>
          <w:b/>
          <w:bCs/>
          <w:sz w:val="20"/>
          <w:szCs w:val="20"/>
          <w:bdr w:val="none" w:sz="0" w:space="0" w:color="auto" w:frame="1"/>
          <w:shd w:val="clear" w:color="auto" w:fill="FFFFFF"/>
        </w:rPr>
        <w:t> </w:t>
      </w:r>
      <w:r w:rsidRPr="005D5FBA">
        <w:rPr>
          <w:rFonts w:ascii="Helvetica" w:hAnsi="Helvetica" w:cs="Helvetica"/>
          <w:sz w:val="20"/>
          <w:szCs w:val="20"/>
        </w:rPr>
        <w:br/>
      </w:r>
      <w:r w:rsidRPr="005D5FBA">
        <w:rPr>
          <w:rFonts w:ascii="Helvetica" w:hAnsi="Helvetica" w:cs="Helvetica"/>
          <w:sz w:val="20"/>
          <w:szCs w:val="20"/>
          <w:shd w:val="clear" w:color="auto" w:fill="FFFFFF"/>
        </w:rPr>
        <w:t>Zie: zelfstandige zonder personeel.</w:t>
      </w:r>
    </w:p>
    <w:sectPr w:rsidR="001C11BA" w:rsidRPr="005D5FBA" w:rsidSect="000E19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F7D2A"/>
    <w:rsid w:val="00000236"/>
    <w:rsid w:val="000031A2"/>
    <w:rsid w:val="000042B1"/>
    <w:rsid w:val="00005842"/>
    <w:rsid w:val="000076C0"/>
    <w:rsid w:val="00011B49"/>
    <w:rsid w:val="00012BE5"/>
    <w:rsid w:val="00017EDF"/>
    <w:rsid w:val="00026DA6"/>
    <w:rsid w:val="0002708E"/>
    <w:rsid w:val="0003328D"/>
    <w:rsid w:val="000342F2"/>
    <w:rsid w:val="000423ED"/>
    <w:rsid w:val="00042F3C"/>
    <w:rsid w:val="0004395F"/>
    <w:rsid w:val="00046938"/>
    <w:rsid w:val="000471B6"/>
    <w:rsid w:val="000474CA"/>
    <w:rsid w:val="00050FA7"/>
    <w:rsid w:val="00051D24"/>
    <w:rsid w:val="00052DEB"/>
    <w:rsid w:val="00054A66"/>
    <w:rsid w:val="000557D6"/>
    <w:rsid w:val="00055B28"/>
    <w:rsid w:val="00056F77"/>
    <w:rsid w:val="000612D3"/>
    <w:rsid w:val="00062D52"/>
    <w:rsid w:val="00064941"/>
    <w:rsid w:val="00076D1B"/>
    <w:rsid w:val="00082D38"/>
    <w:rsid w:val="0008392F"/>
    <w:rsid w:val="00085BE9"/>
    <w:rsid w:val="00090F59"/>
    <w:rsid w:val="000B190F"/>
    <w:rsid w:val="000B35B6"/>
    <w:rsid w:val="000B3EBE"/>
    <w:rsid w:val="000B4836"/>
    <w:rsid w:val="000C1D61"/>
    <w:rsid w:val="000C73FE"/>
    <w:rsid w:val="000C7D75"/>
    <w:rsid w:val="000D25A0"/>
    <w:rsid w:val="000E0F40"/>
    <w:rsid w:val="000E19F2"/>
    <w:rsid w:val="000E3508"/>
    <w:rsid w:val="000E36D4"/>
    <w:rsid w:val="000E459C"/>
    <w:rsid w:val="000F0CA5"/>
    <w:rsid w:val="000F5A13"/>
    <w:rsid w:val="000F5FC6"/>
    <w:rsid w:val="00100A09"/>
    <w:rsid w:val="0010408F"/>
    <w:rsid w:val="00106C16"/>
    <w:rsid w:val="001106D6"/>
    <w:rsid w:val="001109F6"/>
    <w:rsid w:val="00112187"/>
    <w:rsid w:val="001135D0"/>
    <w:rsid w:val="001163A9"/>
    <w:rsid w:val="0011774A"/>
    <w:rsid w:val="00121F65"/>
    <w:rsid w:val="00122181"/>
    <w:rsid w:val="00122B8F"/>
    <w:rsid w:val="00122BBA"/>
    <w:rsid w:val="00125AEA"/>
    <w:rsid w:val="00135119"/>
    <w:rsid w:val="00140324"/>
    <w:rsid w:val="00141B11"/>
    <w:rsid w:val="00142250"/>
    <w:rsid w:val="00150B1E"/>
    <w:rsid w:val="00150E9F"/>
    <w:rsid w:val="0015279C"/>
    <w:rsid w:val="00153E45"/>
    <w:rsid w:val="0016580F"/>
    <w:rsid w:val="0016755B"/>
    <w:rsid w:val="00176281"/>
    <w:rsid w:val="00182786"/>
    <w:rsid w:val="00183219"/>
    <w:rsid w:val="001857CE"/>
    <w:rsid w:val="00191ABD"/>
    <w:rsid w:val="00194748"/>
    <w:rsid w:val="00195BD5"/>
    <w:rsid w:val="00196540"/>
    <w:rsid w:val="001A011B"/>
    <w:rsid w:val="001A3746"/>
    <w:rsid w:val="001A4239"/>
    <w:rsid w:val="001B3B29"/>
    <w:rsid w:val="001B56F8"/>
    <w:rsid w:val="001C11BA"/>
    <w:rsid w:val="001C1796"/>
    <w:rsid w:val="001C6343"/>
    <w:rsid w:val="001D0620"/>
    <w:rsid w:val="001E3F40"/>
    <w:rsid w:val="001E4BD0"/>
    <w:rsid w:val="001F1765"/>
    <w:rsid w:val="001F3720"/>
    <w:rsid w:val="00200791"/>
    <w:rsid w:val="00205F78"/>
    <w:rsid w:val="002128C0"/>
    <w:rsid w:val="00220DC6"/>
    <w:rsid w:val="00221023"/>
    <w:rsid w:val="0022605B"/>
    <w:rsid w:val="0022691D"/>
    <w:rsid w:val="00231D59"/>
    <w:rsid w:val="00241A7C"/>
    <w:rsid w:val="002444C7"/>
    <w:rsid w:val="0024752A"/>
    <w:rsid w:val="00252DA4"/>
    <w:rsid w:val="0025326F"/>
    <w:rsid w:val="002536CC"/>
    <w:rsid w:val="002543E8"/>
    <w:rsid w:val="00261A62"/>
    <w:rsid w:val="00267072"/>
    <w:rsid w:val="00267D06"/>
    <w:rsid w:val="00276862"/>
    <w:rsid w:val="00276E8E"/>
    <w:rsid w:val="00282CA9"/>
    <w:rsid w:val="00295F67"/>
    <w:rsid w:val="002A0E47"/>
    <w:rsid w:val="002A14F0"/>
    <w:rsid w:val="002A2512"/>
    <w:rsid w:val="002A2BE7"/>
    <w:rsid w:val="002A338D"/>
    <w:rsid w:val="002B15D3"/>
    <w:rsid w:val="002B2B32"/>
    <w:rsid w:val="002B7871"/>
    <w:rsid w:val="002C5AA9"/>
    <w:rsid w:val="002C7386"/>
    <w:rsid w:val="002C7CA6"/>
    <w:rsid w:val="002E0396"/>
    <w:rsid w:val="002E1F84"/>
    <w:rsid w:val="002F41F9"/>
    <w:rsid w:val="003046F3"/>
    <w:rsid w:val="00307BB0"/>
    <w:rsid w:val="0031407D"/>
    <w:rsid w:val="00321521"/>
    <w:rsid w:val="00321BF6"/>
    <w:rsid w:val="00322EF5"/>
    <w:rsid w:val="003270F6"/>
    <w:rsid w:val="00331083"/>
    <w:rsid w:val="00334528"/>
    <w:rsid w:val="003362AE"/>
    <w:rsid w:val="00344BFB"/>
    <w:rsid w:val="00344D58"/>
    <w:rsid w:val="00345682"/>
    <w:rsid w:val="0034582E"/>
    <w:rsid w:val="00346744"/>
    <w:rsid w:val="003468A2"/>
    <w:rsid w:val="003474CD"/>
    <w:rsid w:val="0035428D"/>
    <w:rsid w:val="00354C38"/>
    <w:rsid w:val="003551FE"/>
    <w:rsid w:val="003552F5"/>
    <w:rsid w:val="00355949"/>
    <w:rsid w:val="00361E24"/>
    <w:rsid w:val="003636D6"/>
    <w:rsid w:val="00371215"/>
    <w:rsid w:val="00371A1C"/>
    <w:rsid w:val="003803BB"/>
    <w:rsid w:val="003833B3"/>
    <w:rsid w:val="00386528"/>
    <w:rsid w:val="00387FED"/>
    <w:rsid w:val="00390830"/>
    <w:rsid w:val="00391017"/>
    <w:rsid w:val="00396489"/>
    <w:rsid w:val="00397DA3"/>
    <w:rsid w:val="003A3031"/>
    <w:rsid w:val="003A39C2"/>
    <w:rsid w:val="003A41F1"/>
    <w:rsid w:val="003A552B"/>
    <w:rsid w:val="003B1982"/>
    <w:rsid w:val="003B436F"/>
    <w:rsid w:val="003C56B4"/>
    <w:rsid w:val="003C7BE1"/>
    <w:rsid w:val="003C7EF0"/>
    <w:rsid w:val="003D02E8"/>
    <w:rsid w:val="003D5B36"/>
    <w:rsid w:val="003E007E"/>
    <w:rsid w:val="003E6223"/>
    <w:rsid w:val="003E6504"/>
    <w:rsid w:val="003F1CF1"/>
    <w:rsid w:val="003F421D"/>
    <w:rsid w:val="00400C9E"/>
    <w:rsid w:val="004045B6"/>
    <w:rsid w:val="004057A7"/>
    <w:rsid w:val="004058B7"/>
    <w:rsid w:val="004107D2"/>
    <w:rsid w:val="00410B30"/>
    <w:rsid w:val="004130E9"/>
    <w:rsid w:val="004258B6"/>
    <w:rsid w:val="0042652E"/>
    <w:rsid w:val="00430D4C"/>
    <w:rsid w:val="00434A47"/>
    <w:rsid w:val="004351B6"/>
    <w:rsid w:val="00442D16"/>
    <w:rsid w:val="00456167"/>
    <w:rsid w:val="00467BFF"/>
    <w:rsid w:val="00467C92"/>
    <w:rsid w:val="004729B9"/>
    <w:rsid w:val="0047369D"/>
    <w:rsid w:val="00476D03"/>
    <w:rsid w:val="00477FD9"/>
    <w:rsid w:val="00494655"/>
    <w:rsid w:val="004A08AA"/>
    <w:rsid w:val="004A12AB"/>
    <w:rsid w:val="004A1F2B"/>
    <w:rsid w:val="004A2BBD"/>
    <w:rsid w:val="004A5063"/>
    <w:rsid w:val="004A6DBC"/>
    <w:rsid w:val="004A7A81"/>
    <w:rsid w:val="004B0174"/>
    <w:rsid w:val="004B0CF0"/>
    <w:rsid w:val="004C1BFA"/>
    <w:rsid w:val="004C2F91"/>
    <w:rsid w:val="004C37BF"/>
    <w:rsid w:val="004C6694"/>
    <w:rsid w:val="004D040A"/>
    <w:rsid w:val="004D14D4"/>
    <w:rsid w:val="004D4AEB"/>
    <w:rsid w:val="004D675A"/>
    <w:rsid w:val="004F0D82"/>
    <w:rsid w:val="004F4E8C"/>
    <w:rsid w:val="00503EA9"/>
    <w:rsid w:val="00503EDC"/>
    <w:rsid w:val="00505BB4"/>
    <w:rsid w:val="00511F38"/>
    <w:rsid w:val="00513967"/>
    <w:rsid w:val="00535CBF"/>
    <w:rsid w:val="0053674D"/>
    <w:rsid w:val="0053694C"/>
    <w:rsid w:val="00541648"/>
    <w:rsid w:val="00545055"/>
    <w:rsid w:val="00553921"/>
    <w:rsid w:val="00555ABA"/>
    <w:rsid w:val="005601C2"/>
    <w:rsid w:val="005607F1"/>
    <w:rsid w:val="0056100C"/>
    <w:rsid w:val="00563DB7"/>
    <w:rsid w:val="00571843"/>
    <w:rsid w:val="00590EA0"/>
    <w:rsid w:val="00591208"/>
    <w:rsid w:val="00594108"/>
    <w:rsid w:val="005947C9"/>
    <w:rsid w:val="00597090"/>
    <w:rsid w:val="0059753A"/>
    <w:rsid w:val="005A763F"/>
    <w:rsid w:val="005B2574"/>
    <w:rsid w:val="005B2C9C"/>
    <w:rsid w:val="005C480C"/>
    <w:rsid w:val="005D0CD1"/>
    <w:rsid w:val="005D2761"/>
    <w:rsid w:val="005D2A20"/>
    <w:rsid w:val="005D2A7C"/>
    <w:rsid w:val="005D40E2"/>
    <w:rsid w:val="005D5FBA"/>
    <w:rsid w:val="005E004F"/>
    <w:rsid w:val="005E7FB4"/>
    <w:rsid w:val="005F156E"/>
    <w:rsid w:val="005F487D"/>
    <w:rsid w:val="005F4CF5"/>
    <w:rsid w:val="005F7A7E"/>
    <w:rsid w:val="0060039C"/>
    <w:rsid w:val="00603ECE"/>
    <w:rsid w:val="00604C7F"/>
    <w:rsid w:val="006122A2"/>
    <w:rsid w:val="00625C0B"/>
    <w:rsid w:val="00625DD6"/>
    <w:rsid w:val="006266E2"/>
    <w:rsid w:val="00626B8B"/>
    <w:rsid w:val="006272C7"/>
    <w:rsid w:val="00627673"/>
    <w:rsid w:val="00630510"/>
    <w:rsid w:val="0063464A"/>
    <w:rsid w:val="006369AC"/>
    <w:rsid w:val="00652620"/>
    <w:rsid w:val="0065559E"/>
    <w:rsid w:val="00656131"/>
    <w:rsid w:val="00660C34"/>
    <w:rsid w:val="00665213"/>
    <w:rsid w:val="006766E5"/>
    <w:rsid w:val="006806C2"/>
    <w:rsid w:val="00685295"/>
    <w:rsid w:val="006865C3"/>
    <w:rsid w:val="006905D9"/>
    <w:rsid w:val="006908AA"/>
    <w:rsid w:val="006913BA"/>
    <w:rsid w:val="00696275"/>
    <w:rsid w:val="006975FB"/>
    <w:rsid w:val="006A0154"/>
    <w:rsid w:val="006A1385"/>
    <w:rsid w:val="006A1F68"/>
    <w:rsid w:val="006A2246"/>
    <w:rsid w:val="006A275D"/>
    <w:rsid w:val="006A4B34"/>
    <w:rsid w:val="006A76D7"/>
    <w:rsid w:val="006B15CB"/>
    <w:rsid w:val="006B337E"/>
    <w:rsid w:val="006B4B75"/>
    <w:rsid w:val="006B70BA"/>
    <w:rsid w:val="006B7748"/>
    <w:rsid w:val="006C4240"/>
    <w:rsid w:val="006C7E0B"/>
    <w:rsid w:val="006D066B"/>
    <w:rsid w:val="006D078A"/>
    <w:rsid w:val="006D2054"/>
    <w:rsid w:val="006D21D0"/>
    <w:rsid w:val="006D5016"/>
    <w:rsid w:val="006D7C0A"/>
    <w:rsid w:val="006E04E1"/>
    <w:rsid w:val="006E2E73"/>
    <w:rsid w:val="006E3315"/>
    <w:rsid w:val="006E3DC1"/>
    <w:rsid w:val="006F0E99"/>
    <w:rsid w:val="006F29CB"/>
    <w:rsid w:val="006F77B8"/>
    <w:rsid w:val="006F7AC8"/>
    <w:rsid w:val="007003EA"/>
    <w:rsid w:val="00703C32"/>
    <w:rsid w:val="00705439"/>
    <w:rsid w:val="00707962"/>
    <w:rsid w:val="0071016E"/>
    <w:rsid w:val="00711A34"/>
    <w:rsid w:val="00713C1C"/>
    <w:rsid w:val="00722A98"/>
    <w:rsid w:val="00723D2B"/>
    <w:rsid w:val="00725FEB"/>
    <w:rsid w:val="00726746"/>
    <w:rsid w:val="00726D1E"/>
    <w:rsid w:val="00731E45"/>
    <w:rsid w:val="007321ED"/>
    <w:rsid w:val="007372D3"/>
    <w:rsid w:val="00737FB7"/>
    <w:rsid w:val="00740607"/>
    <w:rsid w:val="00745503"/>
    <w:rsid w:val="00750E4E"/>
    <w:rsid w:val="007551D8"/>
    <w:rsid w:val="007622C8"/>
    <w:rsid w:val="007725B1"/>
    <w:rsid w:val="007751AE"/>
    <w:rsid w:val="00781FFF"/>
    <w:rsid w:val="00783918"/>
    <w:rsid w:val="00790CC5"/>
    <w:rsid w:val="007A0C9D"/>
    <w:rsid w:val="007A1E41"/>
    <w:rsid w:val="007A250E"/>
    <w:rsid w:val="007A48B9"/>
    <w:rsid w:val="007A5C8B"/>
    <w:rsid w:val="007A6070"/>
    <w:rsid w:val="007B1E61"/>
    <w:rsid w:val="007B2E7B"/>
    <w:rsid w:val="007B347C"/>
    <w:rsid w:val="007B5CA9"/>
    <w:rsid w:val="007C23B8"/>
    <w:rsid w:val="007D5D8B"/>
    <w:rsid w:val="007E6448"/>
    <w:rsid w:val="007E77BE"/>
    <w:rsid w:val="007F4B2D"/>
    <w:rsid w:val="007F6EB8"/>
    <w:rsid w:val="00805C97"/>
    <w:rsid w:val="0081059C"/>
    <w:rsid w:val="00810643"/>
    <w:rsid w:val="00814031"/>
    <w:rsid w:val="00815599"/>
    <w:rsid w:val="0081575A"/>
    <w:rsid w:val="00815A45"/>
    <w:rsid w:val="008244DA"/>
    <w:rsid w:val="00825570"/>
    <w:rsid w:val="00832BF8"/>
    <w:rsid w:val="008349C1"/>
    <w:rsid w:val="008379AC"/>
    <w:rsid w:val="008400A3"/>
    <w:rsid w:val="008470BE"/>
    <w:rsid w:val="00847A26"/>
    <w:rsid w:val="008552D2"/>
    <w:rsid w:val="00856183"/>
    <w:rsid w:val="00856328"/>
    <w:rsid w:val="00860340"/>
    <w:rsid w:val="0086361A"/>
    <w:rsid w:val="00874341"/>
    <w:rsid w:val="00874C83"/>
    <w:rsid w:val="00880934"/>
    <w:rsid w:val="0088165A"/>
    <w:rsid w:val="00885ED8"/>
    <w:rsid w:val="00887883"/>
    <w:rsid w:val="00895A6D"/>
    <w:rsid w:val="008A4DD4"/>
    <w:rsid w:val="008A5882"/>
    <w:rsid w:val="008A5BF8"/>
    <w:rsid w:val="008A6699"/>
    <w:rsid w:val="008A7A63"/>
    <w:rsid w:val="008B0DF4"/>
    <w:rsid w:val="008B2AC4"/>
    <w:rsid w:val="008B36B8"/>
    <w:rsid w:val="008C3B80"/>
    <w:rsid w:val="008C401C"/>
    <w:rsid w:val="008C58A9"/>
    <w:rsid w:val="008C791A"/>
    <w:rsid w:val="008D6D1E"/>
    <w:rsid w:val="008D7DB4"/>
    <w:rsid w:val="008E0A1C"/>
    <w:rsid w:val="008E1CCC"/>
    <w:rsid w:val="008E2876"/>
    <w:rsid w:val="008E3A8E"/>
    <w:rsid w:val="008F13C6"/>
    <w:rsid w:val="008F5362"/>
    <w:rsid w:val="0090484E"/>
    <w:rsid w:val="0090497A"/>
    <w:rsid w:val="00910D26"/>
    <w:rsid w:val="00914DB8"/>
    <w:rsid w:val="00916BD0"/>
    <w:rsid w:val="00922CF2"/>
    <w:rsid w:val="009231F3"/>
    <w:rsid w:val="00924C73"/>
    <w:rsid w:val="00933109"/>
    <w:rsid w:val="00934885"/>
    <w:rsid w:val="009410DB"/>
    <w:rsid w:val="00941913"/>
    <w:rsid w:val="00941F23"/>
    <w:rsid w:val="00943636"/>
    <w:rsid w:val="00944B01"/>
    <w:rsid w:val="00944DB9"/>
    <w:rsid w:val="009562D8"/>
    <w:rsid w:val="00961EAF"/>
    <w:rsid w:val="0096524E"/>
    <w:rsid w:val="00970FB8"/>
    <w:rsid w:val="00971215"/>
    <w:rsid w:val="009804B7"/>
    <w:rsid w:val="00981B55"/>
    <w:rsid w:val="009842D7"/>
    <w:rsid w:val="00992379"/>
    <w:rsid w:val="00992477"/>
    <w:rsid w:val="009A15E5"/>
    <w:rsid w:val="009A525D"/>
    <w:rsid w:val="009B0DF3"/>
    <w:rsid w:val="009B7D39"/>
    <w:rsid w:val="009C0CF8"/>
    <w:rsid w:val="009C1BAC"/>
    <w:rsid w:val="009C7949"/>
    <w:rsid w:val="009D0027"/>
    <w:rsid w:val="009D1E04"/>
    <w:rsid w:val="009D2B63"/>
    <w:rsid w:val="009D56A5"/>
    <w:rsid w:val="009E0C78"/>
    <w:rsid w:val="009E4227"/>
    <w:rsid w:val="009E5590"/>
    <w:rsid w:val="009F67B8"/>
    <w:rsid w:val="009F7D2A"/>
    <w:rsid w:val="009F7D4F"/>
    <w:rsid w:val="00A03AA5"/>
    <w:rsid w:val="00A03BEA"/>
    <w:rsid w:val="00A05500"/>
    <w:rsid w:val="00A05D1D"/>
    <w:rsid w:val="00A072DC"/>
    <w:rsid w:val="00A10079"/>
    <w:rsid w:val="00A240D0"/>
    <w:rsid w:val="00A30411"/>
    <w:rsid w:val="00A31B31"/>
    <w:rsid w:val="00A37480"/>
    <w:rsid w:val="00A40DC8"/>
    <w:rsid w:val="00A40E5E"/>
    <w:rsid w:val="00A42A8C"/>
    <w:rsid w:val="00A4738B"/>
    <w:rsid w:val="00A5236B"/>
    <w:rsid w:val="00A54E1F"/>
    <w:rsid w:val="00A5699D"/>
    <w:rsid w:val="00A6269E"/>
    <w:rsid w:val="00A66DCD"/>
    <w:rsid w:val="00A70FCD"/>
    <w:rsid w:val="00A71351"/>
    <w:rsid w:val="00A75226"/>
    <w:rsid w:val="00A75413"/>
    <w:rsid w:val="00A83BB2"/>
    <w:rsid w:val="00A90FD1"/>
    <w:rsid w:val="00A90FFB"/>
    <w:rsid w:val="00A9593E"/>
    <w:rsid w:val="00A95AAC"/>
    <w:rsid w:val="00A964E1"/>
    <w:rsid w:val="00AA0C76"/>
    <w:rsid w:val="00AA0EE7"/>
    <w:rsid w:val="00AA18E9"/>
    <w:rsid w:val="00AB2126"/>
    <w:rsid w:val="00AB3038"/>
    <w:rsid w:val="00AB49C7"/>
    <w:rsid w:val="00AC20CD"/>
    <w:rsid w:val="00AC3296"/>
    <w:rsid w:val="00AC510E"/>
    <w:rsid w:val="00AC764B"/>
    <w:rsid w:val="00AD1E35"/>
    <w:rsid w:val="00AD4DDE"/>
    <w:rsid w:val="00AE0140"/>
    <w:rsid w:val="00AE035B"/>
    <w:rsid w:val="00AE298E"/>
    <w:rsid w:val="00AE66C5"/>
    <w:rsid w:val="00AE6D22"/>
    <w:rsid w:val="00AE7640"/>
    <w:rsid w:val="00AF27E1"/>
    <w:rsid w:val="00AF285E"/>
    <w:rsid w:val="00AF30AF"/>
    <w:rsid w:val="00AF365C"/>
    <w:rsid w:val="00AF6743"/>
    <w:rsid w:val="00AF7AD2"/>
    <w:rsid w:val="00B043E9"/>
    <w:rsid w:val="00B044D8"/>
    <w:rsid w:val="00B0565A"/>
    <w:rsid w:val="00B066F9"/>
    <w:rsid w:val="00B13780"/>
    <w:rsid w:val="00B17364"/>
    <w:rsid w:val="00B256A9"/>
    <w:rsid w:val="00B25B73"/>
    <w:rsid w:val="00B35376"/>
    <w:rsid w:val="00B36A1F"/>
    <w:rsid w:val="00B43247"/>
    <w:rsid w:val="00B4566B"/>
    <w:rsid w:val="00B46390"/>
    <w:rsid w:val="00B466E2"/>
    <w:rsid w:val="00B53613"/>
    <w:rsid w:val="00B5613D"/>
    <w:rsid w:val="00B56860"/>
    <w:rsid w:val="00B61887"/>
    <w:rsid w:val="00B62135"/>
    <w:rsid w:val="00B64025"/>
    <w:rsid w:val="00B718EB"/>
    <w:rsid w:val="00B719F3"/>
    <w:rsid w:val="00B71BAA"/>
    <w:rsid w:val="00B72D20"/>
    <w:rsid w:val="00B72D4D"/>
    <w:rsid w:val="00B84730"/>
    <w:rsid w:val="00B84F5F"/>
    <w:rsid w:val="00B860CB"/>
    <w:rsid w:val="00B90741"/>
    <w:rsid w:val="00B90EFE"/>
    <w:rsid w:val="00B91696"/>
    <w:rsid w:val="00B93C68"/>
    <w:rsid w:val="00B957DB"/>
    <w:rsid w:val="00B96CB3"/>
    <w:rsid w:val="00B97296"/>
    <w:rsid w:val="00BA0CCB"/>
    <w:rsid w:val="00BA41C8"/>
    <w:rsid w:val="00BA797E"/>
    <w:rsid w:val="00BB08F9"/>
    <w:rsid w:val="00BB19C6"/>
    <w:rsid w:val="00BB34D4"/>
    <w:rsid w:val="00BB6397"/>
    <w:rsid w:val="00BC0F49"/>
    <w:rsid w:val="00BC2B36"/>
    <w:rsid w:val="00BC5E06"/>
    <w:rsid w:val="00BC77A9"/>
    <w:rsid w:val="00BE0FF7"/>
    <w:rsid w:val="00BF4B0D"/>
    <w:rsid w:val="00C0080A"/>
    <w:rsid w:val="00C03986"/>
    <w:rsid w:val="00C0467E"/>
    <w:rsid w:val="00C07209"/>
    <w:rsid w:val="00C07BED"/>
    <w:rsid w:val="00C10F78"/>
    <w:rsid w:val="00C120A1"/>
    <w:rsid w:val="00C13B70"/>
    <w:rsid w:val="00C15904"/>
    <w:rsid w:val="00C15B19"/>
    <w:rsid w:val="00C15F07"/>
    <w:rsid w:val="00C177BC"/>
    <w:rsid w:val="00C31962"/>
    <w:rsid w:val="00C33BD2"/>
    <w:rsid w:val="00C40F07"/>
    <w:rsid w:val="00C44771"/>
    <w:rsid w:val="00C54415"/>
    <w:rsid w:val="00C60D05"/>
    <w:rsid w:val="00C60D30"/>
    <w:rsid w:val="00C61310"/>
    <w:rsid w:val="00C823A6"/>
    <w:rsid w:val="00C9007E"/>
    <w:rsid w:val="00C9123D"/>
    <w:rsid w:val="00CA0D20"/>
    <w:rsid w:val="00CA5C2C"/>
    <w:rsid w:val="00CB5675"/>
    <w:rsid w:val="00CB5F70"/>
    <w:rsid w:val="00CC19CE"/>
    <w:rsid w:val="00CC2321"/>
    <w:rsid w:val="00CC47E5"/>
    <w:rsid w:val="00CC6A37"/>
    <w:rsid w:val="00CD1F68"/>
    <w:rsid w:val="00CD66D2"/>
    <w:rsid w:val="00CE2E4C"/>
    <w:rsid w:val="00CF0572"/>
    <w:rsid w:val="00CF0B12"/>
    <w:rsid w:val="00CF1E2D"/>
    <w:rsid w:val="00CF216C"/>
    <w:rsid w:val="00CF4C34"/>
    <w:rsid w:val="00CF7165"/>
    <w:rsid w:val="00CF790B"/>
    <w:rsid w:val="00D10A59"/>
    <w:rsid w:val="00D136D9"/>
    <w:rsid w:val="00D20C8B"/>
    <w:rsid w:val="00D21356"/>
    <w:rsid w:val="00D2428C"/>
    <w:rsid w:val="00D262BF"/>
    <w:rsid w:val="00D31AF5"/>
    <w:rsid w:val="00D32D82"/>
    <w:rsid w:val="00D32F3C"/>
    <w:rsid w:val="00D361FF"/>
    <w:rsid w:val="00D40C11"/>
    <w:rsid w:val="00D442B1"/>
    <w:rsid w:val="00D462E1"/>
    <w:rsid w:val="00D512D4"/>
    <w:rsid w:val="00D515C2"/>
    <w:rsid w:val="00D52695"/>
    <w:rsid w:val="00D53323"/>
    <w:rsid w:val="00D55D72"/>
    <w:rsid w:val="00D56121"/>
    <w:rsid w:val="00D60FCB"/>
    <w:rsid w:val="00D628A8"/>
    <w:rsid w:val="00D6684E"/>
    <w:rsid w:val="00D8065C"/>
    <w:rsid w:val="00D82FF7"/>
    <w:rsid w:val="00D848E5"/>
    <w:rsid w:val="00D87432"/>
    <w:rsid w:val="00D912CB"/>
    <w:rsid w:val="00D919E9"/>
    <w:rsid w:val="00D93976"/>
    <w:rsid w:val="00D9422B"/>
    <w:rsid w:val="00D94D07"/>
    <w:rsid w:val="00DB0FD9"/>
    <w:rsid w:val="00DB5C0C"/>
    <w:rsid w:val="00DC199B"/>
    <w:rsid w:val="00DD1109"/>
    <w:rsid w:val="00DD22DE"/>
    <w:rsid w:val="00DD3B11"/>
    <w:rsid w:val="00DD683C"/>
    <w:rsid w:val="00DE338B"/>
    <w:rsid w:val="00DE3AC2"/>
    <w:rsid w:val="00DE55B5"/>
    <w:rsid w:val="00DF42E5"/>
    <w:rsid w:val="00DF48F5"/>
    <w:rsid w:val="00E020F0"/>
    <w:rsid w:val="00E046B8"/>
    <w:rsid w:val="00E07AC4"/>
    <w:rsid w:val="00E13785"/>
    <w:rsid w:val="00E17561"/>
    <w:rsid w:val="00E20AC0"/>
    <w:rsid w:val="00E22F2B"/>
    <w:rsid w:val="00E23EC6"/>
    <w:rsid w:val="00E25A21"/>
    <w:rsid w:val="00E32E0D"/>
    <w:rsid w:val="00E34381"/>
    <w:rsid w:val="00E37219"/>
    <w:rsid w:val="00E46053"/>
    <w:rsid w:val="00E5061F"/>
    <w:rsid w:val="00E5459E"/>
    <w:rsid w:val="00E60AE7"/>
    <w:rsid w:val="00E62FEA"/>
    <w:rsid w:val="00E73600"/>
    <w:rsid w:val="00E742A3"/>
    <w:rsid w:val="00E816A5"/>
    <w:rsid w:val="00E90091"/>
    <w:rsid w:val="00E9520F"/>
    <w:rsid w:val="00EC00BE"/>
    <w:rsid w:val="00EC0B3A"/>
    <w:rsid w:val="00EC4D12"/>
    <w:rsid w:val="00EC629F"/>
    <w:rsid w:val="00EC6804"/>
    <w:rsid w:val="00ED0287"/>
    <w:rsid w:val="00ED471E"/>
    <w:rsid w:val="00EE0D28"/>
    <w:rsid w:val="00EE1EE6"/>
    <w:rsid w:val="00EE26C0"/>
    <w:rsid w:val="00EF2BDC"/>
    <w:rsid w:val="00EF7C7E"/>
    <w:rsid w:val="00F00E50"/>
    <w:rsid w:val="00F0133B"/>
    <w:rsid w:val="00F0206E"/>
    <w:rsid w:val="00F05681"/>
    <w:rsid w:val="00F0681C"/>
    <w:rsid w:val="00F16466"/>
    <w:rsid w:val="00F17A02"/>
    <w:rsid w:val="00F20002"/>
    <w:rsid w:val="00F212A3"/>
    <w:rsid w:val="00F21345"/>
    <w:rsid w:val="00F23576"/>
    <w:rsid w:val="00F2373D"/>
    <w:rsid w:val="00F25B87"/>
    <w:rsid w:val="00F2625F"/>
    <w:rsid w:val="00F27C12"/>
    <w:rsid w:val="00F30301"/>
    <w:rsid w:val="00F31288"/>
    <w:rsid w:val="00F4142C"/>
    <w:rsid w:val="00F42469"/>
    <w:rsid w:val="00F5320D"/>
    <w:rsid w:val="00F62EAA"/>
    <w:rsid w:val="00F6654D"/>
    <w:rsid w:val="00F665F2"/>
    <w:rsid w:val="00F70AF9"/>
    <w:rsid w:val="00F720AA"/>
    <w:rsid w:val="00F75755"/>
    <w:rsid w:val="00F80419"/>
    <w:rsid w:val="00F96EE6"/>
    <w:rsid w:val="00F97FC5"/>
    <w:rsid w:val="00FA1BA2"/>
    <w:rsid w:val="00FB269A"/>
    <w:rsid w:val="00FB3987"/>
    <w:rsid w:val="00FB4730"/>
    <w:rsid w:val="00FC41B3"/>
    <w:rsid w:val="00FD4675"/>
    <w:rsid w:val="00FD4C63"/>
    <w:rsid w:val="00FE2B93"/>
    <w:rsid w:val="00FF2049"/>
    <w:rsid w:val="00FF3FE7"/>
    <w:rsid w:val="00FF4478"/>
    <w:rsid w:val="00FF7F5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E19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F7D2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9F7D2A"/>
    <w:rPr>
      <w:b/>
      <w:bCs/>
    </w:rPr>
  </w:style>
  <w:style w:type="paragraph" w:styleId="Lijstalinea">
    <w:name w:val="List Paragraph"/>
    <w:basedOn w:val="Standaard"/>
    <w:uiPriority w:val="34"/>
    <w:qFormat/>
    <w:rsid w:val="009842D7"/>
    <w:pPr>
      <w:ind w:left="720"/>
      <w:contextualSpacing/>
    </w:pPr>
  </w:style>
  <w:style w:type="character" w:customStyle="1" w:styleId="apple-converted-space">
    <w:name w:val="apple-converted-space"/>
    <w:basedOn w:val="Standaardalinea-lettertype"/>
    <w:rsid w:val="001C11BA"/>
  </w:style>
  <w:style w:type="paragraph" w:styleId="Geenafstand">
    <w:name w:val="No Spacing"/>
    <w:uiPriority w:val="1"/>
    <w:qFormat/>
    <w:rsid w:val="005D5FBA"/>
    <w:pPr>
      <w:spacing w:after="0" w:line="240" w:lineRule="auto"/>
    </w:pPr>
  </w:style>
</w:styles>
</file>

<file path=word/webSettings.xml><?xml version="1.0" encoding="utf-8"?>
<w:webSettings xmlns:r="http://schemas.openxmlformats.org/officeDocument/2006/relationships" xmlns:w="http://schemas.openxmlformats.org/wordprocessingml/2006/main">
  <w:divs>
    <w:div w:id="146939154">
      <w:bodyDiv w:val="1"/>
      <w:marLeft w:val="0"/>
      <w:marRight w:val="0"/>
      <w:marTop w:val="0"/>
      <w:marBottom w:val="0"/>
      <w:divBdr>
        <w:top w:val="none" w:sz="0" w:space="0" w:color="auto"/>
        <w:left w:val="none" w:sz="0" w:space="0" w:color="auto"/>
        <w:bottom w:val="none" w:sz="0" w:space="0" w:color="auto"/>
        <w:right w:val="none" w:sz="0" w:space="0" w:color="auto"/>
      </w:divBdr>
    </w:div>
    <w:div w:id="6805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3132</Words>
  <Characters>17232</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6</cp:revision>
  <dcterms:created xsi:type="dcterms:W3CDTF">2014-03-19T15:54:00Z</dcterms:created>
  <dcterms:modified xsi:type="dcterms:W3CDTF">2014-03-19T16:37:00Z</dcterms:modified>
</cp:coreProperties>
</file>