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CIPHER research and submission guide</w:t>
      </w:r>
    </w:p>
    <w:p>
      <w:pPr>
        <w:pStyle w:val="Subtitle"/>
        <w:widowControl/>
      </w:pPr>
      <w:r>
        <w:t>Contextual Instruction Precedence and Hierarchy Evaluation for Repositories</w:t>
      </w:r>
    </w:p>
    <w:p>
      <w:pPr>
        <w:widowControl/>
      </w:pPr>
      <w:r>
        <w:t>TEXTUAL 2027 | Research proposal | 18 October 2026</w:t>
      </w:r>
    </w:p>
    <w:p>
      <w:pPr>
        <w:pStyle w:val="Heading1"/>
      </w:pPr>
      <w:r>
        <w:t>Research decision and project identity</w:t>
      </w:r>
    </w:p>
    <w:p>
      <w:pPr>
        <w:widowControl/>
      </w:pPr>
      <w:r>
        <w:t>Develop CIPHER as a compact research study of repository instruction conflicts. The central question is whether an AI system can tell a genuine contradiction from a legitimate local exception. The proposed artifact is an independently annotated diagnostic benchmark and a small comparison of methods. This is a realistic research direction for a short timeline because it avoids training a new foundation model or running an entire coding-agent benchmark.</w:t>
      </w:r>
    </w:p>
    <w:p>
      <w:pPr>
        <w:widowControl/>
      </w:pPr>
      <w:r>
        <w:t>CIPHER stands for Contextual Instruction Precedence and Hierarchy Evaluation for Repositories. Contextual means that the task and location matter. Instruction identifies the natural-language rules being studied. Precedence and hierarchy specify how applicable rules relate. Evaluation makes clear that the contribution must be demonstrated through a study. Repositories connect the idea directly to software engineering.</w:t>
      </w:r>
    </w:p>
    <w:p>
      <w:pPr>
        <w:widowControl/>
      </w:pPr>
      <w:r>
        <w:t>Use the full expansion as the paper title. For a talk, a clearer explanatory subtitle is “When conflicting repository instructions are valid local overrides.” The working name is a research label; a web search for an exact expansion is not proof that the short acronym is globally unique.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2376"/>
        <w:gridCol w:w="5904"/>
      </w:tblGrid>
      <w:tr>
        <w:trPr>
          <w:tblHeader/>
          <w:cantSplit/>
        </w:trPr>
        <w:tc>
          <w:tcPr>
            <w:tcW w:type="dxa" w:w="1080"/>
            <w:vAlign w:val="center"/>
            <w:shd w:fill="17344D"/>
            <w:tcMar>
              <w:top w:w="95" w:type="dxa"/>
              <w:left w:w="95" w:type="dxa"/>
              <w:bottom w:w="95" w:type="dxa"/>
              <w:right w:w="95" w:type="dxa"/>
            </w:tcMar>
          </w:tcPr>
          <w:p>
            <w:pPr>
              <w:spacing w:after="40" w:before="40" w:line="240" w:lineRule="auto"/>
            </w:pPr>
            <w:r>
              <w:rPr>
                <w:b/>
                <w:color w:val="FFFFFF"/>
                <w:sz w:val="18"/>
              </w:rPr>
              <w:t>Author order</w:t>
            </w:r>
          </w:p>
        </w:tc>
        <w:tc>
          <w:tcPr>
            <w:tcW w:type="dxa" w:w="2376"/>
            <w:vAlign w:val="center"/>
            <w:shd w:fill="17344D"/>
            <w:tcMar>
              <w:top w:w="95" w:type="dxa"/>
              <w:left w:w="95" w:type="dxa"/>
              <w:bottom w:w="95" w:type="dxa"/>
              <w:right w:w="95" w:type="dxa"/>
            </w:tcMar>
          </w:tcPr>
          <w:p>
            <w:pPr>
              <w:spacing w:after="40" w:before="40" w:line="240" w:lineRule="auto"/>
            </w:pPr>
            <w:r>
              <w:rPr>
                <w:b/>
                <w:color w:val="FFFFFF"/>
                <w:sz w:val="18"/>
              </w:rPr>
              <w:t>Name</w:t>
            </w:r>
          </w:p>
        </w:tc>
        <w:tc>
          <w:tcPr>
            <w:tcW w:type="dxa" w:w="5904"/>
            <w:vAlign w:val="center"/>
            <w:shd w:fill="17344D"/>
            <w:tcMar>
              <w:top w:w="95" w:type="dxa"/>
              <w:left w:w="95" w:type="dxa"/>
              <w:bottom w:w="95" w:type="dxa"/>
              <w:right w:w="95" w:type="dxa"/>
            </w:tcMar>
          </w:tcPr>
          <w:p>
            <w:pPr>
              <w:spacing w:after="40" w:before="40" w:line="240" w:lineRule="auto"/>
            </w:pPr>
            <w:r>
              <w:rPr>
                <w:b/>
                <w:color w:val="FFFFFF"/>
                <w:sz w:val="18"/>
              </w:rPr>
              <w:t>Affiliation and email</w:t>
            </w:r>
          </w:p>
        </w:tc>
      </w:tr>
      <w:tr>
        <w:trPr>
          <w:cantSplit/>
        </w:trPr>
        <w:tc>
          <w:tcPr>
            <w:tcW w:type="dxa" w:w="1080"/>
            <w:vAlign w:val="center"/>
            <w:shd w:fill="FFFFFF"/>
            <w:tcMar>
              <w:top w:w="95" w:type="dxa"/>
              <w:left w:w="95" w:type="dxa"/>
              <w:bottom w:w="95" w:type="dxa"/>
              <w:right w:w="95" w:type="dxa"/>
            </w:tcMar>
          </w:tcPr>
          <w:p>
            <w:pPr>
              <w:spacing w:after="40" w:before="40" w:line="240" w:lineRule="auto"/>
            </w:pPr>
            <w:r>
              <w:rPr>
                <w:b w:val="0"/>
                <w:color w:val="000000"/>
                <w:sz w:val="18"/>
              </w:rPr>
              <w:t>1</w:t>
            </w:r>
          </w:p>
        </w:tc>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Awaiz Ahmed</w:t>
            </w:r>
          </w:p>
        </w:tc>
        <w:tc>
          <w:tcPr>
            <w:tcW w:type="dxa" w:w="5904"/>
            <w:vAlign w:val="center"/>
            <w:shd w:fill="FFFFFF"/>
            <w:tcMar>
              <w:top w:w="95" w:type="dxa"/>
              <w:left w:w="95" w:type="dxa"/>
              <w:bottom w:w="95" w:type="dxa"/>
              <w:right w:w="95" w:type="dxa"/>
            </w:tcMar>
          </w:tcPr>
          <w:p>
            <w:pPr>
              <w:spacing w:after="40" w:before="40" w:line="240" w:lineRule="auto"/>
            </w:pPr>
            <w:r>
              <w:rPr>
                <w:b w:val="0"/>
                <w:color w:val="000000"/>
                <w:sz w:val="18"/>
              </w:rPr>
              <w:t>Al Ain University</w:t>
              <w:br/>
              <w:t>202310183@aau.ac.ae</w:t>
            </w:r>
          </w:p>
        </w:tc>
      </w:tr>
      <w:tr>
        <w:trPr>
          <w:cantSplit/>
        </w:trPr>
        <w:tc>
          <w:tcPr>
            <w:tcW w:type="dxa" w:w="1080"/>
            <w:vAlign w:val="center"/>
            <w:shd w:fill="F3F6F8"/>
            <w:tcMar>
              <w:top w:w="95" w:type="dxa"/>
              <w:left w:w="95" w:type="dxa"/>
              <w:bottom w:w="95" w:type="dxa"/>
              <w:right w:w="95" w:type="dxa"/>
            </w:tcMar>
          </w:tcPr>
          <w:p>
            <w:pPr>
              <w:spacing w:after="40" w:before="40" w:line="240" w:lineRule="auto"/>
            </w:pPr>
            <w:r>
              <w:rPr>
                <w:b w:val="0"/>
                <w:color w:val="000000"/>
                <w:sz w:val="18"/>
              </w:rPr>
              <w:t>2</w:t>
            </w:r>
          </w:p>
        </w:tc>
        <w:tc>
          <w:tcPr>
            <w:tcW w:type="dxa" w:w="2376"/>
            <w:vAlign w:val="center"/>
            <w:shd w:fill="F3F6F8"/>
            <w:tcMar>
              <w:top w:w="95" w:type="dxa"/>
              <w:left w:w="95" w:type="dxa"/>
              <w:bottom w:w="95" w:type="dxa"/>
              <w:right w:w="95" w:type="dxa"/>
            </w:tcMar>
          </w:tcPr>
          <w:p>
            <w:pPr>
              <w:spacing w:after="40" w:before="40" w:line="240" w:lineRule="auto"/>
            </w:pPr>
            <w:r>
              <w:rPr>
                <w:b w:val="0"/>
                <w:color w:val="000000"/>
                <w:sz w:val="18"/>
              </w:rPr>
              <w:t>Mohammad Umar</w:t>
            </w:r>
          </w:p>
        </w:tc>
        <w:tc>
          <w:tcPr>
            <w:tcW w:type="dxa" w:w="5904"/>
            <w:vAlign w:val="center"/>
            <w:shd w:fill="F3F6F8"/>
            <w:tcMar>
              <w:top w:w="95" w:type="dxa"/>
              <w:left w:w="95" w:type="dxa"/>
              <w:bottom w:w="95" w:type="dxa"/>
              <w:right w:w="95" w:type="dxa"/>
            </w:tcMar>
          </w:tcPr>
          <w:p>
            <w:pPr>
              <w:spacing w:after="40" w:before="40" w:line="240" w:lineRule="auto"/>
            </w:pPr>
            <w:r>
              <w:rPr>
                <w:b w:val="0"/>
                <w:color w:val="000000"/>
                <w:sz w:val="18"/>
              </w:rPr>
              <w:t>Al Ain University</w:t>
              <w:br/>
              <w:t>202240077@aau.ac.ae</w:t>
            </w:r>
          </w:p>
        </w:tc>
      </w:tr>
      <w:tr>
        <w:trPr>
          <w:cantSplit/>
        </w:trPr>
        <w:tc>
          <w:tcPr>
            <w:tcW w:type="dxa" w:w="1080"/>
            <w:vAlign w:val="center"/>
            <w:shd w:fill="FFFFFF"/>
            <w:tcMar>
              <w:top w:w="95" w:type="dxa"/>
              <w:left w:w="95" w:type="dxa"/>
              <w:bottom w:w="95" w:type="dxa"/>
              <w:right w:w="95" w:type="dxa"/>
            </w:tcMar>
          </w:tcPr>
          <w:p>
            <w:pPr>
              <w:spacing w:after="40" w:before="40" w:line="240" w:lineRule="auto"/>
            </w:pPr>
            <w:r>
              <w:rPr>
                <w:b w:val="0"/>
                <w:color w:val="000000"/>
                <w:sz w:val="18"/>
              </w:rPr>
              <w:t>3</w:t>
            </w:r>
          </w:p>
        </w:tc>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Huda Mueen</w:t>
            </w:r>
          </w:p>
        </w:tc>
        <w:tc>
          <w:tcPr>
            <w:tcW w:type="dxa" w:w="5904"/>
            <w:vAlign w:val="center"/>
            <w:shd w:fill="FFFFFF"/>
            <w:tcMar>
              <w:top w:w="95" w:type="dxa"/>
              <w:left w:w="95" w:type="dxa"/>
              <w:bottom w:w="95" w:type="dxa"/>
              <w:right w:w="95" w:type="dxa"/>
            </w:tcMar>
          </w:tcPr>
          <w:p>
            <w:pPr>
              <w:spacing w:after="40" w:before="40" w:line="240" w:lineRule="auto"/>
            </w:pPr>
            <w:r>
              <w:rPr>
                <w:b w:val="0"/>
                <w:color w:val="000000"/>
                <w:sz w:val="18"/>
              </w:rPr>
              <w:t>Al Ain University</w:t>
              <w:br/>
              <w:t>Hudamueen2407@gmail.com</w:t>
            </w:r>
          </w:p>
        </w:tc>
      </w:tr>
    </w:tbl>
    <w:p>
      <w:pPr>
        <w:spacing w:after="20"/>
      </w:pPr>
    </w:p>
    <w:p>
      <w:pPr>
        <w:widowControl/>
      </w:pPr>
      <w:r>
        <w:t>The supplied names, affiliation, order, and emails are preserved. No department, academic title, funding source, completed contribution, or corresponding-author designation has been invented. Choose the corresponding author in the submission system after the team decides who will manage communication.</w:t>
      </w:r>
    </w:p>
    <w:p>
      <w:pPr>
        <w:widowControl/>
      </w:pPr>
      <w:r>
        <w:t>Current status: a researched concept, manuscript, abstract, label scheme, and study protocol are prepared. The prototype, source corpus, independent annotations, and experiments remain to be completed. The manuscript therefore uses proposal language. It must not be converted into a completed empirical paper by changing verb tense alone.</w:t>
      </w:r>
    </w:p>
    <w:p>
      <w:r>
        <w:br w:type="page"/>
      </w:r>
    </w:p>
    <w:p>
      <w:pPr>
        <w:pStyle w:val="Heading1"/>
      </w:pPr>
      <w:r>
        <w:t>Workshop requirements and immediate action</w:t>
      </w:r>
    </w:p>
    <w:p>
      <w:pPr>
        <w:widowControl/>
      </w:pPr>
      <w:r>
        <w:t>TEXTUAL 2027 is the Workshop on Text Analytics and Knowledge Extraction from Natural Language Software Artifacts, listed as an accepted SANER workshop [12]. SANER takes place in Richmond, Virginia, USA, on 9-12 March 2027 [13]. The workshop day is 9 March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808"/>
        <w:gridCol w:w="3240"/>
      </w:tblGrid>
      <w:tr>
        <w:trPr>
          <w:tblHeader/>
          <w:cantSplit/>
        </w:trPr>
        <w:tc>
          <w:tcPr>
            <w:tcW w:type="dxa" w:w="3312"/>
            <w:vAlign w:val="center"/>
            <w:shd w:fill="17344D"/>
            <w:tcMar>
              <w:top w:w="95" w:type="dxa"/>
              <w:left w:w="95" w:type="dxa"/>
              <w:bottom w:w="95" w:type="dxa"/>
              <w:right w:w="95" w:type="dxa"/>
            </w:tcMar>
          </w:tcPr>
          <w:p>
            <w:pPr>
              <w:spacing w:after="40" w:before="40" w:line="240" w:lineRule="auto"/>
            </w:pPr>
            <w:r>
              <w:rPr>
                <w:b/>
                <w:color w:val="FFFFFF"/>
                <w:sz w:val="18"/>
              </w:rPr>
              <w:t>Milestone</w:t>
            </w:r>
          </w:p>
        </w:tc>
        <w:tc>
          <w:tcPr>
            <w:tcW w:type="dxa" w:w="2808"/>
            <w:vAlign w:val="center"/>
            <w:shd w:fill="17344D"/>
            <w:tcMar>
              <w:top w:w="95" w:type="dxa"/>
              <w:left w:w="95" w:type="dxa"/>
              <w:bottom w:w="95" w:type="dxa"/>
              <w:right w:w="95" w:type="dxa"/>
            </w:tcMar>
          </w:tcPr>
          <w:p>
            <w:pPr>
              <w:spacing w:after="40" w:before="40" w:line="240" w:lineRule="auto"/>
            </w:pPr>
            <w:r>
              <w:rPr>
                <w:b/>
                <w:color w:val="FFFFFF"/>
                <w:sz w:val="18"/>
              </w:rPr>
              <w:t>Official deadline</w:t>
            </w:r>
          </w:p>
        </w:tc>
        <w:tc>
          <w:tcPr>
            <w:tcW w:type="dxa" w:w="3240"/>
            <w:vAlign w:val="center"/>
            <w:shd w:fill="17344D"/>
            <w:tcMar>
              <w:top w:w="95" w:type="dxa"/>
              <w:left w:w="95" w:type="dxa"/>
              <w:bottom w:w="95" w:type="dxa"/>
              <w:right w:w="95" w:type="dxa"/>
            </w:tcMar>
          </w:tcPr>
          <w:p>
            <w:pPr>
              <w:spacing w:after="40" w:before="40" w:line="240" w:lineRule="auto"/>
            </w:pPr>
            <w:r>
              <w:rPr>
                <w:b/>
                <w:color w:val="FFFFFF"/>
                <w:sz w:val="18"/>
              </w:rPr>
              <w:t>Calculated UAE equivalent</w:t>
            </w:r>
          </w:p>
        </w:tc>
      </w:tr>
      <w:tr>
        <w:trPr>
          <w:cantSplit/>
        </w:trPr>
        <w:tc>
          <w:tcPr>
            <w:tcW w:type="dxa" w:w="3312"/>
            <w:vAlign w:val="center"/>
            <w:shd w:fill="FFFFFF"/>
            <w:tcMar>
              <w:top w:w="95" w:type="dxa"/>
              <w:left w:w="95" w:type="dxa"/>
              <w:bottom w:w="95" w:type="dxa"/>
              <w:right w:w="95" w:type="dxa"/>
            </w:tcMar>
          </w:tcPr>
          <w:p>
            <w:pPr>
              <w:spacing w:after="40" w:before="40" w:line="240" w:lineRule="auto"/>
            </w:pPr>
            <w:r>
              <w:rPr>
                <w:b w:val="0"/>
                <w:color w:val="000000"/>
                <w:sz w:val="18"/>
              </w:rPr>
              <w:t>Mandatory abstract registration</w:t>
            </w:r>
          </w:p>
        </w:tc>
        <w:tc>
          <w:tcPr>
            <w:tcW w:type="dxa" w:w="2808"/>
            <w:vAlign w:val="center"/>
            <w:shd w:fill="FFFFFF"/>
            <w:tcMar>
              <w:top w:w="95" w:type="dxa"/>
              <w:left w:w="95" w:type="dxa"/>
              <w:bottom w:w="95" w:type="dxa"/>
              <w:right w:w="95" w:type="dxa"/>
            </w:tcMar>
          </w:tcPr>
          <w:p>
            <w:pPr>
              <w:spacing w:after="40" w:before="40" w:line="240" w:lineRule="auto"/>
            </w:pPr>
            <w:r>
              <w:rPr>
                <w:b w:val="0"/>
                <w:color w:val="000000"/>
                <w:sz w:val="18"/>
              </w:rPr>
              <w:t>19 October 2026 AoE</w:t>
            </w:r>
          </w:p>
        </w:tc>
        <w:tc>
          <w:tcPr>
            <w:tcW w:type="dxa" w:w="3240"/>
            <w:vAlign w:val="center"/>
            <w:shd w:fill="FFFFFF"/>
            <w:tcMar>
              <w:top w:w="95" w:type="dxa"/>
              <w:left w:w="95" w:type="dxa"/>
              <w:bottom w:w="95" w:type="dxa"/>
              <w:right w:w="95" w:type="dxa"/>
            </w:tcMar>
          </w:tcPr>
          <w:p>
            <w:pPr>
              <w:spacing w:after="40" w:before="40" w:line="240" w:lineRule="auto"/>
            </w:pPr>
            <w:r>
              <w:rPr>
                <w:b w:val="0"/>
                <w:color w:val="000000"/>
                <w:sz w:val="18"/>
              </w:rPr>
              <w:t>20 October before 4 pm</w:t>
            </w:r>
          </w:p>
        </w:tc>
      </w:tr>
      <w:tr>
        <w:trPr>
          <w:cantSplit/>
        </w:trPr>
        <w:tc>
          <w:tcPr>
            <w:tcW w:type="dxa" w:w="3312"/>
            <w:vAlign w:val="center"/>
            <w:shd w:fill="F3F6F8"/>
            <w:tcMar>
              <w:top w:w="95" w:type="dxa"/>
              <w:left w:w="95" w:type="dxa"/>
              <w:bottom w:w="95" w:type="dxa"/>
              <w:right w:w="95" w:type="dxa"/>
            </w:tcMar>
          </w:tcPr>
          <w:p>
            <w:pPr>
              <w:spacing w:after="40" w:before="40" w:line="240" w:lineRule="auto"/>
            </w:pPr>
            <w:r>
              <w:rPr>
                <w:b w:val="0"/>
                <w:color w:val="000000"/>
                <w:sz w:val="18"/>
              </w:rPr>
              <w:t>Paper submission</w:t>
            </w:r>
          </w:p>
        </w:tc>
        <w:tc>
          <w:tcPr>
            <w:tcW w:type="dxa" w:w="2808"/>
            <w:vAlign w:val="center"/>
            <w:shd w:fill="F3F6F8"/>
            <w:tcMar>
              <w:top w:w="95" w:type="dxa"/>
              <w:left w:w="95" w:type="dxa"/>
              <w:bottom w:w="95" w:type="dxa"/>
              <w:right w:w="95" w:type="dxa"/>
            </w:tcMar>
          </w:tcPr>
          <w:p>
            <w:pPr>
              <w:spacing w:after="40" w:before="40" w:line="240" w:lineRule="auto"/>
            </w:pPr>
            <w:r>
              <w:rPr>
                <w:b w:val="0"/>
                <w:color w:val="000000"/>
                <w:sz w:val="18"/>
              </w:rPr>
              <w:t>23 October 2026 AoE</w:t>
            </w:r>
          </w:p>
        </w:tc>
        <w:tc>
          <w:tcPr>
            <w:tcW w:type="dxa" w:w="3240"/>
            <w:vAlign w:val="center"/>
            <w:shd w:fill="F3F6F8"/>
            <w:tcMar>
              <w:top w:w="95" w:type="dxa"/>
              <w:left w:w="95" w:type="dxa"/>
              <w:bottom w:w="95" w:type="dxa"/>
              <w:right w:w="95" w:type="dxa"/>
            </w:tcMar>
          </w:tcPr>
          <w:p>
            <w:pPr>
              <w:spacing w:after="40" w:before="40" w:line="240" w:lineRule="auto"/>
            </w:pPr>
            <w:r>
              <w:rPr>
                <w:b w:val="0"/>
                <w:color w:val="000000"/>
                <w:sz w:val="18"/>
              </w:rPr>
              <w:t>24 October before 4 pm</w:t>
            </w:r>
          </w:p>
        </w:tc>
      </w:tr>
      <w:tr>
        <w:trPr>
          <w:cantSplit/>
        </w:trPr>
        <w:tc>
          <w:tcPr>
            <w:tcW w:type="dxa" w:w="3312"/>
            <w:vAlign w:val="center"/>
            <w:shd w:fill="FFFFFF"/>
            <w:tcMar>
              <w:top w:w="95" w:type="dxa"/>
              <w:left w:w="95" w:type="dxa"/>
              <w:bottom w:w="95" w:type="dxa"/>
              <w:right w:w="95" w:type="dxa"/>
            </w:tcMar>
          </w:tcPr>
          <w:p>
            <w:pPr>
              <w:spacing w:after="40" w:before="40" w:line="240" w:lineRule="auto"/>
            </w:pPr>
            <w:r>
              <w:rPr>
                <w:b w:val="0"/>
                <w:color w:val="000000"/>
                <w:sz w:val="18"/>
              </w:rPr>
              <w:t>Notification</w:t>
            </w:r>
          </w:p>
        </w:tc>
        <w:tc>
          <w:tcPr>
            <w:tcW w:type="dxa" w:w="2808"/>
            <w:vAlign w:val="center"/>
            <w:shd w:fill="FFFFFF"/>
            <w:tcMar>
              <w:top w:w="95" w:type="dxa"/>
              <w:left w:w="95" w:type="dxa"/>
              <w:bottom w:w="95" w:type="dxa"/>
              <w:right w:w="95" w:type="dxa"/>
            </w:tcMar>
          </w:tcPr>
          <w:p>
            <w:pPr>
              <w:spacing w:after="40" w:before="40" w:line="240" w:lineRule="auto"/>
            </w:pPr>
            <w:r>
              <w:rPr>
                <w:b w:val="0"/>
                <w:color w:val="000000"/>
                <w:sz w:val="18"/>
              </w:rPr>
              <w:t>8 December 2026</w:t>
            </w:r>
          </w:p>
        </w:tc>
        <w:tc>
          <w:tcPr>
            <w:tcW w:type="dxa" w:w="3240"/>
            <w:vAlign w:val="center"/>
            <w:shd w:fill="FFFFFF"/>
            <w:tcMar>
              <w:top w:w="95" w:type="dxa"/>
              <w:left w:w="95" w:type="dxa"/>
              <w:bottom w:w="95" w:type="dxa"/>
              <w:right w:w="95" w:type="dxa"/>
            </w:tcMar>
          </w:tcPr>
          <w:p>
            <w:pPr>
              <w:spacing w:after="40" w:before="40" w:line="240" w:lineRule="auto"/>
            </w:pPr>
            <w:r>
              <w:rPr>
                <w:b w:val="0"/>
                <w:color w:val="000000"/>
                <w:sz w:val="18"/>
              </w:rPr>
              <w:t>No specific hour verified</w:t>
            </w:r>
          </w:p>
        </w:tc>
      </w:tr>
      <w:tr>
        <w:trPr>
          <w:cantSplit/>
        </w:trPr>
        <w:tc>
          <w:tcPr>
            <w:tcW w:type="dxa" w:w="3312"/>
            <w:vAlign w:val="center"/>
            <w:shd w:fill="F3F6F8"/>
            <w:tcMar>
              <w:top w:w="95" w:type="dxa"/>
              <w:left w:w="95" w:type="dxa"/>
              <w:bottom w:w="95" w:type="dxa"/>
              <w:right w:w="95" w:type="dxa"/>
            </w:tcMar>
          </w:tcPr>
          <w:p>
            <w:pPr>
              <w:spacing w:after="40" w:before="40" w:line="240" w:lineRule="auto"/>
            </w:pPr>
            <w:r>
              <w:rPr>
                <w:b w:val="0"/>
                <w:color w:val="000000"/>
                <w:sz w:val="18"/>
              </w:rPr>
              <w:t>Author registration and camera ready</w:t>
            </w:r>
          </w:p>
        </w:tc>
        <w:tc>
          <w:tcPr>
            <w:tcW w:type="dxa" w:w="2808"/>
            <w:vAlign w:val="center"/>
            <w:shd w:fill="F3F6F8"/>
            <w:tcMar>
              <w:top w:w="95" w:type="dxa"/>
              <w:left w:w="95" w:type="dxa"/>
              <w:bottom w:w="95" w:type="dxa"/>
              <w:right w:w="95" w:type="dxa"/>
            </w:tcMar>
          </w:tcPr>
          <w:p>
            <w:pPr>
              <w:spacing w:after="40" w:before="40" w:line="240" w:lineRule="auto"/>
            </w:pPr>
            <w:r>
              <w:rPr>
                <w:b w:val="0"/>
                <w:color w:val="000000"/>
                <w:sz w:val="18"/>
              </w:rPr>
              <w:t>8 January 2027</w:t>
            </w:r>
          </w:p>
        </w:tc>
        <w:tc>
          <w:tcPr>
            <w:tcW w:type="dxa" w:w="3240"/>
            <w:vAlign w:val="center"/>
            <w:shd w:fill="F3F6F8"/>
            <w:tcMar>
              <w:top w:w="95" w:type="dxa"/>
              <w:left w:w="95" w:type="dxa"/>
              <w:bottom w:w="95" w:type="dxa"/>
              <w:right w:w="95" w:type="dxa"/>
            </w:tcMar>
          </w:tcPr>
          <w:p>
            <w:pPr>
              <w:spacing w:after="40" w:before="40" w:line="240" w:lineRule="auto"/>
            </w:pPr>
            <w:r>
              <w:rPr>
                <w:b w:val="0"/>
                <w:color w:val="000000"/>
                <w:sz w:val="18"/>
              </w:rPr>
              <w:t>Check the final portal time</w:t>
            </w:r>
          </w:p>
        </w:tc>
      </w:tr>
    </w:tbl>
    <w:p>
      <w:pPr>
        <w:spacing w:after="20"/>
      </w:pPr>
    </w:p>
    <w:p>
      <w:pPr>
        <w:widowControl/>
      </w:pPr>
      <w:r>
        <w:t>Dates are from the official workshop page [12]. AoE is UTC-12; Dubai is UTC+4. The two October conversions assume an end-of-day deadline, giving 15:59:59 the following day. Register the abstract early and use 23 October UAE time as the team's paper target.</w:t>
      </w:r>
    </w:p>
    <w:p>
      <w:pPr>
        <w:widowControl/>
      </w:pPr>
      <w:r>
        <w:t>The official TEXTUAL paper portal is https://easychair.org/conferences/?conf=saner27tracks [12]. Select TEXTUAL when the portal offers workshop selection. The separate workshop-organizer proposal portal and its two-page limit do not establish the requirements for an individual TEXTUAL paper.</w:t>
      </w:r>
    </w:p>
    <w:p>
      <w:pPr>
        <w:widowControl/>
      </w:pPr>
      <w:r>
        <w:t>Exact TEXTUAL paper categories, length, reference-page allowance, anonymous-review rule, and abstract word limit could not be verified from an accessible current workshop-specific call. Check these before uploading a manuscript. The author-bearing PDF and anonymous alternative are provided for that choice. Neither version has been submitted.</w:t>
      </w:r>
    </w:p>
    <w:p>
      <w:pPr>
        <w:widowControl/>
      </w:pPr>
      <w:r>
        <w:t>The verified publication wording is companion proceedings [12]. Acceptance, main-track status, indexing, and a particular publication fee are not established by the poster. The current registration price remains unverified.</w:t>
      </w:r>
    </w:p>
    <w:p>
      <w:pPr>
        <w:widowControl/>
      </w:pPr>
      <w:r>
        <w:t>SANER expects at least one author to present in person. The published policy permits requests for virtual participation under exceptional circumstances; registration fees still apply [14].</w:t>
      </w:r>
    </w:p>
    <w:p>
      <w:r>
        <w:br w:type="page"/>
      </w:r>
    </w:p>
    <w:p>
      <w:pPr>
        <w:pStyle w:val="Heading1"/>
      </w:pPr>
      <w:r>
        <w:t>The idea in plain language</w:t>
      </w:r>
    </w:p>
    <w:p>
      <w:pPr>
        <w:widowControl/>
      </w:pPr>
      <w:r>
        <w:t>Imagine a university rule says every report should use one format. A particular course gives a different format for its own assignment. A reader must know which assignment they are completing before deciding that the two instructions are inconsistent. Software repositories create the same problem when a general rule and a package-specific rule are both visible to an AI assistant.</w:t>
      </w:r>
    </w:p>
    <w:p>
      <w:pPr>
        <w:widowControl/>
      </w:pPr>
      <w:r>
        <w:t>CIPHER asks three practical questions before reporting a conflict: Do both instructions apply here? Do they require incompatible behavior for the same decision? Does the documented instruction policy already resolve the difference? If a necessary fact is missing, the answer should preserve that uncertainty.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176"/>
        <w:gridCol w:w="2304"/>
      </w:tblGrid>
      <w:tr>
        <w:trPr>
          <w:tblHeader/>
          <w:cantSplit/>
        </w:trPr>
        <w:tc>
          <w:tcPr>
            <w:tcW w:type="dxa" w:w="2880"/>
            <w:vAlign w:val="center"/>
            <w:shd w:fill="17344D"/>
            <w:tcMar>
              <w:top w:w="95" w:type="dxa"/>
              <w:left w:w="95" w:type="dxa"/>
              <w:bottom w:w="95" w:type="dxa"/>
              <w:right w:w="95" w:type="dxa"/>
            </w:tcMar>
          </w:tcPr>
          <w:p>
            <w:pPr>
              <w:spacing w:after="40" w:before="40" w:line="240" w:lineRule="auto"/>
            </w:pPr>
            <w:r>
              <w:rPr>
                <w:b/>
                <w:color w:val="FFFFFF"/>
                <w:sz w:val="18"/>
              </w:rPr>
              <w:t>Same two rule meanings</w:t>
            </w:r>
          </w:p>
        </w:tc>
        <w:tc>
          <w:tcPr>
            <w:tcW w:type="dxa" w:w="4176"/>
            <w:vAlign w:val="center"/>
            <w:shd w:fill="17344D"/>
            <w:tcMar>
              <w:top w:w="95" w:type="dxa"/>
              <w:left w:w="95" w:type="dxa"/>
              <w:bottom w:w="95" w:type="dxa"/>
              <w:right w:w="95" w:type="dxa"/>
            </w:tcMar>
          </w:tcPr>
          <w:p>
            <w:pPr>
              <w:spacing w:after="40" w:before="40" w:line="240" w:lineRule="auto"/>
            </w:pPr>
            <w:r>
              <w:rPr>
                <w:b/>
                <w:color w:val="FFFFFF"/>
                <w:sz w:val="18"/>
              </w:rPr>
              <w:t>Context</w:t>
            </w:r>
          </w:p>
        </w:tc>
        <w:tc>
          <w:tcPr>
            <w:tcW w:type="dxa" w:w="2304"/>
            <w:vAlign w:val="center"/>
            <w:shd w:fill="17344D"/>
            <w:tcMar>
              <w:top w:w="95" w:type="dxa"/>
              <w:left w:w="95" w:type="dxa"/>
              <w:bottom w:w="95" w:type="dxa"/>
              <w:right w:w="95" w:type="dxa"/>
            </w:tcMar>
          </w:tcPr>
          <w:p>
            <w:pPr>
              <w:spacing w:after="40" w:before="40" w:line="240" w:lineRule="auto"/>
            </w:pPr>
            <w:r>
              <w:rPr>
                <w:b/>
                <w:color w:val="FFFFFF"/>
                <w:sz w:val="18"/>
              </w:rPr>
              <w:t>Expected label</w:t>
            </w:r>
          </w:p>
        </w:tc>
      </w:tr>
      <w:tr>
        <w:trPr>
          <w:cantSplit/>
        </w:trPr>
        <w:tc>
          <w:tcPr>
            <w:tcW w:type="dxa" w:w="2880"/>
            <w:vAlign w:val="center"/>
            <w:shd w:fill="FFFFFF"/>
            <w:tcMar>
              <w:top w:w="95" w:type="dxa"/>
              <w:left w:w="95" w:type="dxa"/>
              <w:bottom w:w="95" w:type="dxa"/>
              <w:right w:w="95" w:type="dxa"/>
            </w:tcMar>
          </w:tcPr>
          <w:p>
            <w:pPr>
              <w:spacing w:after="40" w:before="40" w:line="240" w:lineRule="auto"/>
            </w:pPr>
            <w:r>
              <w:rPr>
                <w:b w:val="0"/>
                <w:color w:val="000000"/>
                <w:sz w:val="18"/>
              </w:rPr>
              <w:t>Exactly four spaces and exactly two spaces per level</w:t>
            </w:r>
          </w:p>
        </w:tc>
        <w:tc>
          <w:tcPr>
            <w:tcW w:type="dxa" w:w="4176"/>
            <w:vAlign w:val="center"/>
            <w:shd w:fill="FFFFFF"/>
            <w:tcMar>
              <w:top w:w="95" w:type="dxa"/>
              <w:left w:w="95" w:type="dxa"/>
              <w:bottom w:w="95" w:type="dxa"/>
              <w:right w:w="95" w:type="dxa"/>
            </w:tcMar>
          </w:tcPr>
          <w:p>
            <w:pPr>
              <w:spacing w:after="40" w:before="40" w:line="240" w:lineRule="auto"/>
            </w:pPr>
            <w:r>
              <w:rPr>
                <w:b w:val="0"/>
                <w:color w:val="000000"/>
                <w:sz w:val="18"/>
              </w:rPr>
              <w:t>Both bind the same new code in one root file, with no exception</w:t>
            </w:r>
          </w:p>
        </w:tc>
        <w:tc>
          <w:tcPr>
            <w:tcW w:type="dxa" w:w="2304"/>
            <w:vAlign w:val="center"/>
            <w:shd w:fill="FFFFFF"/>
            <w:tcMar>
              <w:top w:w="95" w:type="dxa"/>
              <w:left w:w="95" w:type="dxa"/>
              <w:bottom w:w="95" w:type="dxa"/>
              <w:right w:w="95" w:type="dxa"/>
            </w:tcMar>
          </w:tcPr>
          <w:p>
            <w:pPr>
              <w:spacing w:after="40" w:before="40" w:line="240" w:lineRule="auto"/>
            </w:pPr>
            <w:r>
              <w:rPr>
                <w:b w:val="0"/>
                <w:color w:val="000000"/>
                <w:sz w:val="18"/>
              </w:rPr>
              <w:t>Unresolved conflict</w:t>
            </w:r>
          </w:p>
        </w:tc>
      </w:tr>
      <w:tr>
        <w:trPr>
          <w:cantSplit/>
        </w:trPr>
        <w:tc>
          <w:tcPr>
            <w:tcW w:type="dxa" w:w="2880"/>
            <w:vAlign w:val="center"/>
            <w:shd w:fill="F3F6F8"/>
            <w:tcMar>
              <w:top w:w="95" w:type="dxa"/>
              <w:left w:w="95" w:type="dxa"/>
              <w:bottom w:w="95" w:type="dxa"/>
              <w:right w:w="95" w:type="dxa"/>
            </w:tcMar>
          </w:tcPr>
          <w:p>
            <w:pPr>
              <w:spacing w:after="40" w:before="40" w:line="240" w:lineRule="auto"/>
            </w:pPr>
            <w:r>
              <w:rPr>
                <w:b w:val="0"/>
                <w:color w:val="000000"/>
                <w:sz w:val="18"/>
              </w:rPr>
              <w:t>Exactly four spaces and exactly two spaces per level</w:t>
            </w:r>
          </w:p>
        </w:tc>
        <w:tc>
          <w:tcPr>
            <w:tcW w:type="dxa" w:w="4176"/>
            <w:vAlign w:val="center"/>
            <w:shd w:fill="F3F6F8"/>
            <w:tcMar>
              <w:top w:w="95" w:type="dxa"/>
              <w:left w:w="95" w:type="dxa"/>
              <w:bottom w:w="95" w:type="dxa"/>
              <w:right w:w="95" w:type="dxa"/>
            </w:tcMar>
          </w:tcPr>
          <w:p>
            <w:pPr>
              <w:spacing w:after="40" w:before="40" w:line="240" w:lineRule="auto"/>
            </w:pPr>
            <w:r>
              <w:rPr>
                <w:b w:val="0"/>
                <w:color w:val="000000"/>
                <w:sz w:val="18"/>
              </w:rPr>
              <w:t>Four at root; two in web/AGENTS.md; target web/button.ts</w:t>
            </w:r>
          </w:p>
        </w:tc>
        <w:tc>
          <w:tcPr>
            <w:tcW w:type="dxa" w:w="2304"/>
            <w:vAlign w:val="center"/>
            <w:shd w:fill="F3F6F8"/>
            <w:tcMar>
              <w:top w:w="95" w:type="dxa"/>
              <w:left w:w="95" w:type="dxa"/>
              <w:bottom w:w="95" w:type="dxa"/>
              <w:right w:w="95" w:type="dxa"/>
            </w:tcMar>
          </w:tcPr>
          <w:p>
            <w:pPr>
              <w:spacing w:after="40" w:before="40" w:line="240" w:lineRule="auto"/>
            </w:pPr>
            <w:r>
              <w:rPr>
                <w:b w:val="0"/>
                <w:color w:val="000000"/>
                <w:sz w:val="18"/>
              </w:rPr>
              <w:t>Valid override</w:t>
            </w:r>
          </w:p>
        </w:tc>
      </w:tr>
      <w:tr>
        <w:trPr>
          <w:cantSplit/>
        </w:trPr>
        <w:tc>
          <w:tcPr>
            <w:tcW w:type="dxa" w:w="2880"/>
            <w:vAlign w:val="center"/>
            <w:shd w:fill="FFFFFF"/>
            <w:tcMar>
              <w:top w:w="95" w:type="dxa"/>
              <w:left w:w="95" w:type="dxa"/>
              <w:bottom w:w="95" w:type="dxa"/>
              <w:right w:w="95" w:type="dxa"/>
            </w:tcMar>
          </w:tcPr>
          <w:p>
            <w:pPr>
              <w:spacing w:after="40" w:before="40" w:line="240" w:lineRule="auto"/>
            </w:pPr>
            <w:r>
              <w:rPr>
                <w:b w:val="0"/>
                <w:color w:val="000000"/>
                <w:sz w:val="18"/>
              </w:rPr>
              <w:t>Exactly four spaces and exactly two spaces per level</w:t>
            </w:r>
          </w:p>
        </w:tc>
        <w:tc>
          <w:tcPr>
            <w:tcW w:type="dxa" w:w="4176"/>
            <w:vAlign w:val="center"/>
            <w:shd w:fill="FFFFFF"/>
            <w:tcMar>
              <w:top w:w="95" w:type="dxa"/>
              <w:left w:w="95" w:type="dxa"/>
              <w:bottom w:w="95" w:type="dxa"/>
              <w:right w:w="95" w:type="dxa"/>
            </w:tcMar>
          </w:tcPr>
          <w:p>
            <w:pPr>
              <w:spacing w:after="40" w:before="40" w:line="240" w:lineRule="auto"/>
            </w:pPr>
            <w:r>
              <w:rPr>
                <w:b w:val="0"/>
                <w:color w:val="000000"/>
                <w:sz w:val="18"/>
              </w:rPr>
              <w:t>Four at root; two in api/AGENTS.md; target web/button.ts</w:t>
            </w:r>
          </w:p>
        </w:tc>
        <w:tc>
          <w:tcPr>
            <w:tcW w:type="dxa" w:w="2304"/>
            <w:vAlign w:val="center"/>
            <w:shd w:fill="FFFFFF"/>
            <w:tcMar>
              <w:top w:w="95" w:type="dxa"/>
              <w:left w:w="95" w:type="dxa"/>
              <w:bottom w:w="95" w:type="dxa"/>
              <w:right w:w="95" w:type="dxa"/>
            </w:tcMar>
          </w:tcPr>
          <w:p>
            <w:pPr>
              <w:spacing w:after="40" w:before="40" w:line="240" w:lineRule="auto"/>
            </w:pPr>
            <w:r>
              <w:rPr>
                <w:b w:val="0"/>
                <w:color w:val="000000"/>
                <w:sz w:val="18"/>
              </w:rPr>
              <w:t>Disjoint applicability</w:t>
            </w:r>
          </w:p>
        </w:tc>
      </w:tr>
    </w:tbl>
    <w:p>
      <w:pPr>
        <w:spacing w:after="20"/>
      </w:pPr>
    </w:p>
    <w:p>
      <w:pPr>
        <w:widowControl/>
      </w:pPr>
      <w:r>
        <w:t>These examples are authored illustrations. They are not collected cases or measured results. The override example assumes the frozen nearest-applicable-file profile. A different loader or missing file context may produce a different classification.</w:t>
      </w:r>
    </w:p>
    <w:p>
      <w:pPr>
        <w:widowControl/>
      </w:pPr>
      <w:r>
        <w:t>The memorable demonstration is a pair of unchanged instructions displayed beside a repository tree. Moving one instruction into a valid nested scope changes the answer from “conflict” to “override.” Moving it to an unrelated branch changes the answer again. A useful interface would show both original spans, the applicable path, and the rule that explains the label.</w:t>
      </w:r>
    </w:p>
    <w:p>
      <w:pPr>
        <w:widowControl/>
      </w:pPr>
      <w:r>
        <w:t>The paper's value must come from independently checking that such answers are right. A colorful interface, a large acronym, or an LLM-generated explanation cannot substitute for that evidence.</w:t>
      </w:r>
    </w:p>
    <w:p>
      <w:r>
        <w:br w:type="page"/>
      </w:r>
    </w:p>
    <w:p>
      <w:pPr>
        <w:pStyle w:val="Heading1"/>
      </w:pPr>
      <w:r>
        <w:t>What prior research already covers</w:t>
      </w:r>
    </w:p>
    <w:p>
      <w:pPr>
        <w:widowControl/>
      </w:pPr>
      <w:r>
        <w:t>The literature review supports a narrow contribution. Configuration Smells [3] already detects contradictions in AGENTS.md, and its reported 57% precision motivates better diagnosis of false alarms. That study does not establish why those false alarms occurred. CIPHER must test the scope hypothesis instead of treating it as a known explanation.</w:t>
      </w:r>
    </w:p>
    <w:p>
      <w:pPr>
        <w:widowControl/>
      </w:pPr>
      <w:r>
        <w:t>WIRE [4] already reasons about grounded rules, activation, and the decision being regulated. ContextCov [5] already extracts contextual instructions and turns them into checks. OctoBench [6] already evaluates explicit instruction conflicts. Those capabilities must be credited rather than repackaged as a new cognitive architecture.</w:t>
      </w:r>
    </w:p>
    <w:p>
      <w:pPr>
        <w:widowControl/>
      </w:pPr>
      <w:r>
        <w:t>Guidefold [7] is an especially close practical precursor: its notes discuss scope authority, controlled structural replays, and planned independent semantic validation. CIPHER does not claim those principles as new; it applies them to the defined five-way AGENTS.md classification task. Ruleherd [8] supplies a lightweight detector. These are project sources, not equivalent to peer-reviewed empirical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3600"/>
      </w:tblGrid>
      <w:tr>
        <w:trPr>
          <w:tblHeader/>
          <w:cantSplit/>
        </w:trPr>
        <w:tc>
          <w:tcPr>
            <w:tcW w:type="dxa" w:w="2160"/>
            <w:vAlign w:val="center"/>
            <w:shd w:fill="17344D"/>
            <w:tcMar>
              <w:top w:w="95" w:type="dxa"/>
              <w:left w:w="95" w:type="dxa"/>
              <w:bottom w:w="95" w:type="dxa"/>
              <w:right w:w="95" w:type="dxa"/>
            </w:tcMar>
          </w:tcPr>
          <w:p>
            <w:pPr>
              <w:spacing w:after="40" w:before="40" w:line="240" w:lineRule="auto"/>
            </w:pPr>
            <w:r>
              <w:rPr>
                <w:b/>
                <w:color w:val="FFFFFF"/>
                <w:sz w:val="18"/>
              </w:rPr>
              <w:t>Prior work</w:t>
            </w:r>
          </w:p>
        </w:tc>
        <w:tc>
          <w:tcPr>
            <w:tcW w:type="dxa" w:w="3600"/>
            <w:vAlign w:val="center"/>
            <w:shd w:fill="17344D"/>
            <w:tcMar>
              <w:top w:w="95" w:type="dxa"/>
              <w:left w:w="95" w:type="dxa"/>
              <w:bottom w:w="95" w:type="dxa"/>
              <w:right w:w="95" w:type="dxa"/>
            </w:tcMar>
          </w:tcPr>
          <w:p>
            <w:pPr>
              <w:spacing w:after="40" w:before="40" w:line="240" w:lineRule="auto"/>
            </w:pPr>
            <w:r>
              <w:rPr>
                <w:b/>
                <w:color w:val="FFFFFF"/>
                <w:sz w:val="18"/>
              </w:rPr>
              <w:t>Already contributes</w:t>
            </w:r>
          </w:p>
        </w:tc>
        <w:tc>
          <w:tcPr>
            <w:tcW w:type="dxa" w:w="3600"/>
            <w:vAlign w:val="center"/>
            <w:shd w:fill="17344D"/>
            <w:tcMar>
              <w:top w:w="95" w:type="dxa"/>
              <w:left w:w="95" w:type="dxa"/>
              <w:bottom w:w="95" w:type="dxa"/>
              <w:right w:w="95" w:type="dxa"/>
            </w:tcMar>
          </w:tcPr>
          <w:p>
            <w:pPr>
              <w:spacing w:after="40" w:before="40" w:line="240" w:lineRule="auto"/>
            </w:pPr>
            <w:r>
              <w:rPr>
                <w:b/>
                <w:color w:val="FFFFFF"/>
                <w:sz w:val="18"/>
              </w:rPr>
              <w:t>CIPHER should add</w:t>
            </w:r>
          </w:p>
        </w:tc>
      </w:tr>
      <w:tr>
        <w:trPr>
          <w:cantSplit/>
        </w:trPr>
        <w:tc>
          <w:tcPr>
            <w:tcW w:type="dxa" w:w="2160"/>
            <w:vAlign w:val="center"/>
            <w:shd w:fill="FFFFFF"/>
            <w:tcMar>
              <w:top w:w="95" w:type="dxa"/>
              <w:left w:w="95" w:type="dxa"/>
              <w:bottom w:w="95" w:type="dxa"/>
              <w:right w:w="95" w:type="dxa"/>
            </w:tcMar>
          </w:tcPr>
          <w:p>
            <w:pPr>
              <w:spacing w:after="40" w:before="40" w:line="240" w:lineRule="auto"/>
            </w:pPr>
            <w:r>
              <w:rPr>
                <w:b w:val="0"/>
                <w:color w:val="000000"/>
                <w:sz w:val="18"/>
              </w:rPr>
              <w:t>Configuration Smells</w:t>
            </w:r>
          </w:p>
        </w:tc>
        <w:tc>
          <w:tcPr>
            <w:tcW w:type="dxa" w:w="3600"/>
            <w:vAlign w:val="center"/>
            <w:shd w:fill="FFFFFF"/>
            <w:tcMar>
              <w:top w:w="95" w:type="dxa"/>
              <w:left w:w="95" w:type="dxa"/>
              <w:bottom w:w="95" w:type="dxa"/>
              <w:right w:w="95" w:type="dxa"/>
            </w:tcMar>
          </w:tcPr>
          <w:p>
            <w:pPr>
              <w:spacing w:after="40" w:before="40" w:line="240" w:lineRule="auto"/>
            </w:pPr>
            <w:r>
              <w:rPr>
                <w:b w:val="0"/>
                <w:color w:val="000000"/>
                <w:sz w:val="18"/>
              </w:rPr>
              <w:t>Conflict detection and false-positive analysis</w:t>
            </w:r>
          </w:p>
        </w:tc>
        <w:tc>
          <w:tcPr>
            <w:tcW w:type="dxa" w:w="3600"/>
            <w:vAlign w:val="center"/>
            <w:shd w:fill="FFFFFF"/>
            <w:tcMar>
              <w:top w:w="95" w:type="dxa"/>
              <w:left w:w="95" w:type="dxa"/>
              <w:bottom w:w="95" w:type="dxa"/>
              <w:right w:w="95" w:type="dxa"/>
            </w:tcMar>
          </w:tcPr>
          <w:p>
            <w:pPr>
              <w:spacing w:after="40" w:before="40" w:line="240" w:lineRule="auto"/>
            </w:pPr>
            <w:r>
              <w:rPr>
                <w:b w:val="0"/>
                <w:color w:val="000000"/>
                <w:sz w:val="18"/>
              </w:rPr>
              <w:t>Explicit task, scope, and override labels</w:t>
            </w:r>
          </w:p>
        </w:tc>
      </w:tr>
      <w:tr>
        <w:trPr>
          <w:cantSplit/>
        </w:trPr>
        <w:tc>
          <w:tcPr>
            <w:tcW w:type="dxa" w:w="2160"/>
            <w:vAlign w:val="center"/>
            <w:shd w:fill="F3F6F8"/>
            <w:tcMar>
              <w:top w:w="95" w:type="dxa"/>
              <w:left w:w="95" w:type="dxa"/>
              <w:bottom w:w="95" w:type="dxa"/>
              <w:right w:w="95" w:type="dxa"/>
            </w:tcMar>
          </w:tcPr>
          <w:p>
            <w:pPr>
              <w:spacing w:after="40" w:before="40" w:line="240" w:lineRule="auto"/>
            </w:pPr>
            <w:r>
              <w:rPr>
                <w:b w:val="0"/>
                <w:color w:val="000000"/>
                <w:sz w:val="18"/>
              </w:rPr>
              <w:t>WIRE</w:t>
            </w:r>
          </w:p>
        </w:tc>
        <w:tc>
          <w:tcPr>
            <w:tcW w:type="dxa" w:w="3600"/>
            <w:vAlign w:val="center"/>
            <w:shd w:fill="F3F6F8"/>
            <w:tcMar>
              <w:top w:w="95" w:type="dxa"/>
              <w:left w:w="95" w:type="dxa"/>
              <w:bottom w:w="95" w:type="dxa"/>
              <w:right w:w="95" w:type="dxa"/>
            </w:tcMar>
          </w:tcPr>
          <w:p>
            <w:pPr>
              <w:spacing w:after="40" w:before="40" w:line="240" w:lineRule="auto"/>
            </w:pPr>
            <w:r>
              <w:rPr>
                <w:b w:val="0"/>
                <w:color w:val="000000"/>
                <w:sz w:val="18"/>
              </w:rPr>
              <w:t>Grounded applicability and witnessed collisions</w:t>
            </w:r>
          </w:p>
        </w:tc>
        <w:tc>
          <w:tcPr>
            <w:tcW w:type="dxa" w:w="3600"/>
            <w:vAlign w:val="center"/>
            <w:shd w:fill="F3F6F8"/>
            <w:tcMar>
              <w:top w:w="95" w:type="dxa"/>
              <w:left w:w="95" w:type="dxa"/>
              <w:bottom w:w="95" w:type="dxa"/>
              <w:right w:w="95" w:type="dxa"/>
            </w:tcMar>
          </w:tcPr>
          <w:p>
            <w:pPr>
              <w:spacing w:after="40" w:before="40" w:line="240" w:lineRule="auto"/>
            </w:pPr>
            <w:r>
              <w:rPr>
                <w:b w:val="0"/>
                <w:color w:val="000000"/>
                <w:sz w:val="18"/>
              </w:rPr>
              <w:t>Semantic labels under a fixed repository profile</w:t>
            </w:r>
          </w:p>
        </w:tc>
      </w:tr>
      <w:tr>
        <w:trPr>
          <w:cantSplit/>
        </w:trPr>
        <w:tc>
          <w:tcPr>
            <w:tcW w:type="dxa" w:w="2160"/>
            <w:vAlign w:val="center"/>
            <w:shd w:fill="FFFFFF"/>
            <w:tcMar>
              <w:top w:w="95" w:type="dxa"/>
              <w:left w:w="95" w:type="dxa"/>
              <w:bottom w:w="95" w:type="dxa"/>
              <w:right w:w="95" w:type="dxa"/>
            </w:tcMar>
          </w:tcPr>
          <w:p>
            <w:pPr>
              <w:spacing w:after="40" w:before="40" w:line="240" w:lineRule="auto"/>
            </w:pPr>
            <w:r>
              <w:rPr>
                <w:b w:val="0"/>
                <w:color w:val="000000"/>
                <w:sz w:val="18"/>
              </w:rPr>
              <w:t>ContextCov</w:t>
            </w:r>
          </w:p>
        </w:tc>
        <w:tc>
          <w:tcPr>
            <w:tcW w:type="dxa" w:w="3600"/>
            <w:vAlign w:val="center"/>
            <w:shd w:fill="FFFFFF"/>
            <w:tcMar>
              <w:top w:w="95" w:type="dxa"/>
              <w:left w:w="95" w:type="dxa"/>
              <w:bottom w:w="95" w:type="dxa"/>
              <w:right w:w="95" w:type="dxa"/>
            </w:tcMar>
          </w:tcPr>
          <w:p>
            <w:pPr>
              <w:spacing w:after="40" w:before="40" w:line="240" w:lineRule="auto"/>
            </w:pPr>
            <w:r>
              <w:rPr>
                <w:b w:val="0"/>
                <w:color w:val="000000"/>
                <w:sz w:val="18"/>
              </w:rPr>
              <w:t>Contextual extraction and enforcement</w:t>
            </w:r>
          </w:p>
        </w:tc>
        <w:tc>
          <w:tcPr>
            <w:tcW w:type="dxa" w:w="3600"/>
            <w:vAlign w:val="center"/>
            <w:shd w:fill="FFFFFF"/>
            <w:tcMar>
              <w:top w:w="95" w:type="dxa"/>
              <w:left w:w="95" w:type="dxa"/>
              <w:bottom w:w="95" w:type="dxa"/>
              <w:right w:w="95" w:type="dxa"/>
            </w:tcMar>
          </w:tcPr>
          <w:p>
            <w:pPr>
              <w:spacing w:after="40" w:before="40" w:line="240" w:lineRule="auto"/>
            </w:pPr>
            <w:r>
              <w:rPr>
                <w:b w:val="0"/>
                <w:color w:val="000000"/>
                <w:sz w:val="18"/>
              </w:rPr>
              <w:t>Evaluate coherence before enforcing a rule</w:t>
            </w:r>
          </w:p>
        </w:tc>
      </w:tr>
      <w:tr>
        <w:trPr>
          <w:cantSplit/>
        </w:trPr>
        <w:tc>
          <w:tcPr>
            <w:tcW w:type="dxa" w:w="2160"/>
            <w:vAlign w:val="center"/>
            <w:shd w:fill="F3F6F8"/>
            <w:tcMar>
              <w:top w:w="95" w:type="dxa"/>
              <w:left w:w="95" w:type="dxa"/>
              <w:bottom w:w="95" w:type="dxa"/>
              <w:right w:w="95" w:type="dxa"/>
            </w:tcMar>
          </w:tcPr>
          <w:p>
            <w:pPr>
              <w:spacing w:after="40" w:before="40" w:line="240" w:lineRule="auto"/>
            </w:pPr>
            <w:r>
              <w:rPr>
                <w:b w:val="0"/>
                <w:color w:val="000000"/>
                <w:sz w:val="18"/>
              </w:rPr>
              <w:t>OctoBench</w:t>
            </w:r>
          </w:p>
        </w:tc>
        <w:tc>
          <w:tcPr>
            <w:tcW w:type="dxa" w:w="3600"/>
            <w:vAlign w:val="center"/>
            <w:shd w:fill="F3F6F8"/>
            <w:tcMar>
              <w:top w:w="95" w:type="dxa"/>
              <w:left w:w="95" w:type="dxa"/>
              <w:bottom w:w="95" w:type="dxa"/>
              <w:right w:w="95" w:type="dxa"/>
            </w:tcMar>
          </w:tcPr>
          <w:p>
            <w:pPr>
              <w:spacing w:after="40" w:before="40" w:line="240" w:lineRule="auto"/>
            </w:pPr>
            <w:r>
              <w:rPr>
                <w:b w:val="0"/>
                <w:color w:val="000000"/>
                <w:sz w:val="18"/>
              </w:rPr>
              <w:t>Agent behavior under explicit conflicts</w:t>
            </w:r>
          </w:p>
        </w:tc>
        <w:tc>
          <w:tcPr>
            <w:tcW w:type="dxa" w:w="3600"/>
            <w:vAlign w:val="center"/>
            <w:shd w:fill="F3F6F8"/>
            <w:tcMar>
              <w:top w:w="95" w:type="dxa"/>
              <w:left w:w="95" w:type="dxa"/>
              <w:bottom w:w="95" w:type="dxa"/>
              <w:right w:w="95" w:type="dxa"/>
            </w:tcMar>
          </w:tcPr>
          <w:p>
            <w:pPr>
              <w:spacing w:after="40" w:before="40" w:line="240" w:lineRule="auto"/>
            </w:pPr>
            <w:r>
              <w:rPr>
                <w:b w:val="0"/>
                <w:color w:val="000000"/>
                <w:sz w:val="18"/>
              </w:rPr>
              <w:t>Correctness against a declared precedence rule</w:t>
            </w:r>
          </w:p>
        </w:tc>
      </w:tr>
      <w:tr>
        <w:trPr>
          <w:cantSplit/>
        </w:trPr>
        <w:tc>
          <w:tcPr>
            <w:tcW w:type="dxa" w:w="2160"/>
            <w:vAlign w:val="center"/>
            <w:shd w:fill="FFFFFF"/>
            <w:tcMar>
              <w:top w:w="95" w:type="dxa"/>
              <w:left w:w="95" w:type="dxa"/>
              <w:bottom w:w="95" w:type="dxa"/>
              <w:right w:w="95" w:type="dxa"/>
            </w:tcMar>
          </w:tcPr>
          <w:p>
            <w:pPr>
              <w:spacing w:after="40" w:before="40" w:line="240" w:lineRule="auto"/>
            </w:pPr>
            <w:r>
              <w:rPr>
                <w:b w:val="0"/>
                <w:color w:val="000000"/>
                <w:sz w:val="18"/>
              </w:rPr>
              <w:t>Guidefold and Ruleherd</w:t>
            </w:r>
          </w:p>
        </w:tc>
        <w:tc>
          <w:tcPr>
            <w:tcW w:type="dxa" w:w="3600"/>
            <w:vAlign w:val="center"/>
            <w:shd w:fill="FFFFFF"/>
            <w:tcMar>
              <w:top w:w="95" w:type="dxa"/>
              <w:left w:w="95" w:type="dxa"/>
              <w:bottom w:w="95" w:type="dxa"/>
              <w:right w:w="95" w:type="dxa"/>
            </w:tcMar>
          </w:tcPr>
          <w:p>
            <w:pPr>
              <w:spacing w:after="40" w:before="40" w:line="240" w:lineRule="auto"/>
            </w:pPr>
            <w:r>
              <w:rPr>
                <w:b w:val="0"/>
                <w:color w:val="000000"/>
                <w:sz w:val="18"/>
              </w:rPr>
              <w:t>Authority mechanics and practical auditing</w:t>
            </w:r>
          </w:p>
        </w:tc>
        <w:tc>
          <w:tcPr>
            <w:tcW w:type="dxa" w:w="3600"/>
            <w:vAlign w:val="center"/>
            <w:shd w:fill="FFFFFF"/>
            <w:tcMar>
              <w:top w:w="95" w:type="dxa"/>
              <w:left w:w="95" w:type="dxa"/>
              <w:bottom w:w="95" w:type="dxa"/>
              <w:right w:w="95" w:type="dxa"/>
            </w:tcMar>
          </w:tcPr>
          <w:p>
            <w:pPr>
              <w:spacing w:after="40" w:before="40" w:line="240" w:lineRule="auto"/>
            </w:pPr>
            <w:r>
              <w:rPr>
                <w:b w:val="0"/>
                <w:color w:val="000000"/>
                <w:sz w:val="18"/>
              </w:rPr>
              <w:t>Independent semantic reference judgments</w:t>
            </w:r>
          </w:p>
        </w:tc>
      </w:tr>
    </w:tbl>
    <w:p>
      <w:pPr>
        <w:spacing w:after="20"/>
      </w:pPr>
    </w:p>
    <w:p>
      <w:pPr>
        <w:widowControl/>
      </w:pPr>
      <w:r>
        <w:t>A defensible novelty statement is: “We propose a repository-grounded diagnostic resource for evaluating whether conflict detectors distinguish unresolved contradictions from legitimate differences introduced by applicability and precedence.” The narrower combination is a candidate contribution, not a guarantee of novelty or acceptance.</w:t>
      </w:r>
    </w:p>
    <w:p>
      <w:pPr>
        <w:widowControl/>
      </w:pPr>
      <w:r>
        <w:t>The strongest comparison uses a direct language model with exactly the same contextual information as the structured method. If that simple baseline performs equally well, the dataset and analysis can still be useful. The paper should report that outcome plainly.</w:t>
      </w:r>
    </w:p>
    <w:p>
      <w:r>
        <w:br w:type="page"/>
      </w:r>
    </w:p>
    <w:p>
      <w:pPr>
        <w:pStyle w:val="Heading1"/>
      </w:pPr>
      <w:r>
        <w:t>Research questions and scope boundaries</w:t>
      </w:r>
    </w:p>
    <w:p>
      <w:pPr>
        <w:widowControl/>
      </w:pPr>
      <w:r>
        <w:t>RQ1: Can independent annotators consistently distinguish unresolved conflicts, valid overrides, disjoint applicability, compatibility, and insufficient evidence in the sampled repository material? This tests whether the proposed task is well defined.</w:t>
      </w:r>
    </w:p>
    <w:p>
      <w:pPr>
        <w:widowControl/>
      </w:pPr>
      <w:r>
        <w:t>RQ2: Does explicit extraction and resolution improve classification over a strong direct contextual model given the same evidence? Compare false alarms and true-conflict recall together.</w:t>
      </w:r>
    </w:p>
    <w:p>
      <w:pPr>
        <w:widowControl/>
      </w:pPr>
      <w:r>
        <w:t>RQ3: Does a detector change its answer correctly when only relevant context changes, and remain correct when presentation changes should not matter? This tests context sensitivity rather than recognition of conflict-related keywords.</w:t>
      </w:r>
    </w:p>
    <w:p>
      <w:pPr>
        <w:widowControl/>
      </w:pPr>
      <w:r>
        <w:t>The initial normative inputs are root and nested AGENTS.md files at one immutable repository commit. Each case has one concrete task and one target path. The operational profile is a declared experiment assumption based on documented nested precedence [1], not a universal claim about all coding tools.</w:t>
      </w:r>
    </w:p>
    <w:p>
      <w:pPr>
        <w:widowControl/>
      </w:pPr>
      <w:r>
        <w:t>Exclude cross-format priority, symbolic links, imported instruction files, multiple working roots, user-level overrides, and tasks touching several independent targets from the first pilot. Record those exclusions. They can be studied later with explicit semantics. README, CONTRIBUTING, CLAUDE.md, and SKILL.md should not silently receive invented ranks.</w:t>
      </w:r>
    </w:p>
    <w:p>
      <w:pPr>
        <w:widowControl/>
      </w:pPr>
      <w:r>
        <w:t>Keep the following questions separate: whether text is binding, whether it applies, whether it is superseded, whether its effective requirements are compatible, whether the agent obeys it, and whether the resulting code is correct. CIPHER's first study concerns the first four. Better coding outcomes require an additional experiment.</w:t>
      </w:r>
    </w:p>
    <w:p>
      <w:pPr>
        <w:widowControl/>
      </w:pPr>
      <w:r>
        <w:t>Historical age is not a contradiction label. A file may remain correct for a long time. Temporal drift needs historical code or instruction evidence, as the Context Rot line of research illustrates [11].</w:t>
      </w:r>
    </w:p>
    <w:p>
      <w:r>
        <w:br w:type="page"/>
      </w:r>
    </w:p>
    <w:p>
      <w:pPr>
        <w:pStyle w:val="Heading1"/>
      </w:pPr>
      <w:r>
        <w:t>Annotation handbook</w:t>
      </w:r>
    </w:p>
    <w:p>
      <w:pPr>
        <w:widowControl/>
      </w:pPr>
      <w:r>
        <w:t>Give both annotators the unmodified spans, headings, paths, commit, task, target, and exact profile, plus relevant exception or priority statements elsewhere in the instruction tree. Missing decisive context means insufficient evidence or a logged exclusion. Hide model predictions, preferred answers, and a transformation's intended effect before independent labeling.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shd w:fill="17344D"/>
            <w:tcMar>
              <w:top w:w="95" w:type="dxa"/>
              <w:left w:w="95" w:type="dxa"/>
              <w:bottom w:w="95" w:type="dxa"/>
              <w:right w:w="95" w:type="dxa"/>
            </w:tcMar>
          </w:tcPr>
          <w:p>
            <w:pPr>
              <w:spacing w:after="40" w:before="40" w:line="240" w:lineRule="auto"/>
            </w:pPr>
            <w:r>
              <w:rPr>
                <w:b/>
                <w:color w:val="FFFFFF"/>
                <w:sz w:val="18"/>
              </w:rPr>
              <w:t>Reference label</w:t>
            </w:r>
          </w:p>
        </w:tc>
        <w:tc>
          <w:tcPr>
            <w:tcW w:type="dxa" w:w="6984"/>
            <w:vAlign w:val="center"/>
            <w:shd w:fill="17344D"/>
            <w:tcMar>
              <w:top w:w="95" w:type="dxa"/>
              <w:left w:w="95" w:type="dxa"/>
              <w:bottom w:w="95" w:type="dxa"/>
              <w:right w:w="95" w:type="dxa"/>
            </w:tcMar>
          </w:tcPr>
          <w:p>
            <w:pPr>
              <w:spacing w:after="40" w:before="40" w:line="240" w:lineRule="auto"/>
            </w:pPr>
            <w:r>
              <w:rPr>
                <w:b/>
                <w:color w:val="FFFFFF"/>
                <w:sz w:val="18"/>
              </w:rPr>
              <w:t>Decision rule</w:t>
            </w:r>
          </w:p>
        </w:tc>
      </w:tr>
      <w:tr>
        <w:trPr>
          <w:cantSplit/>
        </w:trPr>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Unresolved conflict</w:t>
            </w:r>
          </w:p>
        </w:tc>
        <w:tc>
          <w:tcPr>
            <w:tcW w:type="dxa" w:w="6984"/>
            <w:vAlign w:val="center"/>
            <w:shd w:fill="FFFFFF"/>
            <w:tcMar>
              <w:top w:w="95" w:type="dxa"/>
              <w:left w:w="95" w:type="dxa"/>
              <w:bottom w:w="95" w:type="dxa"/>
              <w:right w:w="95" w:type="dxa"/>
            </w:tcMar>
          </w:tcPr>
          <w:p>
            <w:pPr>
              <w:spacing w:after="40" w:before="40" w:line="240" w:lineRule="auto"/>
            </w:pPr>
            <w:r>
              <w:rPr>
                <w:b w:val="0"/>
                <w:color w:val="000000"/>
                <w:sz w:val="18"/>
              </w:rPr>
              <w:t>Both hard requirements remain effective for the same decision and cannot jointly be satisfied; the declared profile supplies no valid winner.</w:t>
            </w:r>
          </w:p>
        </w:tc>
      </w:tr>
      <w:tr>
        <w:trPr>
          <w:cantSplit/>
        </w:trPr>
        <w:tc>
          <w:tcPr>
            <w:tcW w:type="dxa" w:w="2376"/>
            <w:vAlign w:val="center"/>
            <w:shd w:fill="F3F6F8"/>
            <w:tcMar>
              <w:top w:w="95" w:type="dxa"/>
              <w:left w:w="95" w:type="dxa"/>
              <w:bottom w:w="95" w:type="dxa"/>
              <w:right w:w="95" w:type="dxa"/>
            </w:tcMar>
          </w:tcPr>
          <w:p>
            <w:pPr>
              <w:spacing w:after="40" w:before="40" w:line="240" w:lineRule="auto"/>
            </w:pPr>
            <w:r>
              <w:rPr>
                <w:b w:val="0"/>
                <w:color w:val="000000"/>
                <w:sz w:val="18"/>
              </w:rPr>
              <w:t>Valid override</w:t>
            </w:r>
          </w:p>
        </w:tc>
        <w:tc>
          <w:tcPr>
            <w:tcW w:type="dxa" w:w="6984"/>
            <w:vAlign w:val="center"/>
            <w:shd w:fill="F3F6F8"/>
            <w:tcMar>
              <w:top w:w="95" w:type="dxa"/>
              <w:left w:w="95" w:type="dxa"/>
              <w:bottom w:w="95" w:type="dxa"/>
              <w:right w:w="95" w:type="dxa"/>
            </w:tcMar>
          </w:tcPr>
          <w:p>
            <w:pPr>
              <w:spacing w:after="40" w:before="40" w:line="240" w:lineRule="auto"/>
            </w:pPr>
            <w:r>
              <w:rPr>
                <w:b w:val="0"/>
                <w:color w:val="000000"/>
                <w:sz w:val="18"/>
              </w:rPr>
              <w:t>Both rules apply before priority is considered, but a documented precedence rule resolves their incompatible requirements for this task.</w:t>
            </w:r>
          </w:p>
        </w:tc>
      </w:tr>
      <w:tr>
        <w:trPr>
          <w:cantSplit/>
        </w:trPr>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Disjoint applicability</w:t>
            </w:r>
          </w:p>
        </w:tc>
        <w:tc>
          <w:tcPr>
            <w:tcW w:type="dxa" w:w="6984"/>
            <w:vAlign w:val="center"/>
            <w:shd w:fill="FFFFFF"/>
            <w:tcMar>
              <w:top w:w="95" w:type="dxa"/>
              <w:left w:w="95" w:type="dxa"/>
              <w:bottom w:w="95" w:type="dxa"/>
              <w:right w:w="95" w:type="dxa"/>
            </w:tcMar>
          </w:tcPr>
          <w:p>
            <w:pPr>
              <w:spacing w:after="40" w:before="40" w:line="240" w:lineRule="auto"/>
            </w:pPr>
            <w:r>
              <w:rPr>
                <w:b w:val="0"/>
                <w:color w:val="000000"/>
                <w:sz w:val="18"/>
              </w:rPr>
              <w:t>Before considering priority, at least one rule is inactive because of its directory, task, environment, or explicit condition.</w:t>
            </w:r>
          </w:p>
        </w:tc>
      </w:tr>
      <w:tr>
        <w:trPr>
          <w:cantSplit/>
        </w:trPr>
        <w:tc>
          <w:tcPr>
            <w:tcW w:type="dxa" w:w="2376"/>
            <w:vAlign w:val="center"/>
            <w:shd w:fill="F3F6F8"/>
            <w:tcMar>
              <w:top w:w="95" w:type="dxa"/>
              <w:left w:w="95" w:type="dxa"/>
              <w:bottom w:w="95" w:type="dxa"/>
              <w:right w:w="95" w:type="dxa"/>
            </w:tcMar>
          </w:tcPr>
          <w:p>
            <w:pPr>
              <w:spacing w:after="40" w:before="40" w:line="240" w:lineRule="auto"/>
            </w:pPr>
            <w:r>
              <w:rPr>
                <w:b w:val="0"/>
                <w:color w:val="000000"/>
                <w:sz w:val="18"/>
              </w:rPr>
              <w:t>Compatible</w:t>
            </w:r>
          </w:p>
        </w:tc>
        <w:tc>
          <w:tcPr>
            <w:tcW w:type="dxa" w:w="6984"/>
            <w:vAlign w:val="center"/>
            <w:shd w:fill="F3F6F8"/>
            <w:tcMar>
              <w:top w:w="95" w:type="dxa"/>
              <w:left w:w="95" w:type="dxa"/>
              <w:bottom w:w="95" w:type="dxa"/>
              <w:right w:w="95" w:type="dxa"/>
            </w:tcMar>
          </w:tcPr>
          <w:p>
            <w:pPr>
              <w:spacing w:after="40" w:before="40" w:line="240" w:lineRule="auto"/>
            </w:pPr>
            <w:r>
              <w:rPr>
                <w:b w:val="0"/>
                <w:color w:val="000000"/>
                <w:sz w:val="18"/>
              </w:rPr>
              <w:t>The effective requirements can be satisfied together, including rules about different decisions and nonbinding preferences.</w:t>
            </w:r>
          </w:p>
        </w:tc>
      </w:tr>
      <w:tr>
        <w:trPr>
          <w:cantSplit/>
        </w:trPr>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Insufficient evidence</w:t>
            </w:r>
          </w:p>
        </w:tc>
        <w:tc>
          <w:tcPr>
            <w:tcW w:type="dxa" w:w="6984"/>
            <w:vAlign w:val="center"/>
            <w:shd w:fill="FFFFFF"/>
            <w:tcMar>
              <w:top w:w="95" w:type="dxa"/>
              <w:left w:w="95" w:type="dxa"/>
              <w:bottom w:w="95" w:type="dxa"/>
              <w:right w:w="95" w:type="dxa"/>
            </w:tcMar>
          </w:tcPr>
          <w:p>
            <w:pPr>
              <w:spacing w:after="40" w:before="40" w:line="240" w:lineRule="auto"/>
            </w:pPr>
            <w:r>
              <w:rPr>
                <w:b w:val="0"/>
                <w:color w:val="000000"/>
                <w:sz w:val="18"/>
              </w:rPr>
              <w:t>The available material cannot establish meaning, applicability, or precedence well enough to select another label.</w:t>
            </w:r>
          </w:p>
        </w:tc>
      </w:tr>
    </w:tbl>
    <w:p>
      <w:pPr>
        <w:spacing w:after="20"/>
      </w:pPr>
    </w:p>
    <w:p>
      <w:pPr>
        <w:widowControl/>
      </w:pPr>
      <w:r>
        <w:t>Decision sequence: check evidence sufficiency, then whether both rules apply before priority is considered. If both can be satisfied, label compatible. Otherwise check documented precedence: a valid winner means override; no winner means unresolved conflict. A conditional exception that makes one rule inactive is disjoint applicability. A superseded but otherwise applicable ancestor belongs in override, not disjoint. Record any secondary uncertainty without discarding a decisive label.</w:t>
      </w:r>
    </w:p>
    <w:p>
      <w:pPr>
        <w:widowControl/>
      </w:pPr>
      <w:r>
        <w:t>Preserve modality. “Prefer” is not “must,” and “use tool A” does not always mean “never use tool B.” A prohibition or exclusivity interpretation requires textual support. Check whether two rules address the same decision: a testing requirement and an indentation requirement can coexist.</w:t>
      </w:r>
    </w:p>
    <w:p>
      <w:pPr>
        <w:widowControl/>
      </w:pPr>
      <w:r>
        <w:t>For each judgment, record exact evidence spans, applicability, modality, the decision being regulated, any winning source, the reason, and uncertainty. Preserve both initial labels after adjudication. The adjudicator should explain the resolution rather than replacing the disagreement history.</w:t>
      </w:r>
    </w:p>
    <w:p>
      <w:pPr>
        <w:widowControl/>
      </w:pPr>
      <w:r>
        <w:t>Use eight calibration source pairs from two repositories as a target, adding authored practice examples to cover every label boundary. Revise the handbook, then freeze it. Exclude calibration examples and copied templates from evaluation. Report raw agreement and Cohen's kappa with class counts; a small imbalanced sample can make one agreement statistic misleading.</w:t>
      </w:r>
    </w:p>
    <w:p>
      <w:r>
        <w:br w:type="page"/>
      </w:r>
    </w:p>
    <w:p>
      <w:pPr>
        <w:pStyle w:val="Heading1"/>
      </w:pPr>
      <w:r>
        <w:t>Corpus construction and controlled cases</w:t>
      </w:r>
    </w:p>
    <w:p>
      <w:pPr>
        <w:widowControl/>
      </w:pPr>
      <w:r>
        <w:t>Use an established configuration corpus to seed repository discovery. The dataset by Galster et al. [9] and Agent READMEs [2] are relevant starting points. A seed list does not guarantee a complete nested instruction tree. Retrieve the complete relevant files at the pinned commit and record the dataset version, repository revision, retrieval date, and inclusion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024"/>
        <w:gridCol w:w="3456"/>
      </w:tblGrid>
      <w:tr>
        <w:trPr>
          <w:tblHeader/>
          <w:cantSplit/>
        </w:trPr>
        <w:tc>
          <w:tcPr>
            <w:tcW w:type="dxa" w:w="2880"/>
            <w:vAlign w:val="center"/>
            <w:shd w:fill="17344D"/>
            <w:tcMar>
              <w:top w:w="95" w:type="dxa"/>
              <w:left w:w="95" w:type="dxa"/>
              <w:bottom w:w="95" w:type="dxa"/>
              <w:right w:w="95" w:type="dxa"/>
            </w:tcMar>
          </w:tcPr>
          <w:p>
            <w:pPr>
              <w:spacing w:after="40" w:before="40" w:line="240" w:lineRule="auto"/>
            </w:pPr>
            <w:r>
              <w:rPr>
                <w:b/>
                <w:color w:val="FFFFFF"/>
                <w:sz w:val="18"/>
              </w:rPr>
              <w:t>Partition</w:t>
            </w:r>
          </w:p>
        </w:tc>
        <w:tc>
          <w:tcPr>
            <w:tcW w:type="dxa" w:w="3024"/>
            <w:vAlign w:val="center"/>
            <w:shd w:fill="17344D"/>
            <w:tcMar>
              <w:top w:w="95" w:type="dxa"/>
              <w:left w:w="95" w:type="dxa"/>
              <w:bottom w:w="95" w:type="dxa"/>
              <w:right w:w="95" w:type="dxa"/>
            </w:tcMar>
          </w:tcPr>
          <w:p>
            <w:pPr>
              <w:spacing w:after="40" w:before="40" w:line="240" w:lineRule="auto"/>
            </w:pPr>
            <w:r>
              <w:rPr>
                <w:b/>
                <w:color w:val="FFFFFF"/>
                <w:sz w:val="18"/>
              </w:rPr>
              <w:t>Planning target</w:t>
            </w:r>
          </w:p>
        </w:tc>
        <w:tc>
          <w:tcPr>
            <w:tcW w:type="dxa" w:w="3456"/>
            <w:vAlign w:val="center"/>
            <w:shd w:fill="17344D"/>
            <w:tcMar>
              <w:top w:w="95" w:type="dxa"/>
              <w:left w:w="95" w:type="dxa"/>
              <w:bottom w:w="95" w:type="dxa"/>
              <w:right w:w="95" w:type="dxa"/>
            </w:tcMar>
          </w:tcPr>
          <w:p>
            <w:pPr>
              <w:spacing w:after="40" w:before="40" w:line="240" w:lineRule="auto"/>
            </w:pPr>
            <w:r>
              <w:rPr>
                <w:b/>
                <w:color w:val="FFFFFF"/>
                <w:sz w:val="18"/>
              </w:rPr>
              <w:t>Purpose</w:t>
            </w:r>
          </w:p>
        </w:tc>
      </w:tr>
      <w:tr>
        <w:trPr>
          <w:cantSplit/>
        </w:trPr>
        <w:tc>
          <w:tcPr>
            <w:tcW w:type="dxa" w:w="2880"/>
            <w:vAlign w:val="center"/>
            <w:shd w:fill="FFFFFF"/>
            <w:tcMar>
              <w:top w:w="95" w:type="dxa"/>
              <w:left w:w="95" w:type="dxa"/>
              <w:bottom w:w="95" w:type="dxa"/>
              <w:right w:w="95" w:type="dxa"/>
            </w:tcMar>
          </w:tcPr>
          <w:p>
            <w:pPr>
              <w:spacing w:after="40" w:before="40" w:line="240" w:lineRule="auto"/>
            </w:pPr>
            <w:r>
              <w:rPr>
                <w:b w:val="0"/>
                <w:color w:val="000000"/>
                <w:sz w:val="18"/>
              </w:rPr>
              <w:t>Calibration</w:t>
            </w:r>
          </w:p>
        </w:tc>
        <w:tc>
          <w:tcPr>
            <w:tcW w:type="dxa" w:w="3024"/>
            <w:vAlign w:val="center"/>
            <w:shd w:fill="FFFFFF"/>
            <w:tcMar>
              <w:top w:w="95" w:type="dxa"/>
              <w:left w:w="95" w:type="dxa"/>
              <w:bottom w:w="95" w:type="dxa"/>
              <w:right w:w="95" w:type="dxa"/>
            </w:tcMar>
          </w:tcPr>
          <w:p>
            <w:pPr>
              <w:spacing w:after="40" w:before="40" w:line="240" w:lineRule="auto"/>
            </w:pPr>
            <w:r>
              <w:rPr>
                <w:b w:val="0"/>
                <w:color w:val="000000"/>
                <w:sz w:val="18"/>
              </w:rPr>
              <w:t>8 pairs from 2 repositories</w:t>
            </w:r>
          </w:p>
        </w:tc>
        <w:tc>
          <w:tcPr>
            <w:tcW w:type="dxa" w:w="3456"/>
            <w:vAlign w:val="center"/>
            <w:shd w:fill="FFFFFF"/>
            <w:tcMar>
              <w:top w:w="95" w:type="dxa"/>
              <w:left w:w="95" w:type="dxa"/>
              <w:bottom w:w="95" w:type="dxa"/>
              <w:right w:w="95" w:type="dxa"/>
            </w:tcMar>
          </w:tcPr>
          <w:p>
            <w:pPr>
              <w:spacing w:after="40" w:before="40" w:line="240" w:lineRule="auto"/>
            </w:pPr>
            <w:r>
              <w:rPr>
                <w:b w:val="0"/>
                <w:color w:val="000000"/>
                <w:sz w:val="18"/>
              </w:rPr>
              <w:t>Develop the handbook and prompts</w:t>
            </w:r>
          </w:p>
        </w:tc>
      </w:tr>
      <w:tr>
        <w:trPr>
          <w:cantSplit/>
        </w:trPr>
        <w:tc>
          <w:tcPr>
            <w:tcW w:type="dxa" w:w="2880"/>
            <w:vAlign w:val="center"/>
            <w:shd w:fill="F3F6F8"/>
            <w:tcMar>
              <w:top w:w="95" w:type="dxa"/>
              <w:left w:w="95" w:type="dxa"/>
              <w:bottom w:w="95" w:type="dxa"/>
              <w:right w:w="95" w:type="dxa"/>
            </w:tcMar>
          </w:tcPr>
          <w:p>
            <w:pPr>
              <w:spacing w:after="40" w:before="40" w:line="240" w:lineRule="auto"/>
            </w:pPr>
            <w:r>
              <w:rPr>
                <w:b w:val="0"/>
                <w:color w:val="000000"/>
                <w:sz w:val="18"/>
              </w:rPr>
              <w:t>Held-out source families</w:t>
            </w:r>
          </w:p>
        </w:tc>
        <w:tc>
          <w:tcPr>
            <w:tcW w:type="dxa" w:w="3024"/>
            <w:vAlign w:val="center"/>
            <w:shd w:fill="F3F6F8"/>
            <w:tcMar>
              <w:top w:w="95" w:type="dxa"/>
              <w:left w:w="95" w:type="dxa"/>
              <w:bottom w:w="95" w:type="dxa"/>
              <w:right w:w="95" w:type="dxa"/>
            </w:tcMar>
          </w:tcPr>
          <w:p>
            <w:pPr>
              <w:spacing w:after="40" w:before="40" w:line="240" w:lineRule="auto"/>
            </w:pPr>
            <w:r>
              <w:rPr>
                <w:b w:val="0"/>
                <w:color w:val="000000"/>
                <w:sz w:val="18"/>
              </w:rPr>
              <w:t>32 pairs from 8 other repositories</w:t>
            </w:r>
          </w:p>
        </w:tc>
        <w:tc>
          <w:tcPr>
            <w:tcW w:type="dxa" w:w="3456"/>
            <w:vAlign w:val="center"/>
            <w:shd w:fill="F3F6F8"/>
            <w:tcMar>
              <w:top w:w="95" w:type="dxa"/>
              <w:left w:w="95" w:type="dxa"/>
              <w:bottom w:w="95" w:type="dxa"/>
              <w:right w:w="95" w:type="dxa"/>
            </w:tcMar>
          </w:tcPr>
          <w:p>
            <w:pPr>
              <w:spacing w:after="40" w:before="40" w:line="240" w:lineRule="auto"/>
            </w:pPr>
            <w:r>
              <w:rPr>
                <w:b w:val="0"/>
                <w:color w:val="000000"/>
                <w:sz w:val="18"/>
              </w:rPr>
              <w:t>Independent diagnostic evaluation</w:t>
            </w:r>
          </w:p>
        </w:tc>
      </w:tr>
      <w:tr>
        <w:trPr>
          <w:cantSplit/>
        </w:trPr>
        <w:tc>
          <w:tcPr>
            <w:tcW w:type="dxa" w:w="2880"/>
            <w:vAlign w:val="center"/>
            <w:shd w:fill="FFFFFF"/>
            <w:tcMar>
              <w:top w:w="95" w:type="dxa"/>
              <w:left w:w="95" w:type="dxa"/>
              <w:bottom w:w="95" w:type="dxa"/>
              <w:right w:w="95" w:type="dxa"/>
            </w:tcMar>
          </w:tcPr>
          <w:p>
            <w:pPr>
              <w:spacing w:after="40" w:before="40" w:line="240" w:lineRule="auto"/>
            </w:pPr>
            <w:r>
              <w:rPr>
                <w:b w:val="0"/>
                <w:color w:val="000000"/>
                <w:sz w:val="18"/>
              </w:rPr>
              <w:t>Original contexts</w:t>
            </w:r>
          </w:p>
        </w:tc>
        <w:tc>
          <w:tcPr>
            <w:tcW w:type="dxa" w:w="3024"/>
            <w:vAlign w:val="center"/>
            <w:shd w:fill="FFFFFF"/>
            <w:tcMar>
              <w:top w:w="95" w:type="dxa"/>
              <w:left w:w="95" w:type="dxa"/>
              <w:bottom w:w="95" w:type="dxa"/>
              <w:right w:w="95" w:type="dxa"/>
            </w:tcMar>
          </w:tcPr>
          <w:p>
            <w:pPr>
              <w:spacing w:after="40" w:before="40" w:line="240" w:lineRule="auto"/>
            </w:pPr>
            <w:r>
              <w:rPr>
                <w:b w:val="0"/>
                <w:color w:val="000000"/>
                <w:sz w:val="18"/>
              </w:rPr>
              <w:t>32, one per held-out family</w:t>
            </w:r>
          </w:p>
        </w:tc>
        <w:tc>
          <w:tcPr>
            <w:tcW w:type="dxa" w:w="3456"/>
            <w:vAlign w:val="center"/>
            <w:shd w:fill="FFFFFF"/>
            <w:tcMar>
              <w:top w:w="95" w:type="dxa"/>
              <w:left w:w="95" w:type="dxa"/>
              <w:bottom w:w="95" w:type="dxa"/>
              <w:right w:w="95" w:type="dxa"/>
            </w:tcMar>
          </w:tcPr>
          <w:p>
            <w:pPr>
              <w:spacing w:after="40" w:before="40" w:line="240" w:lineRule="auto"/>
            </w:pPr>
            <w:r>
              <w:rPr>
                <w:b w:val="0"/>
                <w:color w:val="000000"/>
                <w:sz w:val="18"/>
              </w:rPr>
              <w:t>Natural evidence stratum</w:t>
            </w:r>
          </w:p>
        </w:tc>
      </w:tr>
      <w:tr>
        <w:trPr>
          <w:cantSplit/>
        </w:trPr>
        <w:tc>
          <w:tcPr>
            <w:tcW w:type="dxa" w:w="2880"/>
            <w:vAlign w:val="center"/>
            <w:shd w:fill="F3F6F8"/>
            <w:tcMar>
              <w:top w:w="95" w:type="dxa"/>
              <w:left w:w="95" w:type="dxa"/>
              <w:bottom w:w="95" w:type="dxa"/>
              <w:right w:w="95" w:type="dxa"/>
            </w:tcMar>
          </w:tcPr>
          <w:p>
            <w:pPr>
              <w:spacing w:after="40" w:before="40" w:line="240" w:lineRule="auto"/>
            </w:pPr>
            <w:r>
              <w:rPr>
                <w:b w:val="0"/>
                <w:color w:val="000000"/>
                <w:sz w:val="18"/>
              </w:rPr>
              <w:t>Answer-changing transformations</w:t>
            </w:r>
          </w:p>
        </w:tc>
        <w:tc>
          <w:tcPr>
            <w:tcW w:type="dxa" w:w="3024"/>
            <w:vAlign w:val="center"/>
            <w:shd w:fill="F3F6F8"/>
            <w:tcMar>
              <w:top w:w="95" w:type="dxa"/>
              <w:left w:w="95" w:type="dxa"/>
              <w:bottom w:w="95" w:type="dxa"/>
              <w:right w:w="95" w:type="dxa"/>
            </w:tcMar>
          </w:tcPr>
          <w:p>
            <w:pPr>
              <w:spacing w:after="40" w:before="40" w:line="240" w:lineRule="auto"/>
            </w:pPr>
            <w:r>
              <w:rPr>
                <w:b w:val="0"/>
                <w:color w:val="000000"/>
                <w:sz w:val="18"/>
              </w:rPr>
              <w:t>Up to 32 when independently valid</w:t>
            </w:r>
          </w:p>
        </w:tc>
        <w:tc>
          <w:tcPr>
            <w:tcW w:type="dxa" w:w="3456"/>
            <w:vAlign w:val="center"/>
            <w:shd w:fill="F3F6F8"/>
            <w:tcMar>
              <w:top w:w="95" w:type="dxa"/>
              <w:left w:w="95" w:type="dxa"/>
              <w:bottom w:w="95" w:type="dxa"/>
              <w:right w:w="95" w:type="dxa"/>
            </w:tcMar>
          </w:tcPr>
          <w:p>
            <w:pPr>
              <w:spacing w:after="40" w:before="40" w:line="240" w:lineRule="auto"/>
            </w:pPr>
            <w:r>
              <w:rPr>
                <w:b w:val="0"/>
                <w:color w:val="000000"/>
                <w:sz w:val="18"/>
              </w:rPr>
              <w:t>Test relevant context sensitivity</w:t>
            </w:r>
          </w:p>
        </w:tc>
      </w:tr>
      <w:tr>
        <w:trPr>
          <w:cantSplit/>
        </w:trPr>
        <w:tc>
          <w:tcPr>
            <w:tcW w:type="dxa" w:w="2880"/>
            <w:vAlign w:val="center"/>
            <w:shd w:fill="FFFFFF"/>
            <w:tcMar>
              <w:top w:w="95" w:type="dxa"/>
              <w:left w:w="95" w:type="dxa"/>
              <w:bottom w:w="95" w:type="dxa"/>
              <w:right w:w="95" w:type="dxa"/>
            </w:tcMar>
          </w:tcPr>
          <w:p>
            <w:pPr>
              <w:spacing w:after="40" w:before="40" w:line="240" w:lineRule="auto"/>
            </w:pPr>
            <w:r>
              <w:rPr>
                <w:b w:val="0"/>
                <w:color w:val="000000"/>
                <w:sz w:val="18"/>
              </w:rPr>
              <w:t>Answer-preserving controls</w:t>
            </w:r>
          </w:p>
        </w:tc>
        <w:tc>
          <w:tcPr>
            <w:tcW w:type="dxa" w:w="3024"/>
            <w:vAlign w:val="center"/>
            <w:shd w:fill="FFFFFF"/>
            <w:tcMar>
              <w:top w:w="95" w:type="dxa"/>
              <w:left w:w="95" w:type="dxa"/>
              <w:bottom w:w="95" w:type="dxa"/>
              <w:right w:w="95" w:type="dxa"/>
            </w:tcMar>
          </w:tcPr>
          <w:p>
            <w:pPr>
              <w:spacing w:after="40" w:before="40" w:line="240" w:lineRule="auto"/>
            </w:pPr>
            <w:r>
              <w:rPr>
                <w:b w:val="0"/>
                <w:color w:val="000000"/>
                <w:sz w:val="18"/>
              </w:rPr>
              <w:t>32, one per family</w:t>
            </w:r>
          </w:p>
        </w:tc>
        <w:tc>
          <w:tcPr>
            <w:tcW w:type="dxa" w:w="3456"/>
            <w:vAlign w:val="center"/>
            <w:shd w:fill="FFFFFF"/>
            <w:tcMar>
              <w:top w:w="95" w:type="dxa"/>
              <w:left w:w="95" w:type="dxa"/>
              <w:bottom w:w="95" w:type="dxa"/>
              <w:right w:w="95" w:type="dxa"/>
            </w:tcMar>
          </w:tcPr>
          <w:p>
            <w:pPr>
              <w:spacing w:after="40" w:before="40" w:line="240" w:lineRule="auto"/>
            </w:pPr>
            <w:r>
              <w:rPr>
                <w:b w:val="0"/>
                <w:color w:val="000000"/>
                <w:sz w:val="18"/>
              </w:rPr>
              <w:t>Test correctness and stability</w:t>
            </w:r>
          </w:p>
        </w:tc>
      </w:tr>
    </w:tbl>
    <w:p>
      <w:pPr>
        <w:spacing w:after="20"/>
      </w:pPr>
    </w:p>
    <w:p>
      <w:pPr>
        <w:widowControl/>
      </w:pPr>
      <w:r>
        <w:t>The evaluation target is 64 to 96 contexts plus a separate calibration partition. Counts are proposed and may be reduced if independently valid cases cannot be assembled. They are neither a completed dataset nor a power calculation. Retain every admitted original case even if it has no valid answer-changing transformation; otherwise the original stratum becomes biased toward transformable cases.</w:t>
      </w:r>
    </w:p>
    <w:p>
      <w:pPr>
        <w:widowControl/>
      </w:pPr>
      <w:r>
        <w:t>Keep a selection log. Combine a documented candidate procedure with random additional pairs and exhaustive review of a few small trees. Preserve ordinary negatives. Record whether a case came from retrieval, random sampling, or manual selection. A challenge-oriented sample cannot support a population claim such as “X percent of all repositories contain conflicts.”</w:t>
      </w:r>
    </w:p>
    <w:p>
      <w:pPr>
        <w:widowControl/>
      </w:pPr>
      <w:r>
        <w:t>Original means genuine instruction text and source placement, not an observed coding session. Concrete tasks may be authored; record that origin and keep task wording neutral. For an answer-changing case, preserve both rules and change only the stated context property, such as target path or source placement. Preserve original files and document the transformation. Reject interventions that change several assumptions or have ambiguous expected labels.</w:t>
      </w:r>
    </w:p>
    <w:p>
      <w:pPr>
        <w:widowControl/>
      </w:pPr>
      <w:r>
        <w:t>For controls, reorder evidence presentation or adjust harmless Markdown formatting without changing meaning. Annotators must verify the preserved label. Group forks, copied templates, source pairs, and all descendants before splitting; related cases must not cross calibration and evaluation.</w:t>
      </w:r>
    </w:p>
    <w:p>
      <w:r>
        <w:br w:type="page"/>
      </w:r>
    </w:p>
    <w:p>
      <w:pPr>
        <w:pStyle w:val="Heading1"/>
      </w:pPr>
      <w:r>
        <w:t>Methods and fair comparisons</w:t>
      </w:r>
    </w:p>
    <w:p>
      <w:pPr>
        <w:widowControl/>
      </w:pPr>
      <w:r>
        <w:t>Reference pipeline: parse Markdown while preserving headings and source spans; identify claims and conditions; calculate path applicability under the frozen profile; resolve valid overrides; classify semantic incompatibility; produce a short evidence-based explanation. Preserve uncertainty at every stage. No automatic source repair is needed for the first study.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tblHeader/>
          <w:cantSplit/>
        </w:trPr>
        <w:tc>
          <w:tcPr>
            <w:tcW w:type="dxa" w:w="2592"/>
            <w:vAlign w:val="center"/>
            <w:shd w:fill="17344D"/>
            <w:tcMar>
              <w:top w:w="95" w:type="dxa"/>
              <w:left w:w="95" w:type="dxa"/>
              <w:bottom w:w="95" w:type="dxa"/>
              <w:right w:w="95" w:type="dxa"/>
            </w:tcMar>
          </w:tcPr>
          <w:p>
            <w:pPr>
              <w:spacing w:after="40" w:before="40" w:line="240" w:lineRule="auto"/>
            </w:pPr>
            <w:r>
              <w:rPr>
                <w:b/>
                <w:color w:val="FFFFFF"/>
                <w:sz w:val="18"/>
              </w:rPr>
              <w:t>Condition</w:t>
            </w:r>
          </w:p>
        </w:tc>
        <w:tc>
          <w:tcPr>
            <w:tcW w:type="dxa" w:w="6768"/>
            <w:vAlign w:val="center"/>
            <w:shd w:fill="17344D"/>
            <w:tcMar>
              <w:top w:w="95" w:type="dxa"/>
              <w:left w:w="95" w:type="dxa"/>
              <w:bottom w:w="95" w:type="dxa"/>
              <w:right w:w="95" w:type="dxa"/>
            </w:tcMar>
          </w:tcPr>
          <w:p>
            <w:pPr>
              <w:spacing w:after="40" w:before="40" w:line="240" w:lineRule="auto"/>
            </w:pPr>
            <w:r>
              <w:rPr>
                <w:b/>
                <w:color w:val="FFFFFF"/>
                <w:sz w:val="18"/>
              </w:rPr>
              <w:t>Inputs and role</w:t>
            </w:r>
          </w:p>
        </w:tc>
      </w:tr>
      <w:tr>
        <w:trPr>
          <w:cantSplit/>
        </w:trPr>
        <w:tc>
          <w:tcPr>
            <w:tcW w:type="dxa" w:w="2592"/>
            <w:vAlign w:val="center"/>
            <w:shd w:fill="FFFFFF"/>
            <w:tcMar>
              <w:top w:w="95" w:type="dxa"/>
              <w:left w:w="95" w:type="dxa"/>
              <w:bottom w:w="95" w:type="dxa"/>
              <w:right w:w="95" w:type="dxa"/>
            </w:tcMar>
          </w:tcPr>
          <w:p>
            <w:pPr>
              <w:spacing w:after="40" w:before="40" w:line="240" w:lineRule="auto"/>
            </w:pPr>
            <w:r>
              <w:rPr>
                <w:b w:val="0"/>
                <w:color w:val="000000"/>
                <w:sz w:val="18"/>
              </w:rPr>
              <w:t>Heuristic baseline</w:t>
            </w:r>
          </w:p>
        </w:tc>
        <w:tc>
          <w:tcPr>
            <w:tcW w:type="dxa" w:w="6768"/>
            <w:vAlign w:val="center"/>
            <w:shd w:fill="FFFFFF"/>
            <w:tcMar>
              <w:top w:w="95" w:type="dxa"/>
              <w:left w:w="95" w:type="dxa"/>
              <w:bottom w:w="95" w:type="dxa"/>
              <w:right w:w="95" w:type="dxa"/>
            </w:tcMar>
          </w:tcPr>
          <w:p>
            <w:pPr>
              <w:spacing w:after="40" w:before="40" w:line="240" w:lineRule="auto"/>
            </w:pPr>
            <w:r>
              <w:rPr>
                <w:b w:val="0"/>
                <w:color w:val="000000"/>
                <w:sz w:val="18"/>
              </w:rPr>
              <w:t>Pinned Ruleherd or a clearly described adaptation; report binary conflict metrics only</w:t>
            </w:r>
          </w:p>
        </w:tc>
      </w:tr>
      <w:tr>
        <w:trPr>
          <w:cantSplit/>
        </w:trPr>
        <w:tc>
          <w:tcPr>
            <w:tcW w:type="dxa" w:w="2592"/>
            <w:vAlign w:val="center"/>
            <w:shd w:fill="F3F6F8"/>
            <w:tcMar>
              <w:top w:w="95" w:type="dxa"/>
              <w:left w:w="95" w:type="dxa"/>
              <w:bottom w:w="95" w:type="dxa"/>
              <w:right w:w="95" w:type="dxa"/>
            </w:tcMar>
          </w:tcPr>
          <w:p>
            <w:pPr>
              <w:spacing w:after="40" w:before="40" w:line="240" w:lineRule="auto"/>
            </w:pPr>
            <w:r>
              <w:rPr>
                <w:b w:val="0"/>
                <w:color w:val="000000"/>
                <w:sz w:val="18"/>
              </w:rPr>
              <w:t>Strong direct model</w:t>
            </w:r>
          </w:p>
        </w:tc>
        <w:tc>
          <w:tcPr>
            <w:tcW w:type="dxa" w:w="6768"/>
            <w:vAlign w:val="center"/>
            <w:shd w:fill="F3F6F8"/>
            <w:tcMar>
              <w:top w:w="95" w:type="dxa"/>
              <w:left w:w="95" w:type="dxa"/>
              <w:bottom w:w="95" w:type="dxa"/>
              <w:right w:w="95" w:type="dxa"/>
            </w:tcMar>
          </w:tcPr>
          <w:p>
            <w:pPr>
              <w:spacing w:after="40" w:before="40" w:line="240" w:lineRule="auto"/>
            </w:pPr>
            <w:r>
              <w:rPr>
                <w:b w:val="0"/>
                <w:color w:val="000000"/>
                <w:sz w:val="18"/>
              </w:rPr>
              <w:t>Original text, headings, task, paths, revision, and complete profile; request the five-way label and evidence</w:t>
            </w:r>
          </w:p>
        </w:tc>
      </w:tr>
      <w:tr>
        <w:trPr>
          <w:cantSplit/>
        </w:trPr>
        <w:tc>
          <w:tcPr>
            <w:tcW w:type="dxa" w:w="2592"/>
            <w:vAlign w:val="center"/>
            <w:shd w:fill="FFFFFF"/>
            <w:tcMar>
              <w:top w:w="95" w:type="dxa"/>
              <w:left w:w="95" w:type="dxa"/>
              <w:bottom w:w="95" w:type="dxa"/>
              <w:right w:w="95" w:type="dxa"/>
            </w:tcMar>
          </w:tcPr>
          <w:p>
            <w:pPr>
              <w:spacing w:after="40" w:before="40" w:line="240" w:lineRule="auto"/>
            </w:pPr>
            <w:r>
              <w:rPr>
                <w:b w:val="0"/>
                <w:color w:val="000000"/>
                <w:sz w:val="18"/>
              </w:rPr>
              <w:t>Published prompt adaptation</w:t>
            </w:r>
          </w:p>
        </w:tc>
        <w:tc>
          <w:tcPr>
            <w:tcW w:type="dxa" w:w="6768"/>
            <w:vAlign w:val="center"/>
            <w:shd w:fill="FFFFFF"/>
            <w:tcMar>
              <w:top w:w="95" w:type="dxa"/>
              <w:left w:w="95" w:type="dxa"/>
              <w:bottom w:w="95" w:type="dxa"/>
              <w:right w:w="95" w:type="dxa"/>
            </w:tcMar>
          </w:tcPr>
          <w:p>
            <w:pPr>
              <w:spacing w:after="40" w:before="40" w:line="240" w:lineRule="auto"/>
            </w:pPr>
            <w:r>
              <w:rPr>
                <w:b w:val="0"/>
                <w:color w:val="000000"/>
                <w:sz w:val="18"/>
              </w:rPr>
              <w:t>Transparent adaptation of the Configuration Smells prompt to the same case evidence</w:t>
            </w:r>
          </w:p>
        </w:tc>
      </w:tr>
      <w:tr>
        <w:trPr>
          <w:cantSplit/>
        </w:trPr>
        <w:tc>
          <w:tcPr>
            <w:tcW w:type="dxa" w:w="2592"/>
            <w:vAlign w:val="center"/>
            <w:shd w:fill="F3F6F8"/>
            <w:tcMar>
              <w:top w:w="95" w:type="dxa"/>
              <w:left w:w="95" w:type="dxa"/>
              <w:bottom w:w="95" w:type="dxa"/>
              <w:right w:w="95" w:type="dxa"/>
            </w:tcMar>
          </w:tcPr>
          <w:p>
            <w:pPr>
              <w:spacing w:after="40" w:before="40" w:line="240" w:lineRule="auto"/>
            </w:pPr>
            <w:r>
              <w:rPr>
                <w:b w:val="0"/>
                <w:color w:val="000000"/>
                <w:sz w:val="18"/>
              </w:rPr>
              <w:t>Structured method</w:t>
            </w:r>
          </w:p>
        </w:tc>
        <w:tc>
          <w:tcPr>
            <w:tcW w:type="dxa" w:w="6768"/>
            <w:vAlign w:val="center"/>
            <w:shd w:fill="F3F6F8"/>
            <w:tcMar>
              <w:top w:w="95" w:type="dxa"/>
              <w:left w:w="95" w:type="dxa"/>
              <w:bottom w:w="95" w:type="dxa"/>
              <w:right w:w="95" w:type="dxa"/>
            </w:tcMar>
          </w:tcPr>
          <w:p>
            <w:pPr>
              <w:spacing w:after="40" w:before="40" w:line="240" w:lineRule="auto"/>
            </w:pPr>
            <w:r>
              <w:rPr>
                <w:b w:val="0"/>
                <w:color w:val="000000"/>
                <w:sz w:val="18"/>
              </w:rPr>
              <w:t>Same evidence and model, with explicit extraction and applicability-resolution stages</w:t>
            </w:r>
          </w:p>
        </w:tc>
      </w:tr>
      <w:tr>
        <w:trPr>
          <w:cantSplit/>
        </w:trPr>
        <w:tc>
          <w:tcPr>
            <w:tcW w:type="dxa" w:w="2592"/>
            <w:vAlign w:val="center"/>
            <w:shd w:fill="FFFFFF"/>
            <w:tcMar>
              <w:top w:w="95" w:type="dxa"/>
              <w:left w:w="95" w:type="dxa"/>
              <w:bottom w:w="95" w:type="dxa"/>
              <w:right w:w="95" w:type="dxa"/>
            </w:tcMar>
          </w:tcPr>
          <w:p>
            <w:pPr>
              <w:spacing w:after="40" w:before="40" w:line="240" w:lineRule="auto"/>
            </w:pPr>
            <w:r>
              <w:rPr>
                <w:b w:val="0"/>
                <w:color w:val="000000"/>
                <w:sz w:val="18"/>
              </w:rPr>
              <w:t>Text-only ablation</w:t>
            </w:r>
          </w:p>
        </w:tc>
        <w:tc>
          <w:tcPr>
            <w:tcW w:type="dxa" w:w="6768"/>
            <w:vAlign w:val="center"/>
            <w:shd w:fill="FFFFFF"/>
            <w:tcMar>
              <w:top w:w="95" w:type="dxa"/>
              <w:left w:w="95" w:type="dxa"/>
              <w:bottom w:w="95" w:type="dxa"/>
              <w:right w:w="95" w:type="dxa"/>
            </w:tcMar>
          </w:tcPr>
          <w:p>
            <w:pPr>
              <w:spacing w:after="40" w:before="40" w:line="240" w:lineRule="auto"/>
            </w:pPr>
            <w:r>
              <w:rPr>
                <w:b w:val="0"/>
                <w:color w:val="000000"/>
                <w:sz w:val="18"/>
              </w:rPr>
              <w:t>Remove contextual metadata to diagnose information dependence; do not use it as the sole competitor</w:t>
            </w:r>
          </w:p>
        </w:tc>
      </w:tr>
    </w:tbl>
    <w:p>
      <w:pPr>
        <w:spacing w:after="20"/>
      </w:pPr>
    </w:p>
    <w:p>
      <w:pPr>
        <w:widowControl/>
      </w:pPr>
      <w:r>
        <w:t>Hold the model snapshot and evaluation cases fixed. Give the direct method the same evidence as the structured method, including the exact priority rules. Record both the number of calls and the total input/output token budget. If the pipeline uses more inference, report the cost difference; an information or compute advantage is not automatically an algorithmic advantage.</w:t>
      </w:r>
    </w:p>
    <w:p>
      <w:pPr>
        <w:widowControl/>
      </w:pPr>
      <w:r>
        <w:t>For the minimal pilot use B0, the heuristic; B1, the strong direct contextual model; and B2, the structured method. Map Ruleherd's repository flags to case pairs explicitly, or identify the pairwise implementation as an attributed adaptation. Additional methods are optional. No paid model runs are part of this document package.</w:t>
      </w:r>
    </w:p>
    <w:p>
      <w:pPr>
        <w:widowControl/>
      </w:pPr>
      <w:r>
        <w:t>Ablate path resolution and override resolution separately. An optional manually corrected claim record isolates extraction mistakes from later decisions. Keep the decoder, candidate set, and available evidence stable when isolating a component. Model confidence scores require calibration; raw verbal confidence should not be treated as a reliable probability.</w:t>
      </w:r>
    </w:p>
    <w:p>
      <w:pPr>
        <w:widowControl/>
      </w:pPr>
      <w:r>
        <w:t>Repository text is evaluation data. The evaluator should read instructions as quoted material, not obey them as commands. Pin software versions and retain raw outputs. Decide the repetition count before evaluation; deterministic settings do not by themselves guarantee identical provider outputs.</w:t>
      </w:r>
    </w:p>
    <w:p>
      <w:r>
        <w:br w:type="page"/>
      </w:r>
    </w:p>
    <w:p>
      <w:pPr>
        <w:pStyle w:val="Heading1"/>
      </w:pPr>
      <w:r>
        <w:t>Metrics and interpretation</w:t>
      </w:r>
    </w:p>
    <w:p>
      <w:pPr>
        <w:widowControl/>
      </w:pPr>
      <w:r>
        <w:t>Primary binary measures are conflict precision, recall, and F1. Precision is confirmed conflicts divided by all conflict flags; recall is correctly detected conflicts divided by reference conflicts in the evaluated case set. Abstentions on real conflicts count as misses in this primary analysis. An empty denominator is reported as undefined with its support, not silently replaced by a favorable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5904"/>
      </w:tblGrid>
      <w:tr>
        <w:trPr>
          <w:tblHeader/>
          <w:cantSplit/>
        </w:trPr>
        <w:tc>
          <w:tcPr>
            <w:tcW w:type="dxa" w:w="3456"/>
            <w:vAlign w:val="center"/>
            <w:shd w:fill="17344D"/>
            <w:tcMar>
              <w:top w:w="95" w:type="dxa"/>
              <w:left w:w="95" w:type="dxa"/>
              <w:bottom w:w="95" w:type="dxa"/>
              <w:right w:w="95" w:type="dxa"/>
            </w:tcMar>
          </w:tcPr>
          <w:p>
            <w:pPr>
              <w:spacing w:after="40" w:before="40" w:line="240" w:lineRule="auto"/>
            </w:pPr>
            <w:r>
              <w:rPr>
                <w:b/>
                <w:color w:val="FFFFFF"/>
                <w:sz w:val="18"/>
              </w:rPr>
              <w:t>Measure</w:t>
            </w:r>
          </w:p>
        </w:tc>
        <w:tc>
          <w:tcPr>
            <w:tcW w:type="dxa" w:w="5904"/>
            <w:vAlign w:val="center"/>
            <w:shd w:fill="17344D"/>
            <w:tcMar>
              <w:top w:w="95" w:type="dxa"/>
              <w:left w:w="95" w:type="dxa"/>
              <w:bottom w:w="95" w:type="dxa"/>
              <w:right w:w="95" w:type="dxa"/>
            </w:tcMar>
          </w:tcPr>
          <w:p>
            <w:pPr>
              <w:spacing w:after="40" w:before="40" w:line="240" w:lineRule="auto"/>
            </w:pPr>
            <w:r>
              <w:rPr>
                <w:b/>
                <w:color w:val="FFFFFF"/>
                <w:sz w:val="18"/>
              </w:rPr>
              <w:t>What it reveals</w:t>
            </w:r>
          </w:p>
        </w:tc>
      </w:tr>
      <w:tr>
        <w:trPr>
          <w:cantSplit/>
        </w:trPr>
        <w:tc>
          <w:tcPr>
            <w:tcW w:type="dxa" w:w="3456"/>
            <w:vAlign w:val="center"/>
            <w:shd w:fill="FFFFFF"/>
            <w:tcMar>
              <w:top w:w="95" w:type="dxa"/>
              <w:left w:w="95" w:type="dxa"/>
              <w:bottom w:w="95" w:type="dxa"/>
              <w:right w:w="95" w:type="dxa"/>
            </w:tcMar>
          </w:tcPr>
          <w:p>
            <w:pPr>
              <w:spacing w:after="40" w:before="40" w:line="240" w:lineRule="auto"/>
            </w:pPr>
            <w:r>
              <w:rPr>
                <w:b w:val="0"/>
                <w:color w:val="000000"/>
                <w:sz w:val="18"/>
              </w:rPr>
              <w:t>False conflict rate on valid overrides</w:t>
            </w:r>
          </w:p>
        </w:tc>
        <w:tc>
          <w:tcPr>
            <w:tcW w:type="dxa" w:w="5904"/>
            <w:vAlign w:val="center"/>
            <w:shd w:fill="FFFFFF"/>
            <w:tcMar>
              <w:top w:w="95" w:type="dxa"/>
              <w:left w:w="95" w:type="dxa"/>
              <w:bottom w:w="95" w:type="dxa"/>
              <w:right w:w="95" w:type="dxa"/>
            </w:tcMar>
          </w:tcPr>
          <w:p>
            <w:pPr>
              <w:spacing w:after="40" w:before="40" w:line="240" w:lineRule="auto"/>
            </w:pPr>
            <w:r>
              <w:rPr>
                <w:b w:val="0"/>
                <w:color w:val="000000"/>
                <w:sz w:val="18"/>
              </w:rPr>
              <w:t>Fraction of reference overrides incorrectly reported as unresolved conflicts</w:t>
            </w:r>
          </w:p>
        </w:tc>
      </w:tr>
      <w:tr>
        <w:trPr>
          <w:cantSplit/>
        </w:trPr>
        <w:tc>
          <w:tcPr>
            <w:tcW w:type="dxa" w:w="3456"/>
            <w:vAlign w:val="center"/>
            <w:shd w:fill="F3F6F8"/>
            <w:tcMar>
              <w:top w:w="95" w:type="dxa"/>
              <w:left w:w="95" w:type="dxa"/>
              <w:bottom w:w="95" w:type="dxa"/>
              <w:right w:w="95" w:type="dxa"/>
            </w:tcMar>
          </w:tcPr>
          <w:p>
            <w:pPr>
              <w:spacing w:after="40" w:before="40" w:line="240" w:lineRule="auto"/>
            </w:pPr>
            <w:r>
              <w:rPr>
                <w:b w:val="0"/>
                <w:color w:val="000000"/>
                <w:sz w:val="18"/>
              </w:rPr>
              <w:t>False conflict rate on disjoint cases</w:t>
            </w:r>
          </w:p>
        </w:tc>
        <w:tc>
          <w:tcPr>
            <w:tcW w:type="dxa" w:w="5904"/>
            <w:vAlign w:val="center"/>
            <w:shd w:fill="F3F6F8"/>
            <w:tcMar>
              <w:top w:w="95" w:type="dxa"/>
              <w:left w:w="95" w:type="dxa"/>
              <w:bottom w:w="95" w:type="dxa"/>
              <w:right w:w="95" w:type="dxa"/>
            </w:tcMar>
          </w:tcPr>
          <w:p>
            <w:pPr>
              <w:spacing w:after="40" w:before="40" w:line="240" w:lineRule="auto"/>
            </w:pPr>
            <w:r>
              <w:rPr>
                <w:b w:val="0"/>
                <w:color w:val="000000"/>
                <w:sz w:val="18"/>
              </w:rPr>
              <w:t>Fraction of cases outside joint applicability incorrectly flagged</w:t>
            </w:r>
          </w:p>
        </w:tc>
      </w:tr>
      <w:tr>
        <w:trPr>
          <w:cantSplit/>
        </w:trPr>
        <w:tc>
          <w:tcPr>
            <w:tcW w:type="dxa" w:w="3456"/>
            <w:vAlign w:val="center"/>
            <w:shd w:fill="FFFFFF"/>
            <w:tcMar>
              <w:top w:w="95" w:type="dxa"/>
              <w:left w:w="95" w:type="dxa"/>
              <w:bottom w:w="95" w:type="dxa"/>
              <w:right w:w="95" w:type="dxa"/>
            </w:tcMar>
          </w:tcPr>
          <w:p>
            <w:pPr>
              <w:spacing w:after="40" w:before="40" w:line="240" w:lineRule="auto"/>
            </w:pPr>
            <w:r>
              <w:rPr>
                <w:b w:val="0"/>
                <w:color w:val="000000"/>
                <w:sz w:val="18"/>
              </w:rPr>
              <w:t>Five-class performance</w:t>
            </w:r>
          </w:p>
        </w:tc>
        <w:tc>
          <w:tcPr>
            <w:tcW w:type="dxa" w:w="5904"/>
            <w:vAlign w:val="center"/>
            <w:shd w:fill="FFFFFF"/>
            <w:tcMar>
              <w:top w:w="95" w:type="dxa"/>
              <w:left w:w="95" w:type="dxa"/>
              <w:bottom w:w="95" w:type="dxa"/>
              <w:right w:w="95" w:type="dxa"/>
            </w:tcMar>
          </w:tcPr>
          <w:p>
            <w:pPr>
              <w:spacing w:after="40" w:before="40" w:line="240" w:lineRule="auto"/>
            </w:pPr>
            <w:r>
              <w:rPr>
                <w:b w:val="0"/>
                <w:color w:val="000000"/>
                <w:sz w:val="18"/>
              </w:rPr>
              <w:t>Confusions among all labels, with each class support shown</w:t>
            </w:r>
          </w:p>
        </w:tc>
      </w:tr>
      <w:tr>
        <w:trPr>
          <w:cantSplit/>
        </w:trPr>
        <w:tc>
          <w:tcPr>
            <w:tcW w:type="dxa" w:w="3456"/>
            <w:vAlign w:val="center"/>
            <w:shd w:fill="F3F6F8"/>
            <w:tcMar>
              <w:top w:w="95" w:type="dxa"/>
              <w:left w:w="95" w:type="dxa"/>
              <w:bottom w:w="95" w:type="dxa"/>
              <w:right w:w="95" w:type="dxa"/>
            </w:tcMar>
          </w:tcPr>
          <w:p>
            <w:pPr>
              <w:spacing w:after="40" w:before="40" w:line="240" w:lineRule="auto"/>
            </w:pPr>
            <w:r>
              <w:rPr>
                <w:b w:val="0"/>
                <w:color w:val="000000"/>
                <w:sz w:val="18"/>
              </w:rPr>
              <w:t>Both-variants-correct accuracy</w:t>
            </w:r>
          </w:p>
        </w:tc>
        <w:tc>
          <w:tcPr>
            <w:tcW w:type="dxa" w:w="5904"/>
            <w:vAlign w:val="center"/>
            <w:shd w:fill="F3F6F8"/>
            <w:tcMar>
              <w:top w:w="95" w:type="dxa"/>
              <w:left w:w="95" w:type="dxa"/>
              <w:bottom w:w="95" w:type="dxa"/>
              <w:right w:w="95" w:type="dxa"/>
            </w:tcMar>
          </w:tcPr>
          <w:p>
            <w:pPr>
              <w:spacing w:after="40" w:before="40" w:line="240" w:lineRule="auto"/>
            </w:pPr>
            <w:r>
              <w:rPr>
                <w:b w:val="0"/>
                <w:color w:val="000000"/>
                <w:sz w:val="18"/>
              </w:rPr>
              <w:t>Fraction of answer-changing pairs whose two labels are both correct</w:t>
            </w:r>
          </w:p>
        </w:tc>
      </w:tr>
      <w:tr>
        <w:trPr>
          <w:cantSplit/>
        </w:trPr>
        <w:tc>
          <w:tcPr>
            <w:tcW w:type="dxa" w:w="3456"/>
            <w:vAlign w:val="center"/>
            <w:shd w:fill="FFFFFF"/>
            <w:tcMar>
              <w:top w:w="95" w:type="dxa"/>
              <w:left w:w="95" w:type="dxa"/>
              <w:bottom w:w="95" w:type="dxa"/>
              <w:right w:w="95" w:type="dxa"/>
            </w:tcMar>
          </w:tcPr>
          <w:p>
            <w:pPr>
              <w:spacing w:after="40" w:before="40" w:line="240" w:lineRule="auto"/>
            </w:pPr>
            <w:r>
              <w:rPr>
                <w:b w:val="0"/>
                <w:color w:val="000000"/>
                <w:sz w:val="18"/>
              </w:rPr>
              <w:t>Correctness under harmless controls</w:t>
            </w:r>
          </w:p>
        </w:tc>
        <w:tc>
          <w:tcPr>
            <w:tcW w:type="dxa" w:w="5904"/>
            <w:vAlign w:val="center"/>
            <w:shd w:fill="FFFFFF"/>
            <w:tcMar>
              <w:top w:w="95" w:type="dxa"/>
              <w:left w:w="95" w:type="dxa"/>
              <w:bottom w:w="95" w:type="dxa"/>
              <w:right w:w="95" w:type="dxa"/>
            </w:tcMar>
          </w:tcPr>
          <w:p>
            <w:pPr>
              <w:spacing w:after="40" w:before="40" w:line="240" w:lineRule="auto"/>
            </w:pPr>
            <w:r>
              <w:rPr>
                <w:b w:val="0"/>
                <w:color w:val="000000"/>
                <w:sz w:val="18"/>
              </w:rPr>
              <w:t>Correct label before and after an answer-preserving change</w:t>
            </w:r>
          </w:p>
        </w:tc>
      </w:tr>
      <w:tr>
        <w:trPr>
          <w:cantSplit/>
        </w:trPr>
        <w:tc>
          <w:tcPr>
            <w:tcW w:type="dxa" w:w="3456"/>
            <w:vAlign w:val="center"/>
            <w:shd w:fill="F3F6F8"/>
            <w:tcMar>
              <w:top w:w="95" w:type="dxa"/>
              <w:left w:w="95" w:type="dxa"/>
              <w:bottom w:w="95" w:type="dxa"/>
              <w:right w:w="95" w:type="dxa"/>
            </w:tcMar>
          </w:tcPr>
          <w:p>
            <w:pPr>
              <w:spacing w:after="40" w:before="40" w:line="240" w:lineRule="auto"/>
            </w:pPr>
            <w:r>
              <w:rPr>
                <w:b w:val="0"/>
                <w:color w:val="000000"/>
                <w:sz w:val="18"/>
              </w:rPr>
              <w:t>Evidence fidelity</w:t>
            </w:r>
          </w:p>
        </w:tc>
        <w:tc>
          <w:tcPr>
            <w:tcW w:type="dxa" w:w="5904"/>
            <w:vAlign w:val="center"/>
            <w:shd w:fill="F3F6F8"/>
            <w:tcMar>
              <w:top w:w="95" w:type="dxa"/>
              <w:left w:w="95" w:type="dxa"/>
              <w:bottom w:w="95" w:type="dxa"/>
              <w:right w:w="95" w:type="dxa"/>
            </w:tcMar>
          </w:tcPr>
          <w:p>
            <w:pPr>
              <w:spacing w:after="40" w:before="40" w:line="240" w:lineRule="auto"/>
            </w:pPr>
            <w:r>
              <w:rPr>
                <w:b w:val="0"/>
                <w:color w:val="000000"/>
                <w:sz w:val="18"/>
              </w:rPr>
              <w:t>Whether cited spans exist and actually support the justification</w:t>
            </w:r>
          </w:p>
        </w:tc>
      </w:tr>
      <w:tr>
        <w:trPr>
          <w:cantSplit/>
        </w:trPr>
        <w:tc>
          <w:tcPr>
            <w:tcW w:type="dxa" w:w="3456"/>
            <w:vAlign w:val="center"/>
            <w:shd w:fill="FFFFFF"/>
            <w:tcMar>
              <w:top w:w="95" w:type="dxa"/>
              <w:left w:w="95" w:type="dxa"/>
              <w:bottom w:w="95" w:type="dxa"/>
              <w:right w:w="95" w:type="dxa"/>
            </w:tcMar>
          </w:tcPr>
          <w:p>
            <w:pPr>
              <w:spacing w:after="40" w:before="40" w:line="240" w:lineRule="auto"/>
            </w:pPr>
            <w:r>
              <w:rPr>
                <w:b w:val="0"/>
                <w:color w:val="000000"/>
                <w:sz w:val="18"/>
              </w:rPr>
              <w:t>Coverage and cost</w:t>
            </w:r>
          </w:p>
        </w:tc>
        <w:tc>
          <w:tcPr>
            <w:tcW w:type="dxa" w:w="5904"/>
            <w:vAlign w:val="center"/>
            <w:shd w:fill="FFFFFF"/>
            <w:tcMar>
              <w:top w:w="95" w:type="dxa"/>
              <w:left w:w="95" w:type="dxa"/>
              <w:bottom w:w="95" w:type="dxa"/>
              <w:right w:w="95" w:type="dxa"/>
            </w:tcMar>
          </w:tcPr>
          <w:p>
            <w:pPr>
              <w:spacing w:after="40" w:before="40" w:line="240" w:lineRule="auto"/>
            </w:pPr>
            <w:r>
              <w:rPr>
                <w:b w:val="0"/>
                <w:color w:val="000000"/>
                <w:sz w:val="18"/>
              </w:rPr>
              <w:t>How often the system answers, and the calls, tokens, and latency used</w:t>
            </w:r>
          </w:p>
        </w:tc>
      </w:tr>
    </w:tbl>
    <w:p>
      <w:pPr>
        <w:spacing w:after="20"/>
      </w:pPr>
    </w:p>
    <w:p>
      <w:pPr>
        <w:widowControl/>
      </w:pPr>
      <w:r>
        <w:t>A gold insufficient-evidence case is different from voluntary system abstention on a well-specified case. Keep those fields distinct. Report primary classification over all held-out cases, then add a separate risk-versus-coverage view if systems can abstain.</w:t>
      </w:r>
    </w:p>
    <w:p>
      <w:pPr>
        <w:widowControl/>
      </w:pPr>
      <w:r>
        <w:t>Report original and controlled cases separately. Measure paired correctness at the source-family level and resample repository clusters for uncertainty. A family-level interval is conditional on these sampled repositories. Give raw counts, paired differences, and per-repository summaries; eight repositories cannot support sweeping significance claims.</w:t>
      </w:r>
    </w:p>
    <w:p>
      <w:pPr>
        <w:widowControl/>
      </w:pPr>
      <w:r>
        <w:t>Do not claim repository-wide recall from a retrieved candidate list. Only an exhaustive reviewed instruction tree supports a recall denominator for that tree. Similarly, a low false-positive rate is not sufficient if recall collapses. If models produce comparable calibrated scores, matched-recall comparisons may be added using calibration-only thresholds; otherwise report fixed-decision recall and false alarms together.</w:t>
      </w:r>
    </w:p>
    <w:p>
      <w:pPr>
        <w:widowControl/>
      </w:pPr>
      <w:r>
        <w:t>Prepare empty result tables during implementation, but do not publish invented values. A zero gain, worse performance, or low annotator agreement can still yield useful research if the evidence and limitations are clear.</w:t>
      </w:r>
    </w:p>
    <w:p>
      <w:r>
        <w:br w:type="page"/>
      </w:r>
    </w:p>
    <w:p>
      <w:pPr>
        <w:pStyle w:val="Heading1"/>
      </w:pPr>
      <w:r>
        <w:t>Work plan and completion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08"/>
        <w:gridCol w:w="3312"/>
      </w:tblGrid>
      <w:tr>
        <w:trPr>
          <w:tblHeader/>
          <w:cantSplit/>
        </w:trPr>
        <w:tc>
          <w:tcPr>
            <w:tcW w:type="dxa" w:w="1440"/>
            <w:vAlign w:val="center"/>
            <w:shd w:fill="17344D"/>
            <w:tcMar>
              <w:top w:w="95" w:type="dxa"/>
              <w:left w:w="95" w:type="dxa"/>
              <w:bottom w:w="95" w:type="dxa"/>
              <w:right w:w="95" w:type="dxa"/>
            </w:tcMar>
          </w:tcPr>
          <w:p>
            <w:pPr>
              <w:spacing w:after="40" w:before="40" w:line="240" w:lineRule="auto"/>
            </w:pPr>
            <w:r>
              <w:rPr>
                <w:b/>
                <w:color w:val="FFFFFF"/>
                <w:sz w:val="18"/>
              </w:rPr>
              <w:t>UAE date</w:t>
            </w:r>
          </w:p>
        </w:tc>
        <w:tc>
          <w:tcPr>
            <w:tcW w:type="dxa" w:w="4608"/>
            <w:vAlign w:val="center"/>
            <w:shd w:fill="17344D"/>
            <w:tcMar>
              <w:top w:w="95" w:type="dxa"/>
              <w:left w:w="95" w:type="dxa"/>
              <w:bottom w:w="95" w:type="dxa"/>
              <w:right w:w="95" w:type="dxa"/>
            </w:tcMar>
          </w:tcPr>
          <w:p>
            <w:pPr>
              <w:spacing w:after="40" w:before="40" w:line="240" w:lineRule="auto"/>
            </w:pPr>
            <w:r>
              <w:rPr>
                <w:b/>
                <w:color w:val="FFFFFF"/>
                <w:sz w:val="18"/>
              </w:rPr>
              <w:t>Work</w:t>
            </w:r>
          </w:p>
        </w:tc>
        <w:tc>
          <w:tcPr>
            <w:tcW w:type="dxa" w:w="3312"/>
            <w:vAlign w:val="center"/>
            <w:shd w:fill="17344D"/>
            <w:tcMar>
              <w:top w:w="95" w:type="dxa"/>
              <w:left w:w="95" w:type="dxa"/>
              <w:bottom w:w="95" w:type="dxa"/>
              <w:right w:w="95" w:type="dxa"/>
            </w:tcMar>
          </w:tcPr>
          <w:p>
            <w:pPr>
              <w:spacing w:after="40" w:before="40" w:line="240" w:lineRule="auto"/>
            </w:pPr>
            <w:r>
              <w:rPr>
                <w:b/>
                <w:color w:val="FFFFFF"/>
                <w:sz w:val="18"/>
              </w:rPr>
              <w:t>Concrete output</w:t>
            </w:r>
          </w:p>
        </w:tc>
      </w:tr>
      <w:tr>
        <w:trPr>
          <w:cantSplit/>
        </w:trPr>
        <w:tc>
          <w:tcPr>
            <w:tcW w:type="dxa" w:w="1440"/>
            <w:vAlign w:val="center"/>
            <w:shd w:fill="FFFFFF"/>
            <w:tcMar>
              <w:top w:w="95" w:type="dxa"/>
              <w:left w:w="95" w:type="dxa"/>
              <w:bottom w:w="95" w:type="dxa"/>
              <w:right w:w="95" w:type="dxa"/>
            </w:tcMar>
          </w:tcPr>
          <w:p>
            <w:pPr>
              <w:spacing w:after="40" w:before="40" w:line="240" w:lineRule="auto"/>
            </w:pPr>
            <w:r>
              <w:rPr>
                <w:b w:val="0"/>
                <w:color w:val="000000"/>
                <w:sz w:val="18"/>
              </w:rPr>
              <w:t>18 October</w:t>
            </w:r>
          </w:p>
        </w:tc>
        <w:tc>
          <w:tcPr>
            <w:tcW w:type="dxa" w:w="4608"/>
            <w:vAlign w:val="center"/>
            <w:shd w:fill="FFFFFF"/>
            <w:tcMar>
              <w:top w:w="95" w:type="dxa"/>
              <w:left w:w="95" w:type="dxa"/>
              <w:bottom w:w="95" w:type="dxa"/>
              <w:right w:w="95" w:type="dxa"/>
            </w:tcMar>
          </w:tcPr>
          <w:p>
            <w:pPr>
              <w:spacing w:after="40" w:before="40" w:line="240" w:lineRule="auto"/>
            </w:pPr>
            <w:r>
              <w:rPr>
                <w:b w:val="0"/>
                <w:color w:val="000000"/>
                <w:sz w:val="18"/>
              </w:rPr>
              <w:t>Agree scope and authors; check category and format; register abstract early</w:t>
            </w:r>
          </w:p>
        </w:tc>
        <w:tc>
          <w:tcPr>
            <w:tcW w:type="dxa" w:w="3312"/>
            <w:vAlign w:val="center"/>
            <w:shd w:fill="FFFFFF"/>
            <w:tcMar>
              <w:top w:w="95" w:type="dxa"/>
              <w:left w:w="95" w:type="dxa"/>
              <w:bottom w:w="95" w:type="dxa"/>
              <w:right w:w="95" w:type="dxa"/>
            </w:tcMar>
          </w:tcPr>
          <w:p>
            <w:pPr>
              <w:spacing w:after="40" w:before="40" w:line="240" w:lineRule="auto"/>
            </w:pPr>
            <w:r>
              <w:rPr>
                <w:b w:val="0"/>
                <w:color w:val="000000"/>
                <w:sz w:val="18"/>
              </w:rPr>
              <w:t>Verified category and abstract submission record</w:t>
            </w:r>
          </w:p>
        </w:tc>
      </w:tr>
      <w:tr>
        <w:trPr>
          <w:cantSplit/>
        </w:trPr>
        <w:tc>
          <w:tcPr>
            <w:tcW w:type="dxa" w:w="1440"/>
            <w:vAlign w:val="center"/>
            <w:shd w:fill="F3F6F8"/>
            <w:tcMar>
              <w:top w:w="95" w:type="dxa"/>
              <w:left w:w="95" w:type="dxa"/>
              <w:bottom w:w="95" w:type="dxa"/>
              <w:right w:w="95" w:type="dxa"/>
            </w:tcMar>
          </w:tcPr>
          <w:p>
            <w:pPr>
              <w:spacing w:after="40" w:before="40" w:line="240" w:lineRule="auto"/>
            </w:pPr>
            <w:r>
              <w:rPr>
                <w:b w:val="0"/>
                <w:color w:val="000000"/>
                <w:sz w:val="18"/>
              </w:rPr>
              <w:t>19 October</w:t>
            </w:r>
          </w:p>
        </w:tc>
        <w:tc>
          <w:tcPr>
            <w:tcW w:type="dxa" w:w="4608"/>
            <w:vAlign w:val="center"/>
            <w:shd w:fill="F3F6F8"/>
            <w:tcMar>
              <w:top w:w="95" w:type="dxa"/>
              <w:left w:w="95" w:type="dxa"/>
              <w:bottom w:w="95" w:type="dxa"/>
              <w:right w:w="95" w:type="dxa"/>
            </w:tcMar>
          </w:tcPr>
          <w:p>
            <w:pPr>
              <w:spacing w:after="40" w:before="40" w:line="240" w:lineRule="auto"/>
            </w:pPr>
            <w:r>
              <w:rPr>
                <w:b w:val="0"/>
                <w:color w:val="000000"/>
                <w:sz w:val="18"/>
              </w:rPr>
              <w:t>Resolve remaining venue rules; collect calibration files; define profile</w:t>
            </w:r>
          </w:p>
        </w:tc>
        <w:tc>
          <w:tcPr>
            <w:tcW w:type="dxa" w:w="3312"/>
            <w:vAlign w:val="center"/>
            <w:shd w:fill="F3F6F8"/>
            <w:tcMar>
              <w:top w:w="95" w:type="dxa"/>
              <w:left w:w="95" w:type="dxa"/>
              <w:bottom w:w="95" w:type="dxa"/>
              <w:right w:w="95" w:type="dxa"/>
            </w:tcMar>
          </w:tcPr>
          <w:p>
            <w:pPr>
              <w:spacing w:after="40" w:before="40" w:line="240" w:lineRule="auto"/>
            </w:pPr>
            <w:r>
              <w:rPr>
                <w:b w:val="0"/>
                <w:color w:val="000000"/>
                <w:sz w:val="18"/>
              </w:rPr>
              <w:t>Pinned evidence and frozen annotation guidance</w:t>
            </w:r>
          </w:p>
        </w:tc>
      </w:tr>
      <w:tr>
        <w:trPr>
          <w:cantSplit/>
        </w:trPr>
        <w:tc>
          <w:tcPr>
            <w:tcW w:type="dxa" w:w="1440"/>
            <w:vAlign w:val="center"/>
            <w:shd w:fill="FFFFFF"/>
            <w:tcMar>
              <w:top w:w="95" w:type="dxa"/>
              <w:left w:w="95" w:type="dxa"/>
              <w:bottom w:w="95" w:type="dxa"/>
              <w:right w:w="95" w:type="dxa"/>
            </w:tcMar>
          </w:tcPr>
          <w:p>
            <w:pPr>
              <w:spacing w:after="40" w:before="40" w:line="240" w:lineRule="auto"/>
            </w:pPr>
            <w:r>
              <w:rPr>
                <w:b w:val="0"/>
                <w:color w:val="000000"/>
                <w:sz w:val="18"/>
              </w:rPr>
              <w:t>20 October</w:t>
            </w:r>
          </w:p>
        </w:tc>
        <w:tc>
          <w:tcPr>
            <w:tcW w:type="dxa" w:w="4608"/>
            <w:vAlign w:val="center"/>
            <w:shd w:fill="FFFFFF"/>
            <w:tcMar>
              <w:top w:w="95" w:type="dxa"/>
              <w:left w:w="95" w:type="dxa"/>
              <w:bottom w:w="95" w:type="dxa"/>
              <w:right w:w="95" w:type="dxa"/>
            </w:tcMar>
          </w:tcPr>
          <w:p>
            <w:pPr>
              <w:spacing w:after="40" w:before="40" w:line="240" w:lineRule="auto"/>
            </w:pPr>
            <w:r>
              <w:rPr>
                <w:b w:val="0"/>
                <w:color w:val="000000"/>
                <w:sz w:val="18"/>
              </w:rPr>
              <w:t>Build the minimal pipeline; select held-out families</w:t>
            </w:r>
          </w:p>
        </w:tc>
        <w:tc>
          <w:tcPr>
            <w:tcW w:type="dxa" w:w="3312"/>
            <w:vAlign w:val="center"/>
            <w:shd w:fill="FFFFFF"/>
            <w:tcMar>
              <w:top w:w="95" w:type="dxa"/>
              <w:left w:w="95" w:type="dxa"/>
              <w:bottom w:w="95" w:type="dxa"/>
              <w:right w:w="95" w:type="dxa"/>
            </w:tcMar>
          </w:tcPr>
          <w:p>
            <w:pPr>
              <w:spacing w:after="40" w:before="40" w:line="240" w:lineRule="auto"/>
            </w:pPr>
            <w:r>
              <w:rPr>
                <w:b w:val="0"/>
                <w:color w:val="000000"/>
                <w:sz w:val="18"/>
              </w:rPr>
              <w:t>Runnable comparison and a locked case manifest</w:t>
            </w:r>
          </w:p>
        </w:tc>
      </w:tr>
      <w:tr>
        <w:trPr>
          <w:cantSplit/>
        </w:trPr>
        <w:tc>
          <w:tcPr>
            <w:tcW w:type="dxa" w:w="1440"/>
            <w:vAlign w:val="center"/>
            <w:shd w:fill="F3F6F8"/>
            <w:tcMar>
              <w:top w:w="95" w:type="dxa"/>
              <w:left w:w="95" w:type="dxa"/>
              <w:bottom w:w="95" w:type="dxa"/>
              <w:right w:w="95" w:type="dxa"/>
            </w:tcMar>
          </w:tcPr>
          <w:p>
            <w:pPr>
              <w:spacing w:after="40" w:before="40" w:line="240" w:lineRule="auto"/>
            </w:pPr>
            <w:r>
              <w:rPr>
                <w:b w:val="0"/>
                <w:color w:val="000000"/>
                <w:sz w:val="18"/>
              </w:rPr>
              <w:t>21 October</w:t>
            </w:r>
          </w:p>
        </w:tc>
        <w:tc>
          <w:tcPr>
            <w:tcW w:type="dxa" w:w="4608"/>
            <w:vAlign w:val="center"/>
            <w:shd w:fill="F3F6F8"/>
            <w:tcMar>
              <w:top w:w="95" w:type="dxa"/>
              <w:left w:w="95" w:type="dxa"/>
              <w:bottom w:w="95" w:type="dxa"/>
              <w:right w:w="95" w:type="dxa"/>
            </w:tcMar>
          </w:tcPr>
          <w:p>
            <w:pPr>
              <w:spacing w:after="40" w:before="40" w:line="240" w:lineRule="auto"/>
            </w:pPr>
            <w:r>
              <w:rPr>
                <w:b w:val="0"/>
                <w:color w:val="000000"/>
                <w:sz w:val="18"/>
              </w:rPr>
              <w:t>Complete independent labels and adjudication</w:t>
            </w:r>
          </w:p>
        </w:tc>
        <w:tc>
          <w:tcPr>
            <w:tcW w:type="dxa" w:w="3312"/>
            <w:vAlign w:val="center"/>
            <w:shd w:fill="F3F6F8"/>
            <w:tcMar>
              <w:top w:w="95" w:type="dxa"/>
              <w:left w:w="95" w:type="dxa"/>
              <w:bottom w:w="95" w:type="dxa"/>
              <w:right w:w="95" w:type="dxa"/>
            </w:tcMar>
          </w:tcPr>
          <w:p>
            <w:pPr>
              <w:spacing w:after="40" w:before="40" w:line="240" w:lineRule="auto"/>
            </w:pPr>
            <w:r>
              <w:rPr>
                <w:b w:val="0"/>
                <w:color w:val="000000"/>
                <w:sz w:val="18"/>
              </w:rPr>
              <w:t>Reference labels with initial judgments retained</w:t>
            </w:r>
          </w:p>
        </w:tc>
      </w:tr>
      <w:tr>
        <w:trPr>
          <w:cantSplit/>
        </w:trPr>
        <w:tc>
          <w:tcPr>
            <w:tcW w:type="dxa" w:w="1440"/>
            <w:vAlign w:val="center"/>
            <w:shd w:fill="FFFFFF"/>
            <w:tcMar>
              <w:top w:w="95" w:type="dxa"/>
              <w:left w:w="95" w:type="dxa"/>
              <w:bottom w:w="95" w:type="dxa"/>
              <w:right w:w="95" w:type="dxa"/>
            </w:tcMar>
          </w:tcPr>
          <w:p>
            <w:pPr>
              <w:spacing w:after="40" w:before="40" w:line="240" w:lineRule="auto"/>
            </w:pPr>
            <w:r>
              <w:rPr>
                <w:b w:val="0"/>
                <w:color w:val="000000"/>
                <w:sz w:val="18"/>
              </w:rPr>
              <w:t>22 October</w:t>
            </w:r>
          </w:p>
        </w:tc>
        <w:tc>
          <w:tcPr>
            <w:tcW w:type="dxa" w:w="4608"/>
            <w:vAlign w:val="center"/>
            <w:shd w:fill="FFFFFF"/>
            <w:tcMar>
              <w:top w:w="95" w:type="dxa"/>
              <w:left w:w="95" w:type="dxa"/>
              <w:bottom w:w="95" w:type="dxa"/>
              <w:right w:w="95" w:type="dxa"/>
            </w:tcMar>
          </w:tcPr>
          <w:p>
            <w:pPr>
              <w:spacing w:after="40" w:before="40" w:line="240" w:lineRule="auto"/>
            </w:pPr>
            <w:r>
              <w:rPr>
                <w:b w:val="0"/>
                <w:color w:val="000000"/>
                <w:sz w:val="18"/>
              </w:rPr>
              <w:t>Run locked methods; analyze failures and uncertainty</w:t>
            </w:r>
          </w:p>
        </w:tc>
        <w:tc>
          <w:tcPr>
            <w:tcW w:type="dxa" w:w="3312"/>
            <w:vAlign w:val="center"/>
            <w:shd w:fill="FFFFFF"/>
            <w:tcMar>
              <w:top w:w="95" w:type="dxa"/>
              <w:left w:w="95" w:type="dxa"/>
              <w:bottom w:w="95" w:type="dxa"/>
              <w:right w:w="95" w:type="dxa"/>
            </w:tcMar>
          </w:tcPr>
          <w:p>
            <w:pPr>
              <w:spacing w:after="40" w:before="40" w:line="240" w:lineRule="auto"/>
            </w:pPr>
            <w:r>
              <w:rPr>
                <w:b w:val="0"/>
                <w:color w:val="000000"/>
                <w:sz w:val="18"/>
              </w:rPr>
              <w:t>Raw outputs, computed tables, and error cases</w:t>
            </w:r>
          </w:p>
        </w:tc>
      </w:tr>
      <w:tr>
        <w:trPr>
          <w:cantSplit/>
        </w:trPr>
        <w:tc>
          <w:tcPr>
            <w:tcW w:type="dxa" w:w="1440"/>
            <w:vAlign w:val="center"/>
            <w:shd w:fill="F3F6F8"/>
            <w:tcMar>
              <w:top w:w="95" w:type="dxa"/>
              <w:left w:w="95" w:type="dxa"/>
              <w:bottom w:w="95" w:type="dxa"/>
              <w:right w:w="95" w:type="dxa"/>
            </w:tcMar>
          </w:tcPr>
          <w:p>
            <w:pPr>
              <w:spacing w:after="40" w:before="40" w:line="240" w:lineRule="auto"/>
            </w:pPr>
            <w:r>
              <w:rPr>
                <w:b w:val="0"/>
                <w:color w:val="000000"/>
                <w:sz w:val="18"/>
              </w:rPr>
              <w:t>23 October</w:t>
            </w:r>
          </w:p>
        </w:tc>
        <w:tc>
          <w:tcPr>
            <w:tcW w:type="dxa" w:w="4608"/>
            <w:vAlign w:val="center"/>
            <w:shd w:fill="F3F6F8"/>
            <w:tcMar>
              <w:top w:w="95" w:type="dxa"/>
              <w:left w:w="95" w:type="dxa"/>
              <w:bottom w:w="95" w:type="dxa"/>
              <w:right w:w="95" w:type="dxa"/>
            </w:tcMar>
          </w:tcPr>
          <w:p>
            <w:pPr>
              <w:spacing w:after="40" w:before="40" w:line="240" w:lineRule="auto"/>
            </w:pPr>
            <w:r>
              <w:rPr>
                <w:b w:val="0"/>
                <w:color w:val="000000"/>
                <w:sz w:val="18"/>
              </w:rPr>
              <w:t>Revise the paper; check exact TEXTUAL rules; upload early</w:t>
            </w:r>
          </w:p>
        </w:tc>
        <w:tc>
          <w:tcPr>
            <w:tcW w:type="dxa" w:w="3312"/>
            <w:vAlign w:val="center"/>
            <w:shd w:fill="F3F6F8"/>
            <w:tcMar>
              <w:top w:w="95" w:type="dxa"/>
              <w:left w:w="95" w:type="dxa"/>
              <w:bottom w:w="95" w:type="dxa"/>
              <w:right w:w="95" w:type="dxa"/>
            </w:tcMar>
          </w:tcPr>
          <w:p>
            <w:pPr>
              <w:spacing w:after="40" w:before="40" w:line="240" w:lineRule="auto"/>
            </w:pPr>
            <w:r>
              <w:rPr>
                <w:b w:val="0"/>
                <w:color w:val="000000"/>
                <w:sz w:val="18"/>
              </w:rPr>
              <w:t>Verified final PDF and submission receipt</w:t>
            </w:r>
          </w:p>
        </w:tc>
      </w:tr>
    </w:tbl>
    <w:p>
      <w:pPr>
        <w:spacing w:after="20"/>
      </w:pPr>
    </w:p>
    <w:p>
      <w:pPr>
        <w:widowControl/>
      </w:pPr>
      <w:r>
        <w:t>Suggested division of work: Awaiz coordinates the research question, manuscript, and prototype integration; Mohammad Umar owns extraction, reproducibility, and evaluation scripts; Huda Mueen owns the annotation handbook and literature checks. Awaiz and Huda can label independently, with Umar adjudicating. These are proposed responsibilities, not a record of completed authorship contributions.</w:t>
      </w:r>
    </w:p>
    <w:p>
      <w:pPr>
        <w:widowControl/>
      </w:pPr>
      <w:r>
        <w:t>The first decision gate is semantic reliability. If independent annotation remains inconsistent, reduce or clarify the scope before claiming a benchmark. The second gate is a fair baseline: both primary methods must receive the same evidence. The third gate is provenance: every empirical statement in the paper must trace to a saved case or run.</w:t>
      </w:r>
    </w:p>
    <w:p>
      <w:pPr>
        <w:widowControl/>
      </w:pPr>
      <w:r>
        <w:t>If the pilot cannot be completed, retain proposal language and submit only if TEXTUAL explicitly accepts a position, idea, or research-plan category. If it requires completed empirical work, the current proposal is not enough. Confirming the category is an actionable next step, not a reason to manufacture results.</w:t>
      </w:r>
    </w:p>
    <w:p>
      <w:pPr>
        <w:widowControl/>
      </w:pPr>
      <w:r>
        <w:t>Completion means a verified call and length limit, a frozen profile, a transparent case inventory, independent annotations, a direct contextual baseline, saved outputs, reproducible metrics, a paper matching the actual evidence, and agreement from all named authors. Automated PDF formatting checks cannot replace these research checks.</w:t>
      </w:r>
    </w:p>
    <w:p>
      <w:r>
        <w:br w:type="page"/>
      </w:r>
    </w:p>
    <w:p>
      <w:pPr>
        <w:pStyle w:val="Heading1"/>
      </w:pPr>
      <w:r>
        <w:t>Submission text and author preparation</w:t>
      </w:r>
    </w:p>
    <w:p>
      <w:pPr>
        <w:widowControl/>
      </w:pPr>
      <w:r>
        <w:t>Paper title: CIPHER: Contextual Instruction Precedence and Hierarchy Evaluation for Repositories</w:t>
      </w:r>
    </w:p>
    <w:p>
      <w:pPr>
        <w:widowControl/>
      </w:pPr>
      <w:r>
        <w:t>Keywords: AI coding agents; AGENTS.md; instruction conflicts; repository mining; natural language software artifacts; scope and precedence</w:t>
      </w:r>
    </w:p>
    <w:p>
      <w:pPr>
        <w:widowControl/>
      </w:pPr>
      <w:r>
        <w:t>Abstract follows. Its length is a working choice because no TEXTUAL-specific abstract limit was verified.</w:t>
      </w:r>
    </w:p>
    <w:p>
      <w:pPr>
        <w:widowControl/>
      </w:pPr>
      <w:r>
        <w:t>Repository instruction files guide AI coding agents through project conventions, but apparent disagreement does not always indicate a defect. Two requirements may concern different directories, apply under different conditions, or be resolved by a documented local override. We propose CIPHER, Contextual Instruction Precedence and Hierarchy Evaluation for Repositories, a diagnostic framework for evaluating this distinction. CIPHER treats a case as two source-grounded instruction spans together with their document context, repository revision, target task, file paths, and an explicit instruction-loading profile. Its annotation scheme separates unresolved conflicts, valid overrides, disjoint applicability, compatible requirements, and insufficient evidence. The initial scope is root and nested AGENTS.md files under a frozen directory-precedence profile. We describe a study that combines naturally occurring instruction pairs with controlled variants that preserve rule wording while changing applicability or precedence, alongside transformations that should preserve the answer. Two independent annotators and an adjudicator will establish reference labels. A structured applicability-and-resolution pipeline will be compared with heuristic and direct language-model baselines, including a strong baseline receiving the same contextual evidence. Proposed measures include conflict precision and recall, false alarms on valid overrides, correctness across paired variants, and evidence fidelity. This paper contributes the task definition, annotation scheme, and evaluation protocol; it does not report a completed dataset or experimental results.</w:t>
      </w:r>
    </w:p>
    <w:p>
      <w:pPr>
        <w:widowControl/>
      </w:pPr>
      <w:r>
        <w:t>The author-bearing master contains the supplied author order. Use the anonymous PDF only if the current workshop rules require anonymity. The manuscript is a proposal and must be checked against the accepted paper category and page limit before upload. The included IEEE conference source uses the standard class; the Word version is a separate editable manuscript, not a claim of exact layout equivalence.</w:t>
      </w:r>
    </w:p>
    <w:p>
      <w:pPr>
        <w:widowControl/>
      </w:pPr>
      <w:r>
        <w:t>IEEE requires disclosure of substantive AI-generated article content [15]. The manuscript includes the following assistance statement; update it truthfully if the work changes.</w:t>
      </w:r>
    </w:p>
    <w:p>
      <w:pPr>
        <w:widowControl/>
      </w:pPr>
      <w:r>
        <w:t>OpenAI ChatGPT assisted with concept exploration, literature synthesis, drafting the abstract and all main sections, and document preparation. No experimental measurements are reported. The named authors are responsible for reviewing the manuscript and for conducting and verifying any subsequent research.</w:t>
      </w:r>
    </w:p>
    <w:p>
      <w:pPr>
        <w:widowControl/>
      </w:pPr>
      <w:r>
        <w:t>The package has not registered an abstract, contacted an organizer, paid a fee, uploaded a paper, or claimed acceptance. The next external action is abstract registration through the verified portal, followed by checking the workshop-specific category and formatting requirements.</w:t>
      </w:r>
    </w:p>
    <w:p>
      <w:r>
        <w:br w:type="page"/>
      </w:r>
    </w:p>
    <w:p>
      <w:pPr>
        <w:pStyle w:val="Heading1"/>
      </w:pPr>
      <w:r>
        <w:t>Source review and reading order</w:t>
      </w:r>
    </w:p>
    <w:p>
      <w:pPr>
        <w:widowControl/>
      </w:pPr>
      <w:r>
        <w:t>The review checked primary papers, author-hosted artifacts, official conference pages, and relevant software documentation available on 18 October 2026. It used targeted searches for TEXTUAL submission requirements; AGENTS.md conflicting instructions; scope and precedence; context rot; agent-context datasets; and matched or counterfactual instruction evaluation. References were followed to close comparators. This is a targeted research review, not a preregistered systematic literature review.</w:t>
      </w:r>
    </w:p>
    <w:p>
      <w:pPr>
        <w:widowControl/>
      </w:pPr>
      <w:r>
        <w:t>Read Configuration Smells [3] first to understand the existing detector and false-positive problem. Read WIRE [4] next to avoid claiming applicability or grounded rules as new. Compare ContextCov [5] and OctoBench [6] to separate extraction, enforcement, agent behavior, and conflict classification. Inspect Guidefold [7] before making any novelty claim about scope replay.</w:t>
      </w:r>
    </w:p>
    <w:p>
      <w:pPr>
        <w:widowControl/>
      </w:pPr>
      <w:r>
        <w:t>For data, begin with Galster et al. [9] and the author-hosted dataset page at https://se-uhd.de/ai-config-dataset/. Agent READMEs [2] offers another corpus and descriptive context. Verify release contents and source licenses before copying or redistributing repository material; dataset licensing does not automatically replace an underlying repository's license.</w:t>
      </w:r>
    </w:p>
    <w:p>
      <w:pPr>
        <w:widowControl/>
      </w:pPr>
      <w:r>
        <w:t>Use Evaluating AGENTS.md [10] to keep claims about downstream effectiveness cautious. Use Context Rot [11] if the study later expands to history. Their reported effects are not CIPHER results and do not establish that contradictions are the cause.</w:t>
      </w:r>
    </w:p>
    <w:p>
      <w:pPr>
        <w:widowControl/>
      </w:pPr>
      <w:r>
        <w:t>Version care matters. The verified WIRE v2 title differs from its first version. ContextCov v2 uses the title listed in the bibliography, even though some abstract listings retain the earlier title. The current Evaluating AGENTS.md abstract is more qualified than some older summaries. Cite the version actually read.</w:t>
      </w:r>
    </w:p>
    <w:p>
      <w:pPr>
        <w:widowControl/>
      </w:pPr>
      <w:r>
        <w:t>The official TEXTUAL-specific website could not be retrieved reliably. A search-discovered alternative repository included a call labeled HCARE 2026, so its length limits and categories were excluded. Official SANER deadlines and the correct TEXTUAL portal are verified independently [12].</w:t>
      </w:r>
    </w:p>
    <w:p>
      <w:pPr>
        <w:widowControl/>
      </w:pPr>
      <w:r>
        <w:t>All bibliography entries below are direct reading links. Papers and project notes retain their own publication status: an arXiv preprint or software README is not automatically a peer-reviewed result. No acceptance probability or unverified indexing claim is included.</w:t>
      </w:r>
    </w:p>
    <w:p>
      <w:r>
        <w:br w:type="page"/>
      </w:r>
    </w:p>
    <w:p>
      <w:pPr>
        <w:pStyle w:val="Heading1"/>
      </w:pPr>
      <w:r>
        <w:t>References</w:t>
      </w:r>
    </w:p>
    <w:p>
      <w:pPr>
        <w:keepLines/>
        <w:spacing w:after="140"/>
      </w:pPr>
      <w:r>
        <w:rPr>
          <w:sz w:val="18"/>
        </w:rPr>
        <w:t xml:space="preserve">[1] AGENTS.md. AGENTS.md format and nested instruction guidance. Online specification, accessed 18 October 2026. </w:t>
      </w:r>
      <w:r>
        <w:br/>
      </w:r>
      <w:hyperlink r:id="rId10">
        <w:r>
          <w:rPr>
            <w:color w:val="174E76"/>
            <w:sz w:val="18"/>
          </w:rPr>
          <w:t>https://agents.md/</w:t>
        </w:r>
      </w:hyperlink>
    </w:p>
    <w:p>
      <w:pPr>
        <w:keepLines/>
        <w:spacing w:after="140"/>
      </w:pPr>
      <w:r>
        <w:rPr>
          <w:sz w:val="18"/>
        </w:rPr>
        <w:t xml:space="preserve">[2] W. Chatlatanagulchai et al. Agent READMEs: An Empirical Study of Context Files for Agentic Coding. arXiv:2511.12884v2, 2025, revised 2026. </w:t>
      </w:r>
      <w:r>
        <w:br/>
      </w:r>
      <w:hyperlink r:id="rId11">
        <w:r>
          <w:rPr>
            <w:color w:val="174E76"/>
            <w:sz w:val="18"/>
          </w:rPr>
          <w:t>https://arxiv.org/abs/2511.12884v2</w:t>
        </w:r>
      </w:hyperlink>
    </w:p>
    <w:p>
      <w:pPr>
        <w:keepLines/>
        <w:spacing w:after="140"/>
      </w:pPr>
      <w:r>
        <w:rPr>
          <w:sz w:val="18"/>
        </w:rPr>
        <w:t xml:space="preserve">[3] H. V. F. dos Santos, V. Costa, J. E. Montandon, L. L. Silva, and M. T. Valente. Configuration Smells in AGENTS.md Files: Common Mistakes in Configuring Coding Agents. SCAM 2026; arXiv:2606.15828v5. </w:t>
      </w:r>
      <w:r>
        <w:br/>
      </w:r>
      <w:hyperlink r:id="rId12">
        <w:r>
          <w:rPr>
            <w:color w:val="174E76"/>
            <w:sz w:val="18"/>
          </w:rPr>
          <w:t>https://arxiv.org/abs/2606.15828v5</w:t>
        </w:r>
      </w:hyperlink>
    </w:p>
    <w:p>
      <w:pPr>
        <w:keepLines/>
        <w:spacing w:after="140"/>
      </w:pPr>
      <w:r>
        <w:rPr>
          <w:sz w:val="18"/>
        </w:rPr>
        <w:t xml:space="preserve">[4] L. Yan, X. Chen, and X. Zhang. WIRE: Profiling Witnessed Within-Policy Instruction Collisions in LLM Agents. arXiv:2605.27784v2, 2026. </w:t>
      </w:r>
      <w:r>
        <w:br/>
      </w:r>
      <w:hyperlink r:id="rId13">
        <w:r>
          <w:rPr>
            <w:color w:val="174E76"/>
            <w:sz w:val="18"/>
          </w:rPr>
          <w:t>https://arxiv.org/abs/2605.27784v2</w:t>
        </w:r>
      </w:hyperlink>
    </w:p>
    <w:p>
      <w:pPr>
        <w:keepLines/>
        <w:spacing w:after="140"/>
      </w:pPr>
      <w:r>
        <w:rPr>
          <w:sz w:val="18"/>
        </w:rPr>
        <w:t xml:space="preserve">[5] R. K Sharma. ContextCov: Bridging the Gap Between Developer Intent and Autonomous Agent Execution. arXiv:2603.00822v2, 2026. </w:t>
      </w:r>
      <w:r>
        <w:br/>
      </w:r>
      <w:hyperlink r:id="rId14">
        <w:r>
          <w:rPr>
            <w:color w:val="174E76"/>
            <w:sz w:val="18"/>
          </w:rPr>
          <w:t>https://arxiv.org/html/2603.00822v2</w:t>
        </w:r>
      </w:hyperlink>
    </w:p>
    <w:p>
      <w:pPr>
        <w:keepLines/>
        <w:spacing w:after="140"/>
      </w:pPr>
      <w:r>
        <w:rPr>
          <w:sz w:val="18"/>
        </w:rPr>
        <w:t xml:space="preserve">[6] D. Ding et al. OctoBench: Benchmarking Scaffold-Aware Instruction Following in Repository-Grounded Agentic Coding. ACL 2026, pp. 5958-5978. </w:t>
      </w:r>
      <w:r>
        <w:br/>
      </w:r>
      <w:hyperlink r:id="rId15">
        <w:r>
          <w:rPr>
            <w:color w:val="174E76"/>
            <w:sz w:val="18"/>
          </w:rPr>
          <w:t>https://aclanthology.org/2026.acl-long.269/</w:t>
        </w:r>
      </w:hyperlink>
    </w:p>
    <w:p>
      <w:pPr>
        <w:keepLines/>
        <w:spacing w:after="140"/>
      </w:pPr>
      <w:r>
        <w:rPr>
          <w:sz w:val="18"/>
        </w:rPr>
        <w:t xml:space="preserve">[7] wiatrM. Guidefold research notes. Software project documentation, accessed 18 October 2026. </w:t>
      </w:r>
      <w:r>
        <w:br/>
      </w:r>
      <w:hyperlink r:id="rId16">
        <w:r>
          <w:rPr>
            <w:color w:val="174E76"/>
            <w:sz w:val="18"/>
          </w:rPr>
          <w:t>https://github.com/wiatrM/guidefold/blob/main/docs/RESEARCH.md</w:t>
        </w:r>
      </w:hyperlink>
    </w:p>
    <w:p>
      <w:pPr>
        <w:keepLines/>
        <w:spacing w:after="140"/>
      </w:pPr>
      <w:r>
        <w:rPr>
          <w:sz w:val="18"/>
        </w:rPr>
        <w:t xml:space="preserve">[8] princejain756. Ruleherd. Software project documentation, accessed 18 October 2026. </w:t>
      </w:r>
      <w:r>
        <w:br/>
      </w:r>
      <w:hyperlink r:id="rId17">
        <w:r>
          <w:rPr>
            <w:color w:val="174E76"/>
            <w:sz w:val="18"/>
          </w:rPr>
          <w:t>https://github.com/princejain756/ruleherd</w:t>
        </w:r>
      </w:hyperlink>
    </w:p>
    <w:p>
      <w:pPr>
        <w:keepLines/>
        <w:spacing w:after="140"/>
      </w:pPr>
      <w:r>
        <w:rPr>
          <w:sz w:val="18"/>
        </w:rPr>
        <w:t xml:space="preserve">[9] M. Galster, S. Mohsenimofidi, L. Bohme, J. L. Lulla, M. A. Abubakar, C. Treude, and S. Baltes. A Dataset of Agentic AI Coding Tool Configurations. AIware 2026; arXiv:2605.08435. </w:t>
      </w:r>
      <w:r>
        <w:br/>
      </w:r>
      <w:hyperlink r:id="rId18">
        <w:r>
          <w:rPr>
            <w:color w:val="174E76"/>
            <w:sz w:val="18"/>
          </w:rPr>
          <w:t>https://arxiv.org/abs/2605.08435</w:t>
        </w:r>
      </w:hyperlink>
    </w:p>
    <w:p>
      <w:pPr>
        <w:keepLines/>
        <w:spacing w:after="140"/>
      </w:pPr>
      <w:r>
        <w:rPr>
          <w:sz w:val="18"/>
        </w:rPr>
        <w:t xml:space="preserve">[10] T. Gloaguen, N. Mundler-Sasahara, M. N. Muller, V. Raychev, and M. Vechev. Evaluating AGENTS.md: Are Repository-Level Context Files Helpful for Coding Agents? arXiv:2602.11988v3, 2026. </w:t>
      </w:r>
      <w:r>
        <w:br/>
      </w:r>
      <w:hyperlink r:id="rId19">
        <w:r>
          <w:rPr>
            <w:color w:val="174E76"/>
            <w:sz w:val="18"/>
          </w:rPr>
          <w:t>https://arxiv.org/abs/2602.11988v3</w:t>
        </w:r>
      </w:hyperlink>
    </w:p>
    <w:p>
      <w:pPr>
        <w:keepLines/>
        <w:spacing w:after="140"/>
      </w:pPr>
      <w:r>
        <w:rPr>
          <w:sz w:val="18"/>
        </w:rPr>
        <w:t xml:space="preserve">[11] C. Treude and S. Baltes. Context Rot in AI-Assisted Software Development: Repurposing Documentation Consistency for AI Configuration Artifacts. arXiv:2606.09090, 2026. </w:t>
      </w:r>
      <w:r>
        <w:br/>
      </w:r>
      <w:hyperlink r:id="rId20">
        <w:r>
          <w:rPr>
            <w:color w:val="174E76"/>
            <w:sz w:val="18"/>
          </w:rPr>
          <w:t>https://arxiv.org/abs/2606.09090</w:t>
        </w:r>
      </w:hyperlink>
    </w:p>
    <w:p>
      <w:pPr>
        <w:keepLines/>
        <w:spacing w:after="140"/>
      </w:pPr>
      <w:r>
        <w:rPr>
          <w:sz w:val="18"/>
        </w:rPr>
        <w:t xml:space="preserve">[12] SANER 2027. Workshops and Tutorials including accepted TEXTUAL workshop. Official conference page, accessed 18 October 2026. </w:t>
      </w:r>
      <w:r>
        <w:br/>
      </w:r>
      <w:hyperlink r:id="rId21">
        <w:r>
          <w:rPr>
            <w:color w:val="174E76"/>
            <w:sz w:val="18"/>
          </w:rPr>
          <w:t>https://conf.researchr.org/track/saner-2027/saner-2027-workshops-tutorials-track</w:t>
        </w:r>
      </w:hyperlink>
    </w:p>
    <w:p>
      <w:pPr>
        <w:keepLines/>
        <w:spacing w:after="140"/>
      </w:pPr>
      <w:r>
        <w:rPr>
          <w:sz w:val="18"/>
        </w:rPr>
        <w:t xml:space="preserve">[13] SANER 2027. Conference homepage. Official conference page, accessed 18 October 2026. </w:t>
      </w:r>
      <w:r>
        <w:br/>
      </w:r>
      <w:hyperlink r:id="rId22">
        <w:r>
          <w:rPr>
            <w:color w:val="174E76"/>
            <w:sz w:val="18"/>
          </w:rPr>
          <w:t>https://conf.researchr.org/home/saner-2027</w:t>
        </w:r>
      </w:hyperlink>
    </w:p>
    <w:p>
      <w:pPr>
        <w:keepLines/>
        <w:spacing w:after="140"/>
      </w:pPr>
      <w:r>
        <w:rPr>
          <w:sz w:val="18"/>
        </w:rPr>
        <w:t xml:space="preserve">[14] SANER 2027. In Person Conference. Official attendance policy, accessed 18 October 2026. </w:t>
      </w:r>
      <w:r>
        <w:br/>
      </w:r>
      <w:hyperlink r:id="rId23">
        <w:r>
          <w:rPr>
            <w:color w:val="174E76"/>
            <w:sz w:val="18"/>
          </w:rPr>
          <w:t>https://conf.researchr.org/attending/saner-2027/in-person-conference</w:t>
        </w:r>
      </w:hyperlink>
    </w:p>
    <w:p>
      <w:pPr>
        <w:keepLines/>
        <w:spacing w:after="140"/>
      </w:pPr>
      <w:r>
        <w:rPr>
          <w:sz w:val="18"/>
        </w:rPr>
        <w:t xml:space="preserve">[15] IEEE Author Center. Submission Policies. Official author policy, accessed 18 October 2026. </w:t>
      </w:r>
      <w:r>
        <w:br/>
      </w:r>
      <w:hyperlink r:id="rId24">
        <w:r>
          <w:rPr>
            <w:color w:val="174E76"/>
            <w:sz w:val="18"/>
          </w:rPr>
          <w:t>https://conferences.ieeeauthorcenter.ieee.org/author-ethics/guidelines-and-policies/submission-policies/</w:t>
        </w:r>
      </w:hyperlink>
    </w:p>
    <w:p>
      <w:pPr>
        <w:keepLines/>
        <w:spacing w:after="140"/>
      </w:pPr>
      <w:r>
        <w:rPr>
          <w:sz w:val="18"/>
        </w:rPr>
        <w:t xml:space="preserve">[16] IEEE Author Center. Authoring Tools and Templates. Official template guidance, accessed 18 October 2026. </w:t>
      </w:r>
      <w:r>
        <w:br/>
      </w:r>
      <w:hyperlink r:id="rId25">
        <w:r>
          <w:rPr>
            <w:color w:val="174E76"/>
            <w:sz w:val="18"/>
          </w:rPr>
          <w:t>https://conferences.ieeeauthorcenter.ieee.org/write-your-paper/authoring-tools-and-templates/</w:t>
        </w:r>
      </w:hyperlink>
    </w:p>
    <w:sectPr w:rsidR="00FC693F" w:rsidRPr="0006063C" w:rsidSect="00034616">
      <w:footerReference w:type="default" r:id="rId9"/>
      <w:pgSz w:w="11909" w:h="16834"/>
      <w:pgMar w:top="1008" w:right="1224" w:bottom="936" w:left="122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gents.md/" TargetMode="External"/><Relationship Id="rId11" Type="http://schemas.openxmlformats.org/officeDocument/2006/relationships/hyperlink" Target="https://arxiv.org/abs/2511.12884v2" TargetMode="External"/><Relationship Id="rId12" Type="http://schemas.openxmlformats.org/officeDocument/2006/relationships/hyperlink" Target="https://arxiv.org/abs/2606.15828v5" TargetMode="External"/><Relationship Id="rId13" Type="http://schemas.openxmlformats.org/officeDocument/2006/relationships/hyperlink" Target="https://arxiv.org/abs/2605.27784v2" TargetMode="External"/><Relationship Id="rId14" Type="http://schemas.openxmlformats.org/officeDocument/2006/relationships/hyperlink" Target="https://arxiv.org/html/2603.00822v2" TargetMode="External"/><Relationship Id="rId15" Type="http://schemas.openxmlformats.org/officeDocument/2006/relationships/hyperlink" Target="https://aclanthology.org/2026.acl-long.269/" TargetMode="External"/><Relationship Id="rId16" Type="http://schemas.openxmlformats.org/officeDocument/2006/relationships/hyperlink" Target="https://github.com/wiatrM/guidefold/blob/main/docs/RESEARCH.md" TargetMode="External"/><Relationship Id="rId17" Type="http://schemas.openxmlformats.org/officeDocument/2006/relationships/hyperlink" Target="https://github.com/princejain756/ruleherd" TargetMode="External"/><Relationship Id="rId18" Type="http://schemas.openxmlformats.org/officeDocument/2006/relationships/hyperlink" Target="https://arxiv.org/abs/2605.08435" TargetMode="External"/><Relationship Id="rId19" Type="http://schemas.openxmlformats.org/officeDocument/2006/relationships/hyperlink" Target="https://arxiv.org/abs/2602.11988v3" TargetMode="External"/><Relationship Id="rId20" Type="http://schemas.openxmlformats.org/officeDocument/2006/relationships/hyperlink" Target="https://arxiv.org/abs/2606.09090" TargetMode="External"/><Relationship Id="rId21" Type="http://schemas.openxmlformats.org/officeDocument/2006/relationships/hyperlink" Target="https://conf.researchr.org/track/saner-2027/saner-2027-workshops-tutorials-track" TargetMode="External"/><Relationship Id="rId22" Type="http://schemas.openxmlformats.org/officeDocument/2006/relationships/hyperlink" Target="https://conf.researchr.org/home/saner-2027" TargetMode="External"/><Relationship Id="rId23" Type="http://schemas.openxmlformats.org/officeDocument/2006/relationships/hyperlink" Target="https://conf.researchr.org/attending/saner-2027/in-person-conference" TargetMode="External"/><Relationship Id="rId24" Type="http://schemas.openxmlformats.org/officeDocument/2006/relationships/hyperlink" Target="https://conferences.ieeeauthorcenter.ieee.org/author-ethics/guidelines-and-policies/submission-policies/" TargetMode="External"/><Relationship Id="rId25" Type="http://schemas.openxmlformats.org/officeDocument/2006/relationships/hyperlink" Target="https://conferences.ieeeauthorcenter.ieee.org/write-your-paper/authoring-tools-and-templ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 Contextual Instruction Precedence and Hierarchy Evaluation for Repositories</dc:title>
  <dc:subject>Research proposal on repository instruction conflicts</dc:subject>
  <dc:creator>Awaiz Ahmed; Mohammad Umar; Huda Mueen</dc:creator>
  <cp:keywords>CIPHER, TEXTUAL 2027, AGENTS.md, research proposal</cp:keywords>
  <dc:description>generated by python-docx</dc:description>
  <cp:lastModifiedBy/>
  <cp:revision>1</cp:revision>
  <dcterms:created xsi:type="dcterms:W3CDTF">2013-12-23T23:15:00Z</dcterms:created>
  <dcterms:modified xsi:type="dcterms:W3CDTF">2013-12-23T23:15:00Z</dcterms:modified>
  <cp:category/>
</cp:coreProperties>
</file>