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7ab25d7b78aead7bc461b2ab12015d2e3a1fd0"/>
    <w:p>
      <w:pPr>
        <w:pStyle w:val="Heading1"/>
      </w:pPr>
      <w:r>
        <w:t xml:space="preserve">Plano de Testes — T42 (Desvio de Qualidade) e T43 (Notificação de Evento)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Fornecedores — T42 (Desvio de Qualidade) · T43 (Notificação de Evento)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r>
        <w:t xml:space="preserve">Plano de testes definido pelo</w:t>
      </w:r>
      <w:r>
        <w:t xml:space="preserve"> </w:t>
      </w:r>
      <w:r>
        <w:rPr>
          <w:rStyle w:val="VerbatimChar"/>
        </w:rPr>
        <w:t xml:space="preserve">bytest</w:t>
      </w:r>
      <w:r>
        <w:t xml:space="preserve">, com base no documento de desenvolvimento aprovado (</w:t>
      </w:r>
      <w:r>
        <w:rPr>
          <w:rStyle w:val="VerbatimChar"/>
        </w:rPr>
        <w:t xml:space="preserve">docs/desenvolvimento/fornecedores-t42-t43-dev.md</w:t>
      </w:r>
      <w:r>
        <w:t xml:space="preserve">, incluindo adendo de colunas 1:N) e no código efetivamente implementado e revisado (</w:t>
      </w:r>
      <w:r>
        <w:rPr>
          <w:rStyle w:val="VerbatimChar"/>
        </w:rPr>
        <w:t xml:space="preserve">NotifDesvio.php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NotifEvento.php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FornecNotifDesvioModel.php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FornecNotifEventoModel.php</w:t>
      </w:r>
      <w:r>
        <w:t xml:space="preserve">, entities, migrations, views,</w:t>
      </w:r>
      <w:r>
        <w:t xml:space="preserve"> </w:t>
      </w:r>
      <w:r>
        <w:rPr>
          <w:rStyle w:val="VerbatimChar"/>
        </w:rPr>
        <w:t xml:space="preserve">my_fornecedores.js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OcoTrataOcorrencia.php</w:t>
      </w:r>
      <w:r>
        <w:t xml:space="preserve">).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aguardando aprovação do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para execução.</w:t>
      </w:r>
    </w:p>
    <w:p>
      <w:pPr>
        <w:pStyle w:val="BodyText"/>
      </w:pPr>
      <w:r>
        <w:t xml:space="preserve">Este documento define os casos de teste — a execução é etapa separada, registrada em</w:t>
      </w:r>
      <w:r>
        <w:t xml:space="preserve"> </w:t>
      </w:r>
      <w:r>
        <w:rPr>
          <w:rStyle w:val="VerbatimChar"/>
        </w:rPr>
        <w:t xml:space="preserve">docs/testes/fornecedores-t42-t43-resultado-testes.docx</w:t>
      </w:r>
      <w:r>
        <w:t xml:space="preserve">.</w:t>
      </w:r>
    </w:p>
    <w:p>
      <w:pPr>
        <w:pStyle w:val="BodyText"/>
      </w:pPr>
      <w:r>
        <w:t xml:space="preserve">Legenda de prioridade: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bloqueante (não pode ir a produção sem passar) ·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alta ·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média/monitoramento.</w:t>
      </w:r>
    </w:p>
    <w:p>
      <w:r>
        <w:pict>
          <v:rect style="width:0;height:1.5pt" o:hralign="center" o:hrstd="t" o:hr="t"/>
        </w:pict>
      </w:r>
    </w:p>
    <w:bookmarkStart w:id="9" w:name="introdução-escopo"/>
    <w:p>
      <w:pPr>
        <w:pStyle w:val="Heading2"/>
      </w:pPr>
      <w:r>
        <w:t xml:space="preserve">1. Introdução / Escopo</w:t>
      </w:r>
    </w:p>
    <w:p>
      <w:pPr>
        <w:pStyle w:val="FirstParagraph"/>
      </w:pPr>
      <w:r>
        <w:t xml:space="preserve">Este plano cobre as telas T42 (Fornecedores &gt; Desvio de Qualidade) e T43 (Fornecedores &gt; Notificação de Evento), abrangendo:</w:t>
      </w:r>
    </w:p>
    <w:p>
      <w:pPr>
        <w:pStyle w:val="Compact"/>
        <w:numPr>
          <w:ilvl w:val="0"/>
          <w:numId w:val="1001"/>
        </w:numPr>
      </w:pPr>
      <w:r>
        <w:t xml:space="preserve">Infraestrutura e permissões (</w:t>
      </w:r>
      <w:r>
        <w:rPr>
          <w:rStyle w:val="VerbatimChar"/>
        </w:rPr>
        <w:t xml:space="preserve">CAEXN</w:t>
      </w:r>
      <w:r>
        <w:t xml:space="preserve">, fail-closed) em ambas as telas.</w:t>
      </w:r>
    </w:p>
    <w:p>
      <w:pPr>
        <w:pStyle w:val="Compact"/>
        <w:numPr>
          <w:ilvl w:val="0"/>
          <w:numId w:val="1001"/>
        </w:numPr>
      </w:pPr>
      <w:r>
        <w:t xml:space="preserve">Integração automática de origem T11 → T42 (RN02.3) e T42 → T43 (RN02.3, RN03.1).</w:t>
      </w:r>
    </w:p>
    <w:p>
      <w:pPr>
        <w:pStyle w:val="Compact"/>
        <w:numPr>
          <w:ilvl w:val="0"/>
          <w:numId w:val="1001"/>
        </w:numPr>
      </w:pPr>
      <w:r>
        <w:t xml:space="preserve">Regras de listagem, cadastro, validação de campos, salvar/cancelar e exclusão de T42.</w:t>
      </w:r>
    </w:p>
    <w:p>
      <w:pPr>
        <w:pStyle w:val="Compact"/>
        <w:numPr>
          <w:ilvl w:val="0"/>
          <w:numId w:val="1001"/>
        </w:numPr>
      </w:pPr>
      <w:r>
        <w:t xml:space="preserve">Regras de listagem (incluindo adendo de colunas 1:N), cadastro em abas (Dados Gerais, Providências, Parecer Final, Ações), upload de anexos, geração de movimentação e branch crítico de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/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em T43.</w:t>
      </w:r>
    </w:p>
    <w:p>
      <w:pPr>
        <w:pStyle w:val="Compact"/>
        <w:numPr>
          <w:ilvl w:val="0"/>
          <w:numId w:val="1001"/>
        </w:numPr>
      </w:pPr>
      <w:r>
        <w:t xml:space="preserve">Pontos de atenção explicitamente levantados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: cenário de corrida em T43 (RN03.1), truncamento por</w:t>
      </w:r>
      <w:r>
        <w:t xml:space="preserve"> </w:t>
      </w:r>
      <w:r>
        <w:rPr>
          <w:rStyle w:val="VerbatimChar"/>
        </w:rPr>
        <w:t xml:space="preserve">GROUP_CONCAT</w:t>
      </w:r>
      <w:r>
        <w:t xml:space="preserve">, upload disfarçado de arquivo, geração de movimentação por produto, e o branch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 </w:t>
      </w:r>
      <w:r>
        <w:t xml:space="preserve">em notificação já Concluída.</w:t>
      </w:r>
    </w:p>
    <w:p>
      <w:r>
        <w:pict>
          <v:rect style="width:0;height:1.5pt" o:hralign="center" o:hrstd="t" o:hr="t"/>
        </w:pict>
      </w:r>
    </w:p>
    <w:bookmarkEnd w:id="9"/>
    <w:bookmarkStart w:id="16" w:name="t42-desvio-de-qualidade"/>
    <w:p>
      <w:pPr>
        <w:pStyle w:val="Heading2"/>
      </w:pPr>
      <w:r>
        <w:t xml:space="preserve">2. T42 — Desvio de Qualidade</w:t>
      </w:r>
    </w:p>
    <w:bookmarkStart w:id="10" w:name="infraestrutura-permissões-caexn"/>
    <w:p>
      <w:pPr>
        <w:pStyle w:val="Heading3"/>
      </w:pPr>
      <w:r>
        <w:t xml:space="preserve">2.1 Infraestrutura / Permissões (CAEXN)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Dado de entrada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T42-01</w:t>
            </w:r>
          </w:p>
        </w:tc>
        <w:tc>
          <w:tcPr/>
          <w:p>
            <w:pPr>
              <w:pStyle w:val="Compact"/>
            </w:pPr>
            <w:r>
              <w:t xml:space="preserve">Acesso negado (fail-closed)</w:t>
            </w:r>
          </w:p>
        </w:tc>
        <w:tc>
          <w:tcPr/>
          <w:p>
            <w:pPr>
              <w:pStyle w:val="Compact"/>
            </w:pPr>
            <w:r>
              <w:t xml:space="preserve">Logar com perfil sem linha em ConfigPerfilItemModel para T42</w:t>
            </w:r>
          </w:p>
        </w:tc>
        <w:tc>
          <w:tcPr/>
          <w:p>
            <w:pPr>
              <w:pStyle w:val="Compact"/>
            </w:pPr>
            <w:r>
              <w:t xml:space="preserve">Perfil qualquer sem permissão cadastrada</w:t>
            </w:r>
          </w:p>
        </w:tc>
        <w:tc>
          <w:tcPr/>
          <w:p>
            <w:pPr>
              <w:pStyle w:val="Compact"/>
            </w:pPr>
            <w:r>
              <w:t xml:space="preserve">vw_semacesso (ou _modal), sem exibir dados; log de auditoria não deve registrar CRUD indevido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T42-02</w:t>
            </w:r>
          </w:p>
        </w:tc>
        <w:tc>
          <w:tcPr/>
          <w:p>
            <w:pPr>
              <w:pStyle w:val="Compact"/>
            </w:pPr>
            <w:r>
              <w:t xml:space="preserve">Permissão só-consulta (C)</w:t>
            </w:r>
          </w:p>
        </w:tc>
        <w:tc>
          <w:tcPr/>
          <w:p>
            <w:pPr>
              <w:pStyle w:val="Compact"/>
            </w:pPr>
            <w:r>
              <w:t xml:space="preserve">Perfil com permissão</w:t>
            </w:r>
            <w:r>
              <w:t xml:space="preserve"> </w:t>
            </w:r>
            <w:r>
              <w:t xml:space="preserve">“C”</w:t>
            </w:r>
            <w:r>
              <w:t xml:space="preserve"> </w:t>
            </w:r>
            <w:r>
              <w:t xml:space="preserve">acessa index/lista/show e tenta acessar edit/delete via URL direta</w:t>
            </w:r>
          </w:p>
        </w:tc>
        <w:tc>
          <w:tcPr/>
          <w:p>
            <w:pPr>
              <w:pStyle w:val="Compact"/>
            </w:pPr>
            <w:r>
              <w:t xml:space="preserve">perfil C</w:t>
            </w:r>
          </w:p>
        </w:tc>
        <w:tc>
          <w:tcPr/>
          <w:p>
            <w:pPr>
              <w:pStyle w:val="Compact"/>
            </w:pPr>
            <w:r>
              <w:t xml:space="preserve">Consulta ok; edição/exclusão bloqueadas mesmo digitando a URL (LoginFilter, não só botão oculto)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T42-03</w:t>
            </w:r>
          </w:p>
        </w:tc>
        <w:tc>
          <w:tcPr/>
          <w:p>
            <w:pPr>
              <w:pStyle w:val="Compact"/>
            </w:pPr>
            <w:r>
              <w:t xml:space="preserve">Permissão completa (CAEXN)</w:t>
            </w:r>
          </w:p>
        </w:tc>
        <w:tc>
          <w:tcPr/>
          <w:p>
            <w:pPr>
              <w:pStyle w:val="Compact"/>
            </w:pPr>
            <w:r>
              <w:t xml:space="preserve">Perfil com</w:t>
            </w:r>
            <w:r>
              <w:t xml:space="preserve"> </w:t>
            </w:r>
            <w:r>
              <w:t xml:space="preserve">“CAEXN”</w:t>
            </w:r>
          </w:p>
        </w:tc>
        <w:tc>
          <w:tcPr/>
          <w:p>
            <w:pPr>
              <w:pStyle w:val="Compact"/>
            </w:pPr>
            <w:r>
              <w:t xml:space="preserve">perfil completo</w:t>
            </w:r>
          </w:p>
        </w:tc>
        <w:tc>
          <w:tcPr/>
          <w:p>
            <w:pPr>
              <w:pStyle w:val="Compact"/>
            </w:pPr>
            <w:r>
              <w:t xml:space="preserve">Todas as ações liberadas (respeitando ainda as regras de status)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T42-04</w:t>
            </w:r>
          </w:p>
        </w:tc>
        <w:tc>
          <w:tcPr/>
          <w:p>
            <w:pPr>
              <w:pStyle w:val="Compact"/>
            </w:pPr>
            <w:r>
              <w:t xml:space="preserve">Cadastro de cfg_tela/cfg_modulo/cfg_status</w:t>
            </w:r>
          </w:p>
        </w:tc>
        <w:tc>
          <w:tcPr/>
          <w:p>
            <w:pPr>
              <w:pStyle w:val="Compact"/>
            </w:pPr>
            <w:r>
              <w:t xml:space="preserve">Conferir no banco se Fornecedores, T42, status Pendente/Concluída existem e tel_controler = NotifDesvio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Registros presentes, sem duplicidade de cfg_modulo</w:t>
            </w:r>
            <w:r>
              <w:t xml:space="preserve"> </w:t>
            </w:r>
            <w:r>
              <w:t xml:space="preserve">“Fornecedores”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0"/>
    <w:bookmarkStart w:id="11" w:name="integração-automática-de-origem-rn02.3"/>
    <w:p>
      <w:pPr>
        <w:pStyle w:val="Heading3"/>
      </w:pPr>
      <w:r>
        <w:t xml:space="preserve">2.2 Integração automática de origem (RN02.3)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T42-05</w:t>
            </w:r>
          </w:p>
        </w:tc>
        <w:tc>
          <w:tcPr/>
          <w:p>
            <w:pPr>
              <w:pStyle w:val="Compact"/>
            </w:pPr>
            <w:r>
              <w:t xml:space="preserve">Geração automática ao tratar ocorrência com ação</w:t>
            </w:r>
            <w:r>
              <w:t xml:space="preserve"> </w:t>
            </w:r>
            <w:r>
              <w:t xml:space="preserve">“Notificação do Fornecedor”</w:t>
            </w:r>
          </w:p>
        </w:tc>
        <w:tc>
          <w:tcPr/>
          <w:p>
            <w:pPr>
              <w:pStyle w:val="Compact"/>
            </w:pPr>
            <w:r>
              <w:t xml:space="preserve">Em T9, associar a ação nova (tpa_tipo=5) a um subtipo; em T11, tratar uma ocorrência desse subtipo executando a ação</w:t>
            </w:r>
          </w:p>
        </w:tc>
        <w:tc>
          <w:tcPr/>
          <w:p>
            <w:pPr>
              <w:pStyle w:val="Compact"/>
            </w:pPr>
            <w:r>
              <w:t xml:space="preserve">Cria 1 registro em oco_notif_desvio com stt_id=Pendente, oco_id correto, usu_criou = usuário logado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T42-06</w:t>
            </w:r>
          </w:p>
        </w:tc>
        <w:tc>
          <w:tcPr/>
          <w:p>
            <w:pPr>
              <w:pStyle w:val="Compact"/>
            </w:pPr>
            <w:r>
              <w:t xml:space="preserve">Idempotência — reprocessamento do mesmo submit</w:t>
            </w:r>
          </w:p>
        </w:tc>
        <w:tc>
          <w:tcPr/>
          <w:p>
            <w:pPr>
              <w:pStyle w:val="Compact"/>
            </w:pPr>
            <w:r>
              <w:t xml:space="preserve">Repetir o POST de tratativa de T11 para o mesmo oco_id já notificado (replay/duplo clique)</w:t>
            </w:r>
          </w:p>
        </w:tc>
        <w:tc>
          <w:tcPr/>
          <w:p>
            <w:pPr>
              <w:pStyle w:val="Compact"/>
            </w:pPr>
            <w:r>
              <w:t xml:space="preserve">Não cria um segundo oco_notif_desvio para o mesmo oco_id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T42-07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  <w:r>
              <w:t xml:space="preserve"> </w:t>
            </w:r>
            <w:r>
              <w:t xml:space="preserve">“Pendente”</w:t>
            </w:r>
            <w:r>
              <w:t xml:space="preserve"> </w:t>
            </w:r>
            <w:r>
              <w:t xml:space="preserve">de T42 não configurado</w:t>
            </w:r>
          </w:p>
        </w:tc>
        <w:tc>
          <w:tcPr/>
          <w:p>
            <w:pPr>
              <w:pStyle w:val="Compact"/>
            </w:pPr>
            <w:r>
              <w:t xml:space="preserve">Remover/renomear temporariamente o cfg_status</w:t>
            </w:r>
            <w:r>
              <w:t xml:space="preserve"> </w:t>
            </w:r>
            <w:r>
              <w:t xml:space="preserve">“Pendente”</w:t>
            </w:r>
            <w:r>
              <w:t xml:space="preserve"> </w:t>
            </w:r>
            <w:r>
              <w:t xml:space="preserve">de T42, disparar a ação em T11</w:t>
            </w:r>
          </w:p>
        </w:tc>
        <w:tc>
          <w:tcPr/>
          <w:p>
            <w:pPr>
              <w:pStyle w:val="Compact"/>
            </w:pPr>
            <w:r>
              <w:t xml:space="preserve">Retorna erro de negócio claro, não trava T11 silenciosamente nem estoura SQL cru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T42-08</w:t>
            </w:r>
          </w:p>
        </w:tc>
        <w:tc>
          <w:tcPr/>
          <w:p>
            <w:pPr>
              <w:pStyle w:val="Compact"/>
            </w:pPr>
            <w:r>
              <w:t xml:space="preserve">Ação nova aparece em T9</w:t>
            </w:r>
          </w:p>
        </w:tc>
        <w:tc>
          <w:tcPr/>
          <w:p>
            <w:pPr>
              <w:pStyle w:val="Compact"/>
            </w:pPr>
            <w:r>
              <w:t xml:space="preserve">Abrir cadastro de subtipo em T9 e conferir disponibilidade da ação</w:t>
            </w:r>
          </w:p>
        </w:tc>
        <w:tc>
          <w:tcPr/>
          <w:p>
            <w:pPr>
              <w:pStyle w:val="Compact"/>
            </w:pPr>
            <w:r>
              <w:t xml:space="preserve">Ação selecionável normalmente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1"/>
    <w:bookmarkStart w:id="12" w:name="listagem-rn02.1-rn02.2-rn02.4"/>
    <w:p>
      <w:pPr>
        <w:pStyle w:val="Heading3"/>
      </w:pPr>
      <w:r>
        <w:t xml:space="preserve">2.3 Listagem (RN02.1, RN02.2, RN02.4)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T42-09</w:t>
            </w:r>
          </w:p>
        </w:tc>
        <w:tc>
          <w:tcPr/>
          <w:p>
            <w:pPr>
              <w:pStyle w:val="Compact"/>
            </w:pPr>
            <w:r>
              <w:t xml:space="preserve">Colunas da listagem</w:t>
            </w:r>
          </w:p>
        </w:tc>
        <w:tc>
          <w:tcPr/>
          <w:p>
            <w:pPr>
              <w:pStyle w:val="Compact"/>
            </w:pPr>
            <w:r>
              <w:t xml:space="preserve">Abrir index de T42</w:t>
            </w:r>
          </w:p>
        </w:tc>
        <w:tc>
          <w:tcPr/>
          <w:p>
            <w:pPr>
              <w:pStyle w:val="Compact"/>
            </w:pPr>
            <w:r>
              <w:t xml:space="preserve">Colunas N°, Data, Produto, Fabricante, Lote, Usuário, Status, Ação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T42-10</w:t>
            </w:r>
          </w:p>
        </w:tc>
        <w:tc>
          <w:tcPr/>
          <w:p>
            <w:pPr>
              <w:pStyle w:val="Compact"/>
            </w:pPr>
            <w:r>
              <w:t xml:space="preserve">Coluna</w:t>
            </w:r>
            <w:r>
              <w:t xml:space="preserve"> </w:t>
            </w:r>
            <w:r>
              <w:t xml:space="preserve">“Ação”</w:t>
            </w:r>
            <w:r>
              <w:t xml:space="preserve"> </w:t>
            </w:r>
            <w:r>
              <w:t xml:space="preserve">não ordenável/pesquisável</w:t>
            </w:r>
          </w:p>
        </w:tc>
        <w:tc>
          <w:tcPr/>
          <w:p>
            <w:pPr>
              <w:pStyle w:val="Compact"/>
            </w:pPr>
            <w:r>
              <w:t xml:space="preserve">Tentar ordenar/pesquisar pela coluna Ação</w:t>
            </w:r>
          </w:p>
        </w:tc>
        <w:tc>
          <w:tcPr/>
          <w:p>
            <w:pPr>
              <w:pStyle w:val="Compact"/>
            </w:pPr>
            <w:r>
              <w:t xml:space="preserve">Não responde a ordenação/busca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T42-11</w:t>
            </w:r>
          </w:p>
        </w:tc>
        <w:tc>
          <w:tcPr/>
          <w:p>
            <w:pPr>
              <w:pStyle w:val="Compact"/>
            </w:pPr>
            <w:r>
              <w:t xml:space="preserve">Badge de status colorido</w:t>
            </w:r>
          </w:p>
        </w:tc>
        <w:tc>
          <w:tcPr/>
          <w:p>
            <w:pPr>
              <w:pStyle w:val="Compact"/>
            </w:pPr>
            <w:r>
              <w:t xml:space="preserve">Conferir visualmente o status</w:t>
            </w:r>
          </w:p>
        </w:tc>
        <w:tc>
          <w:tcPr/>
          <w:p>
            <w:pPr>
              <w:pStyle w:val="Compact"/>
            </w:pPr>
            <w:r>
              <w:t xml:space="preserve">Mesma cor/estilo de T1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T42-12</w:t>
            </w:r>
          </w:p>
        </w:tc>
        <w:tc>
          <w:tcPr/>
          <w:p>
            <w:pPr>
              <w:pStyle w:val="Compact"/>
            </w:pPr>
            <w:r>
              <w:t xml:space="preserve">Botão Imprimir sempre disponível</w:t>
            </w:r>
          </w:p>
        </w:tc>
        <w:tc>
          <w:tcPr/>
          <w:p>
            <w:pPr>
              <w:pStyle w:val="Compact"/>
            </w:pPr>
            <w:r>
              <w:t xml:space="preserve">Registro Pendente e Concluído</w:t>
            </w:r>
          </w:p>
        </w:tc>
        <w:tc>
          <w:tcPr/>
          <w:p>
            <w:pPr>
              <w:pStyle w:val="Compact"/>
            </w:pPr>
            <w:r>
              <w:t xml:space="preserve">Aparece em ambos os casos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T42-13</w:t>
            </w:r>
          </w:p>
        </w:tc>
        <w:tc>
          <w:tcPr/>
          <w:p>
            <w:pPr>
              <w:pStyle w:val="Compact"/>
            </w:pPr>
            <w:r>
              <w:t xml:space="preserve">“Usuário”</w:t>
            </w:r>
            <w:r>
              <w:t xml:space="preserve"> </w:t>
            </w:r>
            <w:r>
              <w:t xml:space="preserve">resolvido via log de T11</w:t>
            </w:r>
          </w:p>
        </w:tc>
        <w:tc>
          <w:tcPr/>
          <w:p>
            <w:pPr>
              <w:pStyle w:val="Compact"/>
            </w:pPr>
            <w:r>
              <w:t xml:space="preserve">Comparar usu_nome exibido com quem criou a ocorrência em T11</w:t>
            </w:r>
          </w:p>
        </w:tc>
        <w:tc>
          <w:tcPr/>
          <w:p>
            <w:pPr>
              <w:pStyle w:val="Compact"/>
            </w:pPr>
            <w:r>
              <w:t xml:space="preserve">Nome bate com log de oco_ocorrencia, não com usu_criou de oco_notif_desvio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2"/>
    <w:bookmarkStart w:id="13" w:name="cadastro-aba-dados-gerais-rn03.1rn03.14"/>
    <w:p>
      <w:pPr>
        <w:pStyle w:val="Heading3"/>
      </w:pPr>
      <w:r>
        <w:t xml:space="preserve">2.4 Cadastro — Aba Dados Gerais (RN03.1–RN03.14)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Dado de entrada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T42-14</w:t>
            </w:r>
          </w:p>
        </w:tc>
        <w:tc>
          <w:tcPr/>
          <w:p>
            <w:pPr>
              <w:pStyle w:val="Compact"/>
            </w:pPr>
            <w:r>
              <w:t xml:space="preserve">Campos via T11 somente leitura</w:t>
            </w:r>
          </w:p>
        </w:tc>
        <w:tc>
          <w:tcPr/>
          <w:p>
            <w:pPr>
              <w:pStyle w:val="Compact"/>
            </w:pPr>
            <w:r>
              <w:t xml:space="preserve">Abrir edit de registro Pendente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Todos os campos vindos de T11 com setLeitura(true), sem readonly manual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T42-15</w:t>
            </w:r>
          </w:p>
        </w:tc>
        <w:tc>
          <w:tcPr/>
          <w:p>
            <w:pPr>
              <w:pStyle w:val="Compact"/>
            </w:pPr>
            <w:r>
              <w:t xml:space="preserve">ndv_local obrigatório e limites</w:t>
            </w:r>
          </w:p>
        </w:tc>
        <w:tc>
          <w:tcPr/>
          <w:p>
            <w:pPr>
              <w:pStyle w:val="Compact"/>
            </w:pPr>
            <w:r>
              <w:t xml:space="preserve">Salvar com vazio/4/5/50/51 caracteres</w:t>
            </w:r>
          </w:p>
        </w:tc>
        <w:tc>
          <w:tcPr/>
          <w:p>
            <w:pPr>
              <w:pStyle w:val="Compact"/>
            </w:pPr>
            <w:r>
              <w:t xml:space="preserve">’’,</w:t>
            </w:r>
            <w:r>
              <w:t xml:space="preserve"> </w:t>
            </w:r>
            <w:r>
              <w:t xml:space="preserve">“abcd”</w:t>
            </w:r>
            <w:r>
              <w:t xml:space="preserve">,</w:t>
            </w:r>
            <w:r>
              <w:t xml:space="preserve"> </w:t>
            </w:r>
            <w:r>
              <w:t xml:space="preserve">“abcde”</w:t>
            </w:r>
            <w:r>
              <w:t xml:space="preserve">, string(50), string(51)</w:t>
            </w:r>
          </w:p>
        </w:tc>
        <w:tc>
          <w:tcPr/>
          <w:p>
            <w:pPr>
              <w:pStyle w:val="Compact"/>
            </w:pPr>
            <w:r>
              <w:t xml:space="preserve">Vazio e 4 → erro; 5 e 50 → ok; 51 → erro (client E server)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T42-16</w:t>
            </w:r>
          </w:p>
        </w:tc>
        <w:tc>
          <w:tcPr/>
          <w:p>
            <w:pPr>
              <w:pStyle w:val="Compact"/>
            </w:pPr>
            <w:r>
              <w:t xml:space="preserve">ndv_descreva obrigatório e limites</w:t>
            </w:r>
          </w:p>
        </w:tc>
        <w:tc>
          <w:tcPr/>
          <w:p>
            <w:pPr>
              <w:pStyle w:val="Compact"/>
            </w:pPr>
            <w:r>
              <w:t xml:space="preserve">Mesma lógica, limites 5/200</w:t>
            </w:r>
          </w:p>
        </w:tc>
        <w:tc>
          <w:tcPr/>
          <w:p>
            <w:pPr>
              <w:pStyle w:val="Compact"/>
            </w:pPr>
            <w:r>
              <w:t xml:space="preserve">’’, string(4), string(5), string(200), string(201)</w:t>
            </w:r>
          </w:p>
        </w:tc>
        <w:tc>
          <w:tcPr/>
          <w:p>
            <w:pPr>
              <w:pStyle w:val="Compact"/>
            </w:pPr>
            <w:r>
              <w:t xml:space="preserve">Conforme limites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T42-17</w:t>
            </w:r>
          </w:p>
        </w:tc>
        <w:tc>
          <w:tcPr/>
          <w:p>
            <w:pPr>
              <w:pStyle w:val="Compact"/>
            </w:pPr>
            <w:r>
              <w:t xml:space="preserve">Editar via requisição forjada em registro Concluído</w:t>
            </w:r>
          </w:p>
        </w:tc>
        <w:tc>
          <w:tcPr/>
          <w:p>
            <w:pPr>
              <w:pStyle w:val="Compact"/>
            </w:pPr>
            <w:r>
              <w:t xml:space="preserve">POST direto para store alterando ndv_id já Concluído</w:t>
            </w:r>
          </w:p>
        </w:tc>
        <w:tc>
          <w:tcPr/>
          <w:p>
            <w:pPr>
              <w:pStyle w:val="Compact"/>
            </w:pPr>
            <w:r>
              <w:t xml:space="preserve">ndv_id de registro Concluído</w:t>
            </w:r>
          </w:p>
        </w:tc>
        <w:tc>
          <w:tcPr/>
          <w:p>
            <w:pPr>
              <w:pStyle w:val="Compact"/>
            </w:pPr>
            <w:r>
              <w:t xml:space="preserve">Bloqueado no server-side, sem gravar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13"/>
    <w:bookmarkStart w:id="14" w:name="salvar-cancelar-rn03.15rn03.17"/>
    <w:p>
      <w:pPr>
        <w:pStyle w:val="Heading3"/>
      </w:pPr>
      <w:r>
        <w:t xml:space="preserve">2.5 Salvar / Cancelar (RN03.15–RN03.17)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T42-18</w:t>
            </w:r>
          </w:p>
        </w:tc>
        <w:tc>
          <w:tcPr/>
          <w:p>
            <w:pPr>
              <w:pStyle w:val="Compact"/>
            </w:pPr>
            <w:r>
              <w:t xml:space="preserve">Salvar grava e conclui na mesma transação</w:t>
            </w:r>
          </w:p>
        </w:tc>
        <w:tc>
          <w:tcPr/>
          <w:p>
            <w:pPr>
              <w:pStyle w:val="Compact"/>
            </w:pPr>
            <w:r>
              <w:t xml:space="preserve">Preencher válido e Salvar</w:t>
            </w:r>
          </w:p>
        </w:tc>
        <w:tc>
          <w:tcPr/>
          <w:p>
            <w:pPr>
              <w:pStyle w:val="Compact"/>
            </w:pPr>
            <w:r>
              <w:t xml:space="preserve">stt_id muda direto para Concluída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T42-19</w:t>
            </w:r>
          </w:p>
        </w:tc>
        <w:tc>
          <w:tcPr/>
          <w:p>
            <w:pPr>
              <w:pStyle w:val="Compact"/>
            </w:pPr>
            <w:r>
              <w:t xml:space="preserve">Impressão oferecida após Salvar, não bloqueante</w:t>
            </w:r>
          </w:p>
        </w:tc>
        <w:tc>
          <w:tcPr/>
          <w:p>
            <w:pPr>
              <w:pStyle w:val="Compact"/>
            </w:pPr>
            <w:r>
              <w:t xml:space="preserve">Salvar registro válido</w:t>
            </w:r>
          </w:p>
        </w:tc>
        <w:tc>
          <w:tcPr/>
          <w:p>
            <w:pPr>
              <w:pStyle w:val="Compact"/>
            </w:pPr>
            <w:r>
              <w:t xml:space="preserve">Fluxo de impressão oferecido em seguida; fechar sem imprimir não desfaz conclusão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T42-20</w:t>
            </w:r>
          </w:p>
        </w:tc>
        <w:tc>
          <w:tcPr/>
          <w:p>
            <w:pPr>
              <w:pStyle w:val="Compact"/>
            </w:pPr>
            <w:r>
              <w:t xml:space="preserve">Salvar sem alteração real → MSG 7</w:t>
            </w:r>
          </w:p>
        </w:tc>
        <w:tc>
          <w:tcPr/>
          <w:p>
            <w:pPr>
              <w:pStyle w:val="Compact"/>
            </w:pPr>
            <w:r>
              <w:t xml:space="preserve">Abrir edit, não alterar, Salvar</w:t>
            </w:r>
          </w:p>
        </w:tc>
        <w:tc>
          <w:tcPr/>
          <w:p>
            <w:pPr>
              <w:pStyle w:val="Compact"/>
            </w:pPr>
            <w:r>
              <w:t xml:space="preserve">Exibe MSG ID 7, não grava novamente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T42-21</w:t>
            </w:r>
          </w:p>
        </w:tc>
        <w:tc>
          <w:tcPr/>
          <w:p>
            <w:pPr>
              <w:pStyle w:val="Compact"/>
            </w:pPr>
            <w:r>
              <w:t xml:space="preserve">Cancelar com alteração pendente → MSG 2</w:t>
            </w:r>
          </w:p>
        </w:tc>
        <w:tc>
          <w:tcPr/>
          <w:p>
            <w:pPr>
              <w:pStyle w:val="Compact"/>
            </w:pPr>
            <w:r>
              <w:t xml:space="preserve">Alterar campo, Cancelar</w:t>
            </w:r>
          </w:p>
        </w:tc>
        <w:tc>
          <w:tcPr/>
          <w:p>
            <w:pPr>
              <w:pStyle w:val="Compact"/>
            </w:pPr>
            <w:r>
              <w:t xml:space="preserve">Confirmação MSG ID 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T42-22</w:t>
            </w:r>
          </w:p>
        </w:tc>
        <w:tc>
          <w:tcPr/>
          <w:p>
            <w:pPr>
              <w:pStyle w:val="Compact"/>
            </w:pPr>
            <w:r>
              <w:t xml:space="preserve">Falha simulada de update (rollback)</w:t>
            </w:r>
          </w:p>
        </w:tc>
        <w:tc>
          <w:tcPr/>
          <w:p>
            <w:pPr>
              <w:pStyle w:val="Compact"/>
            </w:pPr>
            <w:r>
              <w:t xml:space="preserve">Forçar erro no update()</w:t>
            </w:r>
          </w:p>
        </w:tc>
        <w:tc>
          <w:tcPr/>
          <w:p>
            <w:pPr>
              <w:pStyle w:val="Compact"/>
            </w:pPr>
            <w:r>
              <w:t xml:space="preserve">transRollback, retorno amigável, stt_id permanece Pendente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4"/>
    <w:bookmarkStart w:id="15" w:name="exclusão-bloqueio-e-etiqueta"/>
    <w:p>
      <w:pPr>
        <w:pStyle w:val="Heading3"/>
      </w:pPr>
      <w:r>
        <w:t xml:space="preserve">2.6 Exclusão (bloqueio) e Etiqueta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T42-23</w:t>
            </w:r>
          </w:p>
        </w:tc>
        <w:tc>
          <w:tcPr/>
          <w:p>
            <w:pPr>
              <w:pStyle w:val="Compact"/>
            </w:pPr>
            <w:r>
              <w:t xml:space="preserve">delete() sempre bloqueado</w:t>
            </w:r>
          </w:p>
        </w:tc>
        <w:tc>
          <w:tcPr/>
          <w:p>
            <w:pPr>
              <w:pStyle w:val="Compact"/>
            </w:pPr>
            <w:r>
              <w:t xml:space="preserve">POST direto para delete/{id}, qualquer perfil</w:t>
            </w:r>
          </w:p>
        </w:tc>
        <w:tc>
          <w:tcPr/>
          <w:p>
            <w:pPr>
              <w:pStyle w:val="Compact"/>
            </w:pPr>
            <w:r>
              <w:t xml:space="preserve">Erro</w:t>
            </w:r>
            <w:r>
              <w:t xml:space="preserve"> </w:t>
            </w:r>
            <w:r>
              <w:t xml:space="preserve">“Exclusão não permitida”</w:t>
            </w:r>
            <w:r>
              <w:t xml:space="preserve">; registro não removido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T42-24</w:t>
            </w:r>
          </w:p>
        </w:tc>
        <w:tc>
          <w:tcPr/>
          <w:p>
            <w:pPr>
              <w:pStyle w:val="Compact"/>
            </w:pPr>
            <w:r>
              <w:t xml:space="preserve">GeraEtiqueta() — 0 etiquetas</w:t>
            </w:r>
          </w:p>
        </w:tc>
        <w:tc>
          <w:tcPr/>
          <w:p>
            <w:pPr>
              <w:pStyle w:val="Compact"/>
            </w:pPr>
            <w:r>
              <w:t xml:space="preserve">Sem cfg_etiqueta para T42, clicar Imprimir</w:t>
            </w:r>
          </w:p>
        </w:tc>
        <w:tc>
          <w:tcPr/>
          <w:p>
            <w:pPr>
              <w:pStyle w:val="Compact"/>
            </w:pPr>
            <w:r>
              <w:t xml:space="preserve">Erro amigável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T42-25</w:t>
            </w:r>
          </w:p>
        </w:tc>
        <w:tc>
          <w:tcPr/>
          <w:p>
            <w:pPr>
              <w:pStyle w:val="Compact"/>
            </w:pPr>
            <w:r>
              <w:t xml:space="preserve">GeraEtiqueta() — 1 etiqueta</w:t>
            </w:r>
          </w:p>
        </w:tc>
        <w:tc>
          <w:tcPr/>
          <w:p>
            <w:pPr>
              <w:pStyle w:val="Compact"/>
            </w:pPr>
            <w:r>
              <w:t xml:space="preserve">Com 1 cfg_etiqueta</w:t>
            </w:r>
          </w:p>
        </w:tc>
        <w:tc>
          <w:tcPr/>
          <w:p>
            <w:pPr>
              <w:pStyle w:val="Compact"/>
            </w:pPr>
            <w:r>
              <w:t xml:space="preserve">Usa direto, abre preview correto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T42-26</w:t>
            </w:r>
          </w:p>
        </w:tc>
        <w:tc>
          <w:tcPr/>
          <w:p>
            <w:pPr>
              <w:pStyle w:val="Compact"/>
            </w:pPr>
            <w:r>
              <w:t xml:space="preserve">GeraEtiqueta() — 2+ etiquetas</w:t>
            </w:r>
          </w:p>
        </w:tc>
        <w:tc>
          <w:tcPr/>
          <w:p>
            <w:pPr>
              <w:pStyle w:val="Compact"/>
            </w:pPr>
            <w:r>
              <w:t xml:space="preserve">Com 2 cfg_etiqueta</w:t>
            </w:r>
          </w:p>
        </w:tc>
        <w:tc>
          <w:tcPr/>
          <w:p>
            <w:pPr>
              <w:pStyle w:val="Compact"/>
            </w:pPr>
            <w:r>
              <w:t xml:space="preserve">boxAlert oferece seleção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T42-27</w:t>
            </w:r>
          </w:p>
        </w:tc>
        <w:tc>
          <w:tcPr/>
          <w:p>
            <w:pPr>
              <w:pStyle w:val="Compact"/>
            </w:pPr>
            <w:r>
              <w:t xml:space="preserve">Cache Redis da etiqueta expira</w:t>
            </w:r>
          </w:p>
        </w:tc>
        <w:tc>
          <w:tcPr/>
          <w:p>
            <w:pPr>
              <w:pStyle w:val="Compact"/>
            </w:pPr>
            <w:r>
              <w:t xml:space="preserve">Gerar etiqueta, aguardar &gt;900s, reimprimir</w:t>
            </w:r>
          </w:p>
        </w:tc>
        <w:tc>
          <w:tcPr/>
          <w:p>
            <w:pPr>
              <w:pStyle w:val="Compact"/>
            </w:pPr>
            <w:r>
              <w:t xml:space="preserve">Regenera cache sem erro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30" w:name="t43-notificação-de-evento"/>
    <w:p>
      <w:pPr>
        <w:pStyle w:val="Heading2"/>
      </w:pPr>
      <w:r>
        <w:t xml:space="preserve">3. T43 — Notificação de Evento</w:t>
      </w:r>
    </w:p>
    <w:bookmarkStart w:id="17" w:name="infraestrutura-permissões-caexn-1"/>
    <w:p>
      <w:pPr>
        <w:pStyle w:val="Heading3"/>
      </w:pPr>
      <w:r>
        <w:t xml:space="preserve">3.1 Infraestrutura / Permissões (CAEXN)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T43-01</w:t>
            </w:r>
          </w:p>
        </w:tc>
        <w:tc>
          <w:tcPr/>
          <w:p>
            <w:pPr>
              <w:pStyle w:val="Compact"/>
            </w:pPr>
            <w:r>
              <w:t xml:space="preserve">Acesso negado (fail-closed)</w:t>
            </w:r>
          </w:p>
        </w:tc>
        <w:tc>
          <w:tcPr/>
          <w:p>
            <w:pPr>
              <w:pStyle w:val="Compact"/>
            </w:pPr>
            <w:r>
              <w:t xml:space="preserve">vw_semacesso, sem exibir nada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T43-02</w:t>
            </w:r>
          </w:p>
        </w:tc>
        <w:tc>
          <w:tcPr/>
          <w:p>
            <w:pPr>
              <w:pStyle w:val="Compact"/>
            </w:pPr>
            <w:r>
              <w:t xml:space="preserve">Perfil só C tenta acessar add/selecionaProdutos/store/delete via URL direta</w:t>
            </w:r>
          </w:p>
        </w:tc>
        <w:tc>
          <w:tcPr/>
          <w:p>
            <w:pPr>
              <w:pStyle w:val="Compact"/>
            </w:pPr>
            <w:r>
              <w:t xml:space="preserve">Bloqueado no back mesmo sem botão na UI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T43-03</w:t>
            </w:r>
          </w:p>
        </w:tc>
        <w:tc>
          <w:tcPr/>
          <w:p>
            <w:pPr>
              <w:pStyle w:val="Compact"/>
            </w:pPr>
            <w:r>
              <w:t xml:space="preserve">Botão</w:t>
            </w:r>
            <w:r>
              <w:t xml:space="preserve"> </w:t>
            </w:r>
            <w:r>
              <w:t xml:space="preserve">“+”</w:t>
            </w:r>
            <w:r>
              <w:t xml:space="preserve"> </w:t>
            </w:r>
            <w:r>
              <w:t xml:space="preserve">na listagem</w:t>
            </w:r>
          </w:p>
        </w:tc>
        <w:tc>
          <w:tcPr/>
          <w:p>
            <w:pPr>
              <w:pStyle w:val="Compact"/>
            </w:pPr>
            <w:r>
              <w:t xml:space="preserve">Aparece só para perfil com permissão A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7"/>
    <w:bookmarkStart w:id="18" w:name="X48332c2f8827a30f5bb423830d08d889b92502d"/>
    <w:p>
      <w:pPr>
        <w:pStyle w:val="Heading3"/>
      </w:pPr>
      <w:r>
        <w:t xml:space="preserve">3.2 Integração automática T42→T43 e seleção de produtos (RN02.3, RN03.1)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T43-04</w:t>
            </w:r>
          </w:p>
        </w:tc>
        <w:tc>
          <w:tcPr/>
          <w:p>
            <w:pPr>
              <w:pStyle w:val="Compact"/>
            </w:pPr>
            <w:r>
              <w:t xml:space="preserve">Só T42 Concluídos aparecem disponíveis</w:t>
            </w:r>
          </w:p>
        </w:tc>
        <w:tc>
          <w:tcPr/>
          <w:p>
            <w:pPr>
              <w:pStyle w:val="Compact"/>
            </w:pPr>
            <w:r>
              <w:t xml:space="preserve">Ter registros T42 Pendente e Concluído</w:t>
            </w:r>
          </w:p>
        </w:tc>
        <w:tc>
          <w:tcPr/>
          <w:p>
            <w:pPr>
              <w:pStyle w:val="Compact"/>
            </w:pPr>
            <w:r>
              <w:t xml:space="preserve">Só os Concluídos e ainda não vinculados aparecem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T43-05</w:t>
            </w:r>
          </w:p>
        </w:tc>
        <w:tc>
          <w:tcPr/>
          <w:p>
            <w:pPr>
              <w:pStyle w:val="Compact"/>
            </w:pPr>
            <w:r>
              <w:t xml:space="preserve">Produto já vinculado não aparece de novo</w:t>
            </w:r>
          </w:p>
        </w:tc>
        <w:tc>
          <w:tcPr/>
          <w:p>
            <w:pPr>
              <w:pStyle w:val="Compact"/>
            </w:pPr>
            <w:r>
              <w:t xml:space="preserve">Vincular ndv_id a uma notificação, abrir add() novamente</w:t>
            </w:r>
          </w:p>
        </w:tc>
        <w:tc>
          <w:tcPr/>
          <w:p>
            <w:pPr>
              <w:pStyle w:val="Compact"/>
            </w:pPr>
            <w:r>
              <w:t xml:space="preserve">Não aparece mais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T43-06</w:t>
            </w:r>
          </w:p>
        </w:tc>
        <w:tc>
          <w:tcPr/>
          <w:p>
            <w:pPr>
              <w:pStyle w:val="Compact"/>
            </w:pPr>
            <w:r>
              <w:t xml:space="preserve">Pré-seleção por</w:t>
            </w:r>
            <w:r>
              <w:t xml:space="preserve"> </w:t>
            </w:r>
            <w:r>
              <w:t xml:space="preserve">“mesmo fabricante”</w:t>
            </w:r>
          </w:p>
        </w:tc>
        <w:tc>
          <w:tcPr/>
          <w:p>
            <w:pPr>
              <w:pStyle w:val="Compact"/>
            </w:pPr>
            <w:r>
              <w:t xml:space="preserve">Abrir add() com disponíveis de 2+ fabricantes</w:t>
            </w:r>
          </w:p>
        </w:tc>
        <w:tc>
          <w:tcPr/>
          <w:p>
            <w:pPr>
              <w:pStyle w:val="Compact"/>
            </w:pPr>
            <w:r>
              <w:t xml:space="preserve">Validar semântica exata de RN03.1 — reportar se divergir do documento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T43-07</w:t>
            </w:r>
          </w:p>
        </w:tc>
        <w:tc>
          <w:tcPr/>
          <w:p>
            <w:pPr>
              <w:pStyle w:val="Compact"/>
            </w:pPr>
            <w:r>
              <w:t xml:space="preserve">Nenhum disponível</w:t>
            </w:r>
          </w:p>
        </w:tc>
        <w:tc>
          <w:tcPr/>
          <w:p>
            <w:pPr>
              <w:pStyle w:val="Compact"/>
            </w:pPr>
            <w:r>
              <w:t xml:space="preserve">Sem T42 Concluído/não vinculado</w:t>
            </w:r>
          </w:p>
        </w:tc>
        <w:tc>
          <w:tcPr/>
          <w:p>
            <w:pPr>
              <w:pStyle w:val="Compact"/>
            </w:pPr>
            <w:r>
              <w:t xml:space="preserve">Mensagem de negócio via boxAlert, não tela vazia/erro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T43-08</w:t>
            </w:r>
          </w:p>
        </w:tc>
        <w:tc>
          <w:tcPr/>
          <w:p>
            <w:pPr>
              <w:pStyle w:val="Compact"/>
            </w:pPr>
            <w:r>
              <w:t xml:space="preserve">Coluna</w:t>
            </w:r>
            <w:r>
              <w:t xml:space="preserve"> </w:t>
            </w:r>
            <w:r>
              <w:t xml:space="preserve">“Usuário”</w:t>
            </w:r>
            <w:r>
              <w:t xml:space="preserve"> </w:t>
            </w:r>
            <w:r>
              <w:t xml:space="preserve">na seleção</w:t>
            </w:r>
          </w:p>
        </w:tc>
        <w:tc>
          <w:tcPr/>
          <w:p>
            <w:pPr>
              <w:pStyle w:val="Compact"/>
            </w:pPr>
            <w:r>
              <w:t xml:space="preserve">Conferir nome exibido</w:t>
            </w:r>
          </w:p>
        </w:tc>
        <w:tc>
          <w:tcPr/>
          <w:p>
            <w:pPr>
              <w:pStyle w:val="Compact"/>
            </w:pPr>
            <w:r>
              <w:t xml:space="preserve">Resolvido via log de T11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18"/>
    <w:bookmarkStart w:id="19" w:name="X5992af3cd784229948e191b11a94040d598a5cb"/>
    <w:p>
      <w:pPr>
        <w:pStyle w:val="Heading3"/>
      </w:pPr>
      <w:r>
        <w:t xml:space="preserve">3.3 Cenário de corrida — RN03.1 (exigência explícita do byarq)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T43-09</w:t>
            </w:r>
          </w:p>
        </w:tc>
        <w:tc>
          <w:tcPr/>
          <w:p>
            <w:pPr>
              <w:pStyle w:val="Compact"/>
            </w:pPr>
            <w:r>
              <w:t xml:space="preserve">Duas abas selecionam o mesmo ndv_id simultaneamente</w:t>
            </w:r>
          </w:p>
        </w:tc>
        <w:tc>
          <w:tcPr/>
          <w:p>
            <w:pPr>
              <w:pStyle w:val="Compact"/>
            </w:pPr>
            <w:r>
              <w:t xml:space="preserve">2 sessões, mesmo produto, store() em paralelo</w:t>
            </w:r>
          </w:p>
        </w:tc>
        <w:tc>
          <w:tcPr/>
          <w:p>
            <w:pPr>
              <w:pStyle w:val="Compact"/>
            </w:pPr>
            <w:r>
              <w:t xml:space="preserve">Uma grava com sucesso; outra recebe mensagem de negócio clara via boxAlert, NUNCA erro de SQL cru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T43-10</w:t>
            </w:r>
          </w:p>
        </w:tc>
        <w:tc>
          <w:tcPr/>
          <w:p>
            <w:pPr>
              <w:pStyle w:val="Compact"/>
            </w:pPr>
            <w:r>
              <w:t xml:space="preserve">Janela exata entre validaDisponibilidade() e insertReg()</w:t>
            </w:r>
          </w:p>
        </w:tc>
        <w:tc>
          <w:tcPr/>
          <w:p>
            <w:pPr>
              <w:pStyle w:val="Compact"/>
            </w:pPr>
            <w:r>
              <w:t xml:space="preserve">Forçar ambas transações chegarem ao insertReg() antes do commit da primeira</w:t>
            </w:r>
          </w:p>
        </w:tc>
        <w:tc>
          <w:tcPr/>
          <w:p>
            <w:pPr>
              <w:pStyle w:val="Compact"/>
            </w:pPr>
            <w:r>
              <w:t xml:space="preserve">Confirmar se o catch genérico de NotifEvento::store() deixa vazar mensagem técnica de SQL quando a UNIQUE KEY barra o INSERT — bug real se vazar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T43-11</w:t>
            </w:r>
          </w:p>
        </w:tc>
        <w:tc>
          <w:tcPr/>
          <w:p>
            <w:pPr>
              <w:pStyle w:val="Compact"/>
            </w:pPr>
            <w:r>
              <w:t xml:space="preserve">Mesmo teste com DBDebug=false (produção)</w:t>
            </w:r>
          </w:p>
        </w:tc>
        <w:tc>
          <w:tcPr/>
          <w:p>
            <w:pPr>
              <w:pStyle w:val="Compact"/>
            </w:pPr>
            <w:r>
              <w:t xml:space="preserve">Repetir T43-09/10 com debug de banco desligado</w:t>
            </w:r>
          </w:p>
        </w:tc>
        <w:tc>
          <w:tcPr/>
          <w:p>
            <w:pPr>
              <w:pStyle w:val="Compact"/>
            </w:pPr>
            <w:r>
              <w:t xml:space="preserve">Documentar diferença de comportamento dev × produção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T43-12</w:t>
            </w:r>
          </w:p>
        </w:tc>
        <w:tc>
          <w:tcPr/>
          <w:p>
            <w:pPr>
              <w:pStyle w:val="Compact"/>
            </w:pPr>
            <w:r>
              <w:t xml:space="preserve">Duplo clique no botão Salvar (mesma aba)</w:t>
            </w:r>
          </w:p>
        </w:tc>
        <w:tc>
          <w:tcPr/>
          <w:p>
            <w:pPr>
              <w:pStyle w:val="Compact"/>
            </w:pPr>
            <w:r>
              <w:t xml:space="preserve">Clicar Salvar duas vezes rapidamente</w:t>
            </w:r>
          </w:p>
        </w:tc>
        <w:tc>
          <w:tcPr/>
          <w:p>
            <w:pPr>
              <w:pStyle w:val="Compact"/>
            </w:pPr>
            <w:r>
              <w:t xml:space="preserve">Front deve bloquear reenvio (debounce); se não, cai no caminho de corrida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9"/>
    <w:bookmarkStart w:id="20" w:name="aba-1-dados-gerais-rn03.2rn03.13"/>
    <w:p>
      <w:pPr>
        <w:pStyle w:val="Heading3"/>
      </w:pPr>
      <w:r>
        <w:t xml:space="preserve">3.4 Aba 1 — Dados Gerais (RN03.2–RN03.13)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Dado de entrada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T43-13</w:t>
            </w:r>
          </w:p>
        </w:tc>
        <w:tc>
          <w:tcPr/>
          <w:p>
            <w:pPr>
              <w:pStyle w:val="Compact"/>
            </w:pPr>
            <w:r>
              <w:t xml:space="preserve">Grid de produtos read-only via JOIN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Campos não editáveis, vindos de T42/T11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T43-14</w:t>
            </w:r>
          </w:p>
        </w:tc>
        <w:tc>
          <w:tcPr/>
          <w:p>
            <w:pPr>
              <w:pStyle w:val="Compact"/>
            </w:pPr>
            <w:r>
              <w:t xml:space="preserve">nvp_defeito — valor inicial copiado, editável</w:t>
            </w:r>
          </w:p>
        </w:tc>
        <w:tc>
          <w:tcPr/>
          <w:p>
            <w:pPr>
              <w:pStyle w:val="Compact"/>
            </w:pPr>
            <w:r>
              <w:t xml:space="preserve">Abrir selecionaProdutos()</w:t>
            </w:r>
          </w:p>
        </w:tc>
        <w:tc>
          <w:tcPr/>
          <w:p>
            <w:pPr>
              <w:pStyle w:val="Compact"/>
            </w:pPr>
            <w:r>
              <w:t xml:space="preserve">Nasce preenchido com texto de T42, mas alterável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T43-15</w:t>
            </w:r>
          </w:p>
        </w:tc>
        <w:tc>
          <w:tcPr/>
          <w:p>
            <w:pPr>
              <w:pStyle w:val="Compact"/>
            </w:pPr>
            <w:r>
              <w:t xml:space="preserve">nvp_defeito obrigatório, 5–200, por linha</w:t>
            </w:r>
          </w:p>
        </w:tc>
        <w:tc>
          <w:tcPr/>
          <w:p>
            <w:pPr>
              <w:pStyle w:val="Compact"/>
            </w:pPr>
            <w:r>
              <w:t xml:space="preserve">vazio, 4, 5, 200, 201 chars, múltiplas linhas</w:t>
            </w:r>
          </w:p>
        </w:tc>
        <w:tc>
          <w:tcPr/>
          <w:p>
            <w:pPr>
              <w:pStyle w:val="Compact"/>
            </w:pPr>
            <w:r>
              <w:t xml:space="preserve">Conforme limites, validado por linha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T43-16</w:t>
            </w:r>
          </w:p>
        </w:tc>
        <w:tc>
          <w:tcPr/>
          <w:p>
            <w:pPr>
              <w:pStyle w:val="Compact"/>
            </w:pPr>
            <w:r>
              <w:t xml:space="preserve">nev_qtd_adquirida obrigatório, numérico, até 5 dígitos</w:t>
            </w:r>
          </w:p>
        </w:tc>
        <w:tc>
          <w:tcPr/>
          <w:p>
            <w:pPr>
              <w:pStyle w:val="Compact"/>
            </w:pPr>
            <w:r>
              <w:t xml:space="preserve">’’,</w:t>
            </w:r>
            <w:r>
              <w:t xml:space="preserve"> </w:t>
            </w:r>
            <w:r>
              <w:t xml:space="preserve">“abc”</w:t>
            </w:r>
            <w:r>
              <w:t xml:space="preserve">, 12345, 123456</w:t>
            </w:r>
          </w:p>
        </w:tc>
        <w:tc>
          <w:tcPr/>
          <w:p>
            <w:pPr>
              <w:pStyle w:val="Compact"/>
            </w:pPr>
            <w:r>
              <w:t xml:space="preserve">Conforme limites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T43-17</w:t>
            </w:r>
          </w:p>
        </w:tc>
        <w:tc>
          <w:tcPr/>
          <w:p>
            <w:pPr>
              <w:pStyle w:val="Compact"/>
            </w:pPr>
            <w:r>
              <w:t xml:space="preserve">nev_numero_nf obrigatório, numérico, até 20 dígitos</w:t>
            </w:r>
          </w:p>
        </w:tc>
        <w:tc>
          <w:tcPr/>
          <w:p>
            <w:pPr>
              <w:pStyle w:val="Compact"/>
            </w:pPr>
            <w:r>
              <w:t xml:space="preserve">’’, 21 dígitos, 20 dígitos</w:t>
            </w:r>
          </w:p>
        </w:tc>
        <w:tc>
          <w:tcPr/>
          <w:p>
            <w:pPr>
              <w:pStyle w:val="Compact"/>
            </w:pPr>
            <w:r>
              <w:t xml:space="preserve">Conforme limites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T43-18</w:t>
            </w:r>
          </w:p>
        </w:tc>
        <w:tc>
          <w:tcPr/>
          <w:p>
            <w:pPr>
              <w:pStyle w:val="Compact"/>
            </w:pPr>
            <w:r>
              <w:t xml:space="preserve">nev_fornecedor obrigatório, texto 5–200</w:t>
            </w:r>
          </w:p>
        </w:tc>
        <w:tc>
          <w:tcPr/>
          <w:p>
            <w:pPr>
              <w:pStyle w:val="Compact"/>
            </w:pPr>
            <w:r>
              <w:t xml:space="preserve">’’, 4, 5, 200, 201 chars</w:t>
            </w:r>
          </w:p>
        </w:tc>
        <w:tc>
          <w:tcPr/>
          <w:p>
            <w:pPr>
              <w:pStyle w:val="Compact"/>
            </w:pPr>
            <w:r>
              <w:t xml:space="preserve">Conforme limites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T43-19</w:t>
            </w:r>
          </w:p>
        </w:tc>
        <w:tc>
          <w:tcPr/>
          <w:p>
            <w:pPr>
              <w:pStyle w:val="Compact"/>
            </w:pPr>
            <w:r>
              <w:t xml:space="preserve">nev_fabricacao obrigatório, data válida</w:t>
            </w:r>
          </w:p>
        </w:tc>
        <w:tc>
          <w:tcPr/>
          <w:p>
            <w:pPr>
              <w:pStyle w:val="Compact"/>
            </w:pPr>
            <w:r>
              <w:t xml:space="preserve">’’, data inválida, data válida</w:t>
            </w:r>
          </w:p>
        </w:tc>
        <w:tc>
          <w:tcPr/>
          <w:p>
            <w:pPr>
              <w:pStyle w:val="Compact"/>
            </w:pPr>
            <w:r>
              <w:t xml:space="preserve">Vazio/inválida → erro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T43-20</w:t>
            </w:r>
          </w:p>
        </w:tc>
        <w:tc>
          <w:tcPr/>
          <w:p>
            <w:pPr>
              <w:pStyle w:val="Compact"/>
            </w:pPr>
            <w:r>
              <w:t xml:space="preserve">Notificação com muitos produtos (grid grande)</w:t>
            </w:r>
          </w:p>
        </w:tc>
        <w:tc>
          <w:tcPr/>
          <w:p>
            <w:pPr>
              <w:pStyle w:val="Compact"/>
            </w:pPr>
            <w:r>
              <w:t xml:space="preserve">20+ produtos de uma vez</w:t>
            </w:r>
          </w:p>
        </w:tc>
        <w:tc>
          <w:tcPr/>
          <w:p>
            <w:pPr>
              <w:pStyle w:val="Compact"/>
            </w:pPr>
            <w:r>
              <w:t xml:space="preserve">Renderiza tudo, sem perda de dado no submit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0"/>
    <w:bookmarkStart w:id="21" w:name="X21bdf024631799219de2720ad33bbf62f819493"/>
    <w:p>
      <w:pPr>
        <w:pStyle w:val="Heading3"/>
      </w:pPr>
      <w:r>
        <w:t xml:space="preserve">3.5 GROUP_CONCAT / truncamento na listagem (exigência explícita do byarq)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T43-21</w:t>
            </w:r>
          </w:p>
        </w:tc>
        <w:tc>
          <w:tcPr/>
          <w:p>
            <w:pPr>
              <w:pStyle w:val="Compact"/>
            </w:pPr>
            <w:r>
              <w:t xml:space="preserve">Volume realista de produtos por notificação</w:t>
            </w:r>
          </w:p>
        </w:tc>
        <w:tc>
          <w:tcPr/>
          <w:p>
            <w:pPr>
              <w:pStyle w:val="Compact"/>
            </w:pPr>
            <w:r>
              <w:t xml:space="preserve">10–30 produtos, nomes 30–50 chars cada</w:t>
            </w:r>
          </w:p>
        </w:tc>
        <w:tc>
          <w:tcPr/>
          <w:p>
            <w:pPr>
              <w:pStyle w:val="Compact"/>
            </w:pPr>
            <w:r>
              <w:t xml:space="preserve">resumeListaComTooltip() monta corretamente, sem string cortada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T43-22</w:t>
            </w:r>
          </w:p>
        </w:tc>
        <w:tc>
          <w:tcPr/>
          <w:p>
            <w:pPr>
              <w:pStyle w:val="Compact"/>
            </w:pPr>
            <w:r>
              <w:t xml:space="preserve">Forçar truncamento por group_concat_max_len</w:t>
            </w:r>
          </w:p>
        </w:tc>
        <w:tc>
          <w:tcPr/>
          <w:p>
            <w:pPr>
              <w:pStyle w:val="Compact"/>
            </w:pPr>
            <w:r>
              <w:t xml:space="preserve">Reduzir group_concat_max_len para valor baixo (1024) e repetir</w:t>
            </w:r>
          </w:p>
        </w:tc>
        <w:tc>
          <w:tcPr/>
          <w:p>
            <w:pPr>
              <w:pStyle w:val="Compact"/>
            </w:pPr>
            <w:r>
              <w:t xml:space="preserve">Verificar se GROUP_CONCAT trunca no meio de um nome/separador, quebrando o explode()</w:t>
            </w:r>
          </w:p>
        </w:tc>
        <w:tc>
          <w:tcPr/>
          <w:p>
            <w:pPr>
              <w:pStyle w:val="Compact"/>
            </w:pPr>
            <w:r>
              <w:t xml:space="preserve">P0 se reproduzir com valor default do servidor de produção; P2 se só com valor artificialmente baixo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T43-23</w:t>
            </w:r>
          </w:p>
        </w:tc>
        <w:tc>
          <w:tcPr/>
          <w:p>
            <w:pPr>
              <w:pStyle w:val="Compact"/>
            </w:pPr>
            <w:r>
              <w:t xml:space="preserve">Conferir group_concat_max_len real (dev/produção)</w:t>
            </w:r>
          </w:p>
        </w:tc>
        <w:tc>
          <w:tcPr/>
          <w:p>
            <w:pPr>
              <w:pStyle w:val="Compact"/>
            </w:pPr>
            <w:r>
              <w:t xml:space="preserve">SHOW VARIABLES LIKE</w:t>
            </w:r>
            <w:r>
              <w:t xml:space="preserve"> </w:t>
            </w:r>
            <w:r>
              <w:t xml:space="preserve">‘group_concat_max_len’</w:t>
            </w:r>
          </w:p>
        </w:tc>
        <w:tc>
          <w:tcPr/>
          <w:p>
            <w:pPr>
              <w:pStyle w:val="Compact"/>
            </w:pPr>
            <w:r>
              <w:t xml:space="preserve">Documentar valor; sinalizar risco se baixo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T43-24</w:t>
            </w:r>
          </w:p>
        </w:tc>
        <w:tc>
          <w:tcPr/>
          <w:p>
            <w:pPr>
              <w:pStyle w:val="Compact"/>
            </w:pPr>
            <w:r>
              <w:t xml:space="preserve">Separador</w:t>
            </w:r>
            <w:r>
              <w:t xml:space="preserve"> </w:t>
            </w:r>
            <w:r>
              <w:t xml:space="preserve">1F literal em nome de produto/lote</w:t>
            </w:r>
          </w:p>
        </w:tc>
        <w:tc>
          <w:tcPr/>
          <w:p>
            <w:pPr>
              <w:pStyle w:val="Compact"/>
            </w:pPr>
            <w:r>
              <w:t xml:space="preserve">Produto/lote com esse caractere no nome</w:t>
            </w:r>
          </w:p>
        </w:tc>
        <w:tc>
          <w:tcPr/>
          <w:p>
            <w:pPr>
              <w:pStyle w:val="Compact"/>
            </w:pPr>
            <w:r>
              <w:t xml:space="preserve">Comportamento indefinido esperado — reportar como limitação conhecida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21"/>
    <w:bookmarkStart w:id="22" w:name="X980491d448199c8583d6eefbb3883f021d3ccca"/>
    <w:p>
      <w:pPr>
        <w:pStyle w:val="Heading3"/>
      </w:pPr>
      <w:r>
        <w:t xml:space="preserve">3.6 Aba 2 — Providências (RN03.14–16) e Aba 3 — Parecer Final (RN03.17–20)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Dado de entrada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T43-25</w:t>
            </w:r>
          </w:p>
        </w:tc>
        <w:tc>
          <w:tcPr/>
          <w:p>
            <w:pPr>
              <w:pStyle w:val="Compact"/>
            </w:pPr>
            <w:r>
              <w:t xml:space="preserve">nev_providencias obrigatório, 5–500</w:t>
            </w:r>
          </w:p>
        </w:tc>
        <w:tc>
          <w:tcPr/>
          <w:p>
            <w:pPr>
              <w:pStyle w:val="Compact"/>
            </w:pPr>
            <w:r>
              <w:t xml:space="preserve">vazio, 4, 5, 500, 501</w:t>
            </w:r>
          </w:p>
        </w:tc>
        <w:tc>
          <w:tcPr/>
          <w:p>
            <w:pPr>
              <w:pStyle w:val="Compact"/>
            </w:pPr>
            <w:r>
              <w:t xml:space="preserve">Conforme limites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T43-26</w:t>
            </w:r>
          </w:p>
        </w:tc>
        <w:tc>
          <w:tcPr/>
          <w:p>
            <w:pPr>
              <w:pStyle w:val="Compact"/>
            </w:pPr>
            <w:r>
              <w:t xml:space="preserve">nev_notificado obrigatório, 5–200</w:t>
            </w:r>
          </w:p>
        </w:tc>
        <w:tc>
          <w:tcPr/>
          <w:p>
            <w:pPr>
              <w:pStyle w:val="Compact"/>
            </w:pPr>
            <w:r>
              <w:t xml:space="preserve">vazio, 4, 5, 200, 201</w:t>
            </w:r>
          </w:p>
        </w:tc>
        <w:tc>
          <w:tcPr/>
          <w:p>
            <w:pPr>
              <w:pStyle w:val="Compact"/>
            </w:pPr>
            <w:r>
              <w:t xml:space="preserve">Conforme limites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T43-27</w:t>
            </w:r>
          </w:p>
        </w:tc>
        <w:tc>
          <w:tcPr/>
          <w:p>
            <w:pPr>
              <w:pStyle w:val="Compact"/>
            </w:pPr>
            <w:r>
              <w:t xml:space="preserve">nev_parecer obrigatório, 5–500</w:t>
            </w:r>
          </w:p>
        </w:tc>
        <w:tc>
          <w:tcPr/>
          <w:p>
            <w:pPr>
              <w:pStyle w:val="Compact"/>
            </w:pPr>
            <w:r>
              <w:t xml:space="preserve">vazio, 4, 5, 500, 501</w:t>
            </w:r>
          </w:p>
        </w:tc>
        <w:tc>
          <w:tcPr/>
          <w:p>
            <w:pPr>
              <w:pStyle w:val="Compact"/>
            </w:pPr>
            <w:r>
              <w:t xml:space="preserve">Conforme limites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T43-28</w:t>
            </w:r>
          </w:p>
        </w:tc>
        <w:tc>
          <w:tcPr/>
          <w:p>
            <w:pPr>
              <w:pStyle w:val="Compact"/>
            </w:pPr>
            <w:r>
              <w:t xml:space="preserve">Toggle nev_notivisa nasce desmarcado (bug corrigido)</w:t>
            </w:r>
          </w:p>
        </w:tc>
        <w:tc>
          <w:tcPr/>
          <w:p>
            <w:pPr>
              <w:pStyle w:val="Compact"/>
            </w:pPr>
            <w:r>
              <w:t xml:space="preserve">Abrir com registro nev_notivisa=</w:t>
            </w:r>
            <w:r>
              <w:t xml:space="preserve">‘N’</w:t>
            </w:r>
          </w:p>
        </w:tc>
        <w:tc>
          <w:tcPr/>
          <w:p>
            <w:pPr>
              <w:pStyle w:val="Compact"/>
            </w:pPr>
            <w:r>
              <w:t xml:space="preserve">Checkbox nasce desmarcado — validar regressão do fix recente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T43-29</w:t>
            </w:r>
          </w:p>
        </w:tc>
        <w:tc>
          <w:tcPr/>
          <w:p>
            <w:pPr>
              <w:pStyle w:val="Compact"/>
            </w:pPr>
            <w:r>
              <w:t xml:space="preserve">nev_notivisa_num obrigatório só se notivisa=S</w:t>
            </w:r>
          </w:p>
        </w:tc>
        <w:tc>
          <w:tcPr/>
          <w:p>
            <w:pPr>
              <w:pStyle w:val="Compact"/>
            </w:pPr>
            <w:r>
              <w:t xml:space="preserve">Marcar Sim sem número; 4 chars; 5-50 chars; Não vazio; Não preenchido</w:t>
            </w:r>
          </w:p>
        </w:tc>
        <w:tc>
          <w:tcPr/>
          <w:p>
            <w:pPr>
              <w:pStyle w:val="Compact"/>
            </w:pPr>
            <w:r>
              <w:t xml:space="preserve">Client exige só quando marcado; Server bloqueia mesmo bypassando client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T43-30</w:t>
            </w:r>
          </w:p>
        </w:tc>
        <w:tc>
          <w:tcPr/>
          <w:p>
            <w:pPr>
              <w:pStyle w:val="Compact"/>
            </w:pPr>
            <w:r>
              <w:t xml:space="preserve">Contorno client-side de RN03.19</w:t>
            </w:r>
          </w:p>
        </w:tc>
        <w:tc>
          <w:tcPr/>
          <w:p>
            <w:pPr>
              <w:pStyle w:val="Compact"/>
            </w:pPr>
            <w:r>
              <w:t xml:space="preserve">POST direto com notivisa=S e num ausente</w:t>
            </w:r>
          </w:p>
        </w:tc>
        <w:tc>
          <w:tcPr/>
          <w:p>
            <w:pPr>
              <w:pStyle w:val="Compact"/>
            </w:pPr>
            <w:r>
              <w:t xml:space="preserve">Bloqueado no server, não grava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T43-31</w:t>
            </w:r>
          </w:p>
        </w:tc>
        <w:tc>
          <w:tcPr/>
          <w:p>
            <w:pPr>
              <w:pStyle w:val="Compact"/>
            </w:pPr>
            <w:r>
              <w:t xml:space="preserve">Upload de anexo válido (Providências)</w:t>
            </w:r>
          </w:p>
        </w:tc>
        <w:tc>
          <w:tcPr/>
          <w:p>
            <w:pPr>
              <w:pStyle w:val="Compact"/>
            </w:pPr>
            <w:r>
              <w:t xml:space="preserve">.pdf/.png/.jpeg/.jpg reais</w:t>
            </w:r>
          </w:p>
        </w:tc>
        <w:tc>
          <w:tcPr/>
          <w:p>
            <w:pPr>
              <w:pStyle w:val="Compact"/>
            </w:pPr>
            <w:r>
              <w:t xml:space="preserve">Grava com nva_origem=</w:t>
            </w:r>
            <w:r>
              <w:t xml:space="preserve">‘PROVID’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T43-32</w:t>
            </w:r>
          </w:p>
        </w:tc>
        <w:tc>
          <w:tcPr/>
          <w:p>
            <w:pPr>
              <w:pStyle w:val="Compact"/>
            </w:pPr>
            <w:r>
              <w:t xml:space="preserve">Upload de anexo válido (Parecer Final)</w:t>
            </w:r>
          </w:p>
        </w:tc>
        <w:tc>
          <w:tcPr/>
          <w:p>
            <w:pPr>
              <w:pStyle w:val="Compact"/>
            </w:pPr>
            <w:r>
              <w:t xml:space="preserve">Mesmo, nva_origem=</w:t>
            </w:r>
            <w:r>
              <w:t xml:space="preserve">‘PARECER’</w:t>
            </w:r>
          </w:p>
        </w:tc>
        <w:tc>
          <w:tcPr/>
          <w:p>
            <w:pPr>
              <w:pStyle w:val="Compact"/>
            </w:pPr>
            <w:r>
              <w:t xml:space="preserve">Grava distinto do bloco Providências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T43-33</w:t>
            </w:r>
          </w:p>
        </w:tc>
        <w:tc>
          <w:tcPr/>
          <w:p>
            <w:pPr>
              <w:pStyle w:val="Compact"/>
            </w:pPr>
            <w:r>
              <w:t xml:space="preserve">Múltiplos anexos, adicionar/excluir linha antes de salvar</w:t>
            </w:r>
          </w:p>
        </w:tc>
        <w:tc>
          <w:tcPr/>
          <w:p>
            <w:pPr>
              <w:pStyle w:val="Compact"/>
            </w:pPr>
            <w:r>
              <w:t xml:space="preserve">3 linhas, remover 1</w:t>
            </w:r>
          </w:p>
        </w:tc>
        <w:tc>
          <w:tcPr/>
          <w:p>
            <w:pPr>
              <w:pStyle w:val="Compact"/>
            </w:pPr>
            <w:r>
              <w:t xml:space="preserve">Só 2 restantes são enviados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T43-34</w:t>
            </w:r>
          </w:p>
        </w:tc>
        <w:tc>
          <w:tcPr/>
          <w:p>
            <w:pPr>
              <w:pStyle w:val="Compact"/>
            </w:pPr>
            <w:r>
              <w:t xml:space="preserve">Excluir anexo já persistido (deleteAnexo)</w:t>
            </w:r>
          </w:p>
        </w:tc>
        <w:tc>
          <w:tcPr/>
          <w:p>
            <w:pPr>
              <w:pStyle w:val="Compact"/>
            </w:pPr>
            <w:r>
              <w:t xml:space="preserve">Clicar excluir em anexo salvo</w:t>
            </w:r>
          </w:p>
        </w:tc>
        <w:tc>
          <w:tcPr/>
          <w:p>
            <w:pPr>
              <w:pStyle w:val="Compact"/>
            </w:pPr>
            <w:r>
              <w:t xml:space="preserve">Confirmação via boxAlert, remove arquivo+linha; validar se deveria checar status antes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2"/>
    <w:bookmarkStart w:id="23" w:name="X4265f04ddeb9ee045dc5aec5291819073635892"/>
    <w:p>
      <w:pPr>
        <w:pStyle w:val="Heading3"/>
      </w:pPr>
      <w:r>
        <w:t xml:space="preserve">3.7 Upload disfarçado — extensão/MIME (exigência explícita do byarq)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T43-35</w:t>
            </w:r>
          </w:p>
        </w:tc>
        <w:tc>
          <w:tcPr/>
          <w:p>
            <w:pPr>
              <w:pStyle w:val="Compact"/>
            </w:pPr>
            <w:r>
              <w:t xml:space="preserve">.php renomeado para .pdf</w:t>
            </w:r>
          </w:p>
        </w:tc>
        <w:tc>
          <w:tcPr/>
          <w:p>
            <w:pPr>
              <w:pStyle w:val="Compact"/>
            </w:pPr>
            <w:r>
              <w:t xml:space="preserve">Upload via POST direto</w:t>
            </w:r>
          </w:p>
        </w:tc>
        <w:tc>
          <w:tcPr/>
          <w:p>
            <w:pPr>
              <w:pStyle w:val="Compact"/>
            </w:pPr>
            <w:r>
              <w:t xml:space="preserve">MIME real via finfo detecta, bloqueado, arquivo não movido para disco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T43-36</w:t>
            </w:r>
          </w:p>
        </w:tc>
        <w:tc>
          <w:tcPr/>
          <w:p>
            <w:pPr>
              <w:pStyle w:val="Compact"/>
            </w:pPr>
            <w:r>
              <w:t xml:space="preserve">.jpg renomeado para .pdf (mismatch extensão/mime)</w:t>
            </w:r>
          </w:p>
        </w:tc>
        <w:tc>
          <w:tcPr/>
          <w:p>
            <w:pPr>
              <w:pStyle w:val="Compact"/>
            </w:pPr>
            <w:r>
              <w:t xml:space="preserve">Renomear jpg legítimo</w:t>
            </w:r>
          </w:p>
        </w:tc>
        <w:tc>
          <w:tcPr/>
          <w:p>
            <w:pPr>
              <w:pStyle w:val="Compact"/>
            </w:pPr>
            <w:r>
              <w:t xml:space="preserve">Validar se a checagem atual (extensão E mime, mas não pareados) deixa passar essa combinação — reportar se passar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T43-37</w:t>
            </w:r>
          </w:p>
        </w:tc>
        <w:tc>
          <w:tcPr/>
          <w:p>
            <w:pPr>
              <w:pStyle w:val="Compact"/>
            </w:pPr>
            <w:r>
              <w:t xml:space="preserve">Extensão maiúscula (.PDF, .JPG)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Aceito (strtolower já usado)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T43-38</w:t>
            </w:r>
          </w:p>
        </w:tc>
        <w:tc>
          <w:tcPr/>
          <w:p>
            <w:pPr>
              <w:pStyle w:val="Compact"/>
            </w:pPr>
            <w:r>
              <w:t xml:space="preserve">Tipo não permitido (.exe, .docx, .zip)</w:t>
            </w:r>
          </w:p>
        </w:tc>
        <w:tc>
          <w:tcPr/>
          <w:p>
            <w:pPr>
              <w:pStyle w:val="Compact"/>
            </w:pPr>
            <w:r>
              <w:t xml:space="preserve">Upload direto</w:t>
            </w:r>
          </w:p>
        </w:tc>
        <w:tc>
          <w:tcPr/>
          <w:p>
            <w:pPr>
              <w:pStyle w:val="Compact"/>
            </w:pPr>
            <w:r>
              <w:t xml:space="preserve">Bloqueado por extensão e mime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T43-39</w:t>
            </w:r>
          </w:p>
        </w:tc>
        <w:tc>
          <w:tcPr/>
          <w:p>
            <w:pPr>
              <w:pStyle w:val="Compact"/>
            </w:pPr>
            <w:r>
              <w:t xml:space="preserve">Upload sem arquivo</w:t>
            </w:r>
          </w:p>
        </w:tc>
        <w:tc>
          <w:tcPr/>
          <w:p>
            <w:pPr>
              <w:pStyle w:val="Compact"/>
            </w:pPr>
            <w:r>
              <w:t xml:space="preserve">Submeter sem anexar</w:t>
            </w:r>
          </w:p>
        </w:tc>
        <w:tc>
          <w:tcPr/>
          <w:p>
            <w:pPr>
              <w:pStyle w:val="Compact"/>
            </w:pPr>
            <w:r>
              <w:t xml:space="preserve">Não obrigatório, grava normalmente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23"/>
    <w:bookmarkStart w:id="24" w:name="aba-4-ações-rn03.21-rn03.22"/>
    <w:p>
      <w:pPr>
        <w:pStyle w:val="Heading3"/>
      </w:pPr>
      <w:r>
        <w:t xml:space="preserve">3.8 Aba 4 — Ações (RN03.21, RN03.22)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T43-40</w:t>
            </w:r>
          </w:p>
        </w:tc>
        <w:tc>
          <w:tcPr/>
          <w:p>
            <w:pPr>
              <w:pStyle w:val="Compact"/>
            </w:pPr>
            <w:r>
              <w:t xml:space="preserve">Ação obrigatória, múltiplas linhas</w:t>
            </w:r>
          </w:p>
        </w:tc>
        <w:tc>
          <w:tcPr/>
          <w:p>
            <w:pPr>
              <w:pStyle w:val="Compact"/>
            </w:pPr>
            <w:r>
              <w:t xml:space="preserve">Salvar sem nenhuma ação cadastrada</w:t>
            </w:r>
          </w:p>
        </w:tc>
        <w:tc>
          <w:tcPr/>
          <w:p>
            <w:pPr>
              <w:pStyle w:val="Compact"/>
            </w:pPr>
            <w:r>
              <w:t xml:space="preserve">Validar se RN03.21 é de fato bloqueado — hoje pode não haver checagem explícita de</w:t>
            </w:r>
            <w:r>
              <w:t xml:space="preserve"> </w:t>
            </w:r>
            <w:r>
              <w:t xml:space="preserve">“pelo menos 1 ação”</w:t>
            </w:r>
            <w:r>
              <w:t xml:space="preserve"> </w:t>
            </w:r>
            <w:r>
              <w:t xml:space="preserve">— reportar se salvar sem ação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T43-41</w:t>
            </w:r>
          </w:p>
        </w:tc>
        <w:tc>
          <w:tcPr/>
          <w:p>
            <w:pPr>
              <w:pStyle w:val="Compact"/>
            </w:pPr>
            <w:r>
              <w:t xml:space="preserve">Adicionar/excluir linha de ação</w:t>
            </w:r>
          </w:p>
        </w:tc>
        <w:tc>
          <w:tcPr/>
          <w:p>
            <w:pPr>
              <w:pStyle w:val="Compact"/>
            </w:pPr>
            <w:r>
              <w:t xml:space="preserve">addCampoAcao/bt-repete</w:t>
            </w:r>
          </w:p>
        </w:tc>
        <w:tc>
          <w:tcPr/>
          <w:p>
            <w:pPr>
              <w:pStyle w:val="Compact"/>
            </w:pPr>
            <w:r>
              <w:t xml:space="preserve">Novas linhas ok; campos condicionais aparecem conforme tpa_tipo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T43-42</w:t>
            </w:r>
          </w:p>
        </w:tc>
        <w:tc>
          <w:tcPr/>
          <w:p>
            <w:pPr>
              <w:pStyle w:val="Compact"/>
            </w:pPr>
            <w:r>
              <w:t xml:space="preserve">Execução sequencial por nac_ordem</w:t>
            </w:r>
          </w:p>
        </w:tc>
        <w:tc>
          <w:tcPr/>
          <w:p>
            <w:pPr>
              <w:pStyle w:val="Compact"/>
            </w:pPr>
            <w:r>
              <w:t xml:space="preserve">3 ações fora de ordem de digitação</w:t>
            </w:r>
          </w:p>
        </w:tc>
        <w:tc>
          <w:tcPr/>
          <w:p>
            <w:pPr>
              <w:pStyle w:val="Compact"/>
            </w:pPr>
            <w:r>
              <w:t xml:space="preserve">Executa na sequência de nac_ordem, não na ordem de digitação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T43-43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  <w:r>
              <w:t xml:space="preserve"> </w:t>
            </w:r>
            <w:r>
              <w:t xml:space="preserve">“Alterar Status”</w:t>
            </w:r>
            <w:r>
              <w:t xml:space="preserve"> </w:t>
            </w:r>
            <w:r>
              <w:t xml:space="preserve">(tpa_tipo=4)</w:t>
            </w:r>
          </w:p>
        </w:tc>
        <w:tc>
          <w:tcPr/>
          <w:p>
            <w:pPr>
              <w:pStyle w:val="Compact"/>
            </w:pPr>
            <w:r>
              <w:t xml:space="preserve">Cadastrar com stt_id</w:t>
            </w:r>
          </w:p>
        </w:tc>
        <w:tc>
          <w:tcPr/>
          <w:p>
            <w:pPr>
              <w:pStyle w:val="Compact"/>
            </w:pPr>
            <w:r>
              <w:t xml:space="preserve">Só registra, sem efeito colateral extra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T43-44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  <w:r>
              <w:t xml:space="preserve"> </w:t>
            </w:r>
            <w:r>
              <w:t xml:space="preserve">“Justificar”</w:t>
            </w:r>
            <w:r>
              <w:t xml:space="preserve">/</w:t>
            </w:r>
            <w:r>
              <w:t xml:space="preserve">“Abrir Tela”</w:t>
            </w:r>
            <w:r>
              <w:t xml:space="preserve"> </w:t>
            </w:r>
            <w:r>
              <w:t xml:space="preserve">(tpa_tipo 1/2)</w:t>
            </w:r>
          </w:p>
        </w:tc>
        <w:tc>
          <w:tcPr/>
          <w:p>
            <w:pPr>
              <w:pStyle w:val="Compact"/>
            </w:pPr>
            <w:r>
              <w:t xml:space="preserve">Cadastrar</w:t>
            </w:r>
          </w:p>
        </w:tc>
        <w:tc>
          <w:tcPr/>
          <w:p>
            <w:pPr>
              <w:pStyle w:val="Compact"/>
            </w:pPr>
            <w:r>
              <w:t xml:space="preserve">Sem efeito colateral, só registro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24"/>
    <w:bookmarkStart w:id="25" w:name="Xc810572e221f2e67a98c28767ed99f03ef3a392"/>
    <w:p>
      <w:pPr>
        <w:pStyle w:val="Heading3"/>
      </w:pPr>
      <w:r>
        <w:t xml:space="preserve">3.9 RN03.22 — Geração de movimentação por produto (exigência explícita do byarq)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T43-45</w:t>
            </w:r>
          </w:p>
        </w:tc>
        <w:tc>
          <w:tcPr/>
          <w:p>
            <w:pPr>
              <w:pStyle w:val="Compact"/>
            </w:pPr>
            <w:r>
              <w:t xml:space="preserve">Iteração por produto/lote (dry-run/mock)</w:t>
            </w:r>
          </w:p>
        </w:tc>
        <w:tc>
          <w:tcPr/>
          <w:p>
            <w:pPr>
              <w:pStyle w:val="Compact"/>
            </w:pPr>
            <w:r>
              <w:t xml:space="preserve">Mockar geraMovimentoRequisicoes(), 3+ produtos, ação Gerar Movimentação</w:t>
            </w:r>
          </w:p>
        </w:tc>
        <w:tc>
          <w:tcPr/>
          <w:p>
            <w:pPr>
              <w:pStyle w:val="Compact"/>
            </w:pPr>
            <w:r>
              <w:t xml:space="preserve">Array com 1 entrada por produto, valores corretos por linha</w:t>
            </w:r>
          </w:p>
        </w:tc>
        <w:tc>
          <w:tcPr/>
          <w:p>
            <w:pPr>
              <w:pStyle w:val="Compact"/>
            </w:pPr>
            <w:r>
              <w:t xml:space="preserve">P0 (lógica)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T43-46</w:t>
            </w:r>
          </w:p>
        </w:tc>
        <w:tc>
          <w:tcPr/>
          <w:p>
            <w:pPr>
              <w:pStyle w:val="Compact"/>
            </w:pPr>
            <w:r>
              <w:t xml:space="preserve">Chamada real a geraMovimentoRequisicoes() — SOAP com ERP</w:t>
            </w:r>
          </w:p>
        </w:tc>
        <w:tc>
          <w:tcPr/>
          <w:p>
            <w:pPr>
              <w:pStyle w:val="Compact"/>
            </w:pPr>
            <w:r>
              <w:t xml:space="preserve">NÃO EXECUTAR sem coordenação prévia com o usuário e ambiente controlado (homologação, nunca produção)</w:t>
            </w:r>
          </w:p>
        </w:tc>
        <w:tc>
          <w:tcPr/>
          <w:p>
            <w:pPr>
              <w:pStyle w:val="Compact"/>
            </w:pPr>
            <w:r>
              <w:t xml:space="preserve">Quando autorizado: movimentação real corresponde 1:1; SoapFault tratado com rollback</w:t>
            </w:r>
          </w:p>
        </w:tc>
        <w:tc>
          <w:tcPr/>
          <w:p>
            <w:pPr>
              <w:pStyle w:val="Compact"/>
            </w:pPr>
            <w:r>
              <w:t xml:space="preserve">P0 — EXECUTAR COM CUIDADO, coordenar com usuário 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T43-47</w:t>
            </w:r>
          </w:p>
        </w:tc>
        <w:tc>
          <w:tcPr/>
          <w:p>
            <w:pPr>
              <w:pStyle w:val="Compact"/>
            </w:pPr>
            <w:r>
              <w:t xml:space="preserve">Idempotência — não duplicar movimentação</w:t>
            </w:r>
          </w:p>
        </w:tc>
        <w:tc>
          <w:tcPr/>
          <w:p>
            <w:pPr>
              <w:pStyle w:val="Compact"/>
            </w:pPr>
            <w:r>
              <w:t xml:space="preserve">Repetir store() para o mesmo nev_id</w:t>
            </w:r>
          </w:p>
        </w:tc>
        <w:tc>
          <w:tcPr/>
          <w:p>
            <w:pPr>
              <w:pStyle w:val="Compact"/>
            </w:pPr>
            <w:r>
              <w:t xml:space="preserve">Não existe caminho que reexecute a movimentação duas vezes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5"/>
    <w:bookmarkStart w:id="26" w:name="X7a08793f41ba02e53060b191111d304efc027e9"/>
    <w:p>
      <w:pPr>
        <w:pStyle w:val="Heading3"/>
      </w:pPr>
      <w:r>
        <w:t xml:space="preserve">3.10 Salvar/Cancelar e branch update() (ponto crítico do byarq)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T43-48</w:t>
            </w:r>
          </w:p>
        </w:tc>
        <w:tc>
          <w:tcPr/>
          <w:p>
            <w:pPr>
              <w:pStyle w:val="Compact"/>
            </w:pPr>
            <w:r>
              <w:t xml:space="preserve">Salvar sem alteração → MSG 7</w:t>
            </w:r>
          </w:p>
        </w:tc>
        <w:tc>
          <w:tcPr/>
          <w:p>
            <w:pPr>
              <w:pStyle w:val="Compact"/>
            </w:pPr>
            <w:r>
              <w:t xml:space="preserve">Abrir cadastro, não alterar, Salvar</w:t>
            </w:r>
          </w:p>
        </w:tc>
        <w:tc>
          <w:tcPr/>
          <w:p>
            <w:pPr>
              <w:pStyle w:val="Compact"/>
            </w:pPr>
            <w:r>
              <w:t xml:space="preserve">MSG ID 7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T43-49</w:t>
            </w:r>
          </w:p>
        </w:tc>
        <w:tc>
          <w:tcPr/>
          <w:p>
            <w:pPr>
              <w:pStyle w:val="Compact"/>
            </w:pPr>
            <w:r>
              <w:t xml:space="preserve">Cancelar com alteração → MSG 2</w:t>
            </w:r>
          </w:p>
        </w:tc>
        <w:tc>
          <w:tcPr/>
          <w:p>
            <w:pPr>
              <w:pStyle w:val="Compact"/>
            </w:pPr>
            <w:r>
              <w:t xml:space="preserve">Alterar campo, Cancelar</w:t>
            </w:r>
          </w:p>
        </w:tc>
        <w:tc>
          <w:tcPr/>
          <w:p>
            <w:pPr>
              <w:pStyle w:val="Compact"/>
            </w:pPr>
            <w:r>
              <w:t xml:space="preserve">Confirmação MSG ID 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T43-50</w:t>
            </w:r>
          </w:p>
        </w:tc>
        <w:tc>
          <w:tcPr/>
          <w:p>
            <w:pPr>
              <w:pStyle w:val="Compact"/>
            </w:pPr>
            <w:r>
              <w:t xml:space="preserve">Forçar branch update() do store() — validar se é</w:t>
            </w:r>
            <w:r>
              <w:t xml:space="preserve"> </w:t>
            </w:r>
            <w:r>
              <w:t xml:space="preserve">“inalcançável”</w:t>
            </w:r>
          </w:p>
        </w:tc>
        <w:tc>
          <w:tcPr/>
          <w:p>
            <w:pPr>
              <w:pStyle w:val="Compact"/>
            </w:pPr>
            <w:r>
              <w:t xml:space="preserve">1) Tentar edit() de notificação Concluída pela UI (deve estar oculto). 2) Forjar POST direto para edit/{id} Concluída. 3) Se bloqueado, forjar POST direto para store com nev_id existente + payload completo, contornando edit() inteiramente</w:t>
            </w:r>
          </w:p>
        </w:tc>
        <w:tc>
          <w:tcPr/>
          <w:p>
            <w:pPr>
              <w:pStyle w:val="Compact"/>
            </w:pPr>
            <w:r>
              <w:t xml:space="preserve">Passo 3 é o teste crítico: store() pode não checar status antes do branch update(), diferente do edit(). Se passo 3 conseguir alterar/apagar produtos e ações de notificação já Concluída, é BUG REAL de segurança (mesmo gap já corrigido em T11 RN04.1/RN05.1)</w:t>
            </w:r>
          </w:p>
        </w:tc>
        <w:tc>
          <w:tcPr/>
          <w:p>
            <w:pPr>
              <w:pStyle w:val="Compact"/>
            </w:pPr>
            <w:r>
              <w:t xml:space="preserve">P0 — validar concretamente, não assumir</w:t>
            </w:r>
          </w:p>
        </w:tc>
      </w:tr>
    </w:tbl>
    <w:bookmarkEnd w:id="26"/>
    <w:bookmarkStart w:id="27" w:name="Xf08aa43789b2155a908683fb6bd15a254045c60"/>
    <w:p>
      <w:pPr>
        <w:pStyle w:val="Heading3"/>
      </w:pPr>
      <w:r>
        <w:t xml:space="preserve">3.11 Listagem — Adendo colunas 1:N (RN02.1, RN02.2, RN02.4, RN03.1, RN03.2)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T43-51</w:t>
            </w:r>
          </w:p>
        </w:tc>
        <w:tc>
          <w:tcPr/>
          <w:p>
            <w:pPr>
              <w:pStyle w:val="Compact"/>
            </w:pPr>
            <w:r>
              <w:t xml:space="preserve">1 linha por notificação, nunca por produto</w:t>
            </w:r>
          </w:p>
        </w:tc>
        <w:tc>
          <w:tcPr/>
          <w:p>
            <w:pPr>
              <w:pStyle w:val="Compact"/>
            </w:pPr>
            <w:r>
              <w:t xml:space="preserve">Notificação com 5 produtos</w:t>
            </w:r>
          </w:p>
        </w:tc>
        <w:tc>
          <w:tcPr/>
          <w:p>
            <w:pPr>
              <w:pStyle w:val="Compact"/>
            </w:pPr>
            <w:r>
              <w:t xml:space="preserve">1 linha na listagem, não 5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T43-52</w:t>
            </w:r>
          </w:p>
        </w:tc>
        <w:tc>
          <w:tcPr/>
          <w:p>
            <w:pPr>
              <w:pStyle w:val="Compact"/>
            </w:pPr>
            <w:r>
              <w:t xml:space="preserve">Coluna Produto —</w:t>
            </w:r>
            <w:r>
              <w:t xml:space="preserve"> </w:t>
            </w:r>
            <w:r>
              <w:t xml:space="preserve">“1º + e mais N”</w:t>
            </w:r>
            <w:r>
              <w:t xml:space="preserve"> </w:t>
            </w:r>
            <w:r>
              <w:t xml:space="preserve">com tooltip</w:t>
            </w:r>
          </w:p>
        </w:tc>
        <w:tc>
          <w:tcPr/>
          <w:p>
            <w:pPr>
              <w:pStyle w:val="Compact"/>
            </w:pPr>
            <w:r>
              <w:t xml:space="preserve">Notificação com 3 produtos</w:t>
            </w:r>
          </w:p>
        </w:tc>
        <w:tc>
          <w:tcPr/>
          <w:p>
            <w:pPr>
              <w:pStyle w:val="Compact"/>
            </w:pPr>
            <w:r>
              <w:t xml:space="preserve">“Produto X e mais 2”</w:t>
            </w:r>
            <w:r>
              <w:t xml:space="preserve">; tooltip com lista completa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T43-53</w:t>
            </w:r>
          </w:p>
        </w:tc>
        <w:tc>
          <w:tcPr/>
          <w:p>
            <w:pPr>
              <w:pStyle w:val="Compact"/>
            </w:pPr>
            <w:r>
              <w:t xml:space="preserve">Coluna Lote — mesmo tratamento</w:t>
            </w:r>
          </w:p>
        </w:tc>
        <w:tc>
          <w:tcPr/>
          <w:p>
            <w:pPr>
              <w:pStyle w:val="Compact"/>
            </w:pPr>
            <w:r>
              <w:t xml:space="preserve">Lotes distintos</w:t>
            </w:r>
          </w:p>
        </w:tc>
        <w:tc>
          <w:tcPr/>
          <w:p>
            <w:pPr>
              <w:pStyle w:val="Compact"/>
            </w:pPr>
            <w:r>
              <w:t xml:space="preserve">“Lote X e mais N”</w:t>
            </w:r>
            <w:r>
              <w:t xml:space="preserve"> </w:t>
            </w:r>
            <w:r>
              <w:t xml:space="preserve">+ tooltip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T43-54</w:t>
            </w:r>
          </w:p>
        </w:tc>
        <w:tc>
          <w:tcPr/>
          <w:p>
            <w:pPr>
              <w:pStyle w:val="Compact"/>
            </w:pPr>
            <w:r>
              <w:t xml:space="preserve">Coluna Fabricante — sempre único, sem tooltip</w:t>
            </w:r>
          </w:p>
        </w:tc>
        <w:tc>
          <w:tcPr/>
          <w:p>
            <w:pPr>
              <w:pStyle w:val="Compact"/>
            </w:pPr>
            <w:r>
              <w:t xml:space="preserve">Produtos do mesmo fabricante (regra RN03.1)</w:t>
            </w:r>
          </w:p>
        </w:tc>
        <w:tc>
          <w:tcPr/>
          <w:p>
            <w:pPr>
              <w:pStyle w:val="Compact"/>
            </w:pPr>
            <w:r>
              <w:t xml:space="preserve">Mostra fabricante único, sem</w:t>
            </w:r>
            <w:r>
              <w:t xml:space="preserve"> </w:t>
            </w:r>
            <w:r>
              <w:t xml:space="preserve">“e mais N”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T43-55</w:t>
            </w:r>
          </w:p>
        </w:tc>
        <w:tc>
          <w:tcPr/>
          <w:p>
            <w:pPr>
              <w:pStyle w:val="Compact"/>
            </w:pPr>
            <w:r>
              <w:t xml:space="preserve">Coluna Data — MIN do conjunto</w:t>
            </w:r>
          </w:p>
        </w:tc>
        <w:tc>
          <w:tcPr/>
          <w:p>
            <w:pPr>
              <w:pStyle w:val="Compact"/>
            </w:pPr>
            <w:r>
              <w:t xml:space="preserve">Datas diferentes vinculadas</w:t>
            </w:r>
          </w:p>
        </w:tc>
        <w:tc>
          <w:tcPr/>
          <w:p>
            <w:pPr>
              <w:pStyle w:val="Compact"/>
            </w:pPr>
            <w:r>
              <w:t xml:space="preserve">Listagem mostra data mais antiga; grid da aba mostra todas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T43-56</w:t>
            </w:r>
          </w:p>
        </w:tc>
        <w:tc>
          <w:tcPr/>
          <w:p>
            <w:pPr>
              <w:pStyle w:val="Compact"/>
            </w:pPr>
            <w:r>
              <w:t xml:space="preserve">Notificação com exatamente 1 produto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Só o nome, sem</w:t>
            </w:r>
            <w:r>
              <w:t xml:space="preserve"> </w:t>
            </w:r>
            <w:r>
              <w:t xml:space="preserve">“e mais 0”</w:t>
            </w:r>
            <w:r>
              <w:t xml:space="preserve">/tooltip desnecessário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T43-57</w:t>
            </w:r>
          </w:p>
        </w:tc>
        <w:tc>
          <w:tcPr/>
          <w:p>
            <w:pPr>
              <w:pStyle w:val="Compact"/>
            </w:pPr>
            <w:r>
              <w:t xml:space="preserve">XSS em nome de produto/lote na célula/tooltip</w:t>
            </w:r>
          </w:p>
        </w:tc>
        <w:tc>
          <w:tcPr/>
          <w:p>
            <w:pPr>
              <w:pStyle w:val="Compact"/>
            </w:pPr>
            <w:r>
              <w:t xml:space="preserve">Produto/lote de teste com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esc() aplicado em ambos os pontos — sem execução de script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7"/>
    <w:bookmarkStart w:id="28" w:name="botão-imprimir-rn04.1-rn04.2"/>
    <w:p>
      <w:pPr>
        <w:pStyle w:val="Heading3"/>
      </w:pPr>
      <w:r>
        <w:t xml:space="preserve">3.12 Botão Imprimir (RN04.1, RN04.2)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T43-58</w:t>
            </w:r>
          </w:p>
        </w:tc>
        <w:tc>
          <w:tcPr/>
          <w:p>
            <w:pPr>
              <w:pStyle w:val="Compact"/>
            </w:pPr>
            <w:r>
              <w:t xml:space="preserve">Clique Imprimir com 0/1/2+ etiquetas</w:t>
            </w:r>
          </w:p>
        </w:tc>
        <w:tc>
          <w:tcPr/>
          <w:p>
            <w:pPr>
              <w:pStyle w:val="Compact"/>
            </w:pPr>
            <w:r>
              <w:t xml:space="preserve">Mesmo comportamento de T42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T43-59</w:t>
            </w:r>
          </w:p>
        </w:tc>
        <w:tc>
          <w:tcPr/>
          <w:p>
            <w:pPr>
              <w:pStyle w:val="Compact"/>
            </w:pPr>
            <w:r>
              <w:t xml:space="preserve">Fechar modal de impressão não altera status/dado</w:t>
            </w:r>
          </w:p>
        </w:tc>
        <w:tc>
          <w:tcPr/>
          <w:p>
            <w:pPr>
              <w:pStyle w:val="Compact"/>
            </w:pPr>
            <w:r>
              <w:t xml:space="preserve">Status permanece Concluída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28"/>
    <w:bookmarkStart w:id="29" w:name="X40eac10747677437450fd5f7ee8394322f13434"/>
    <w:p>
      <w:pPr>
        <w:pStyle w:val="Heading3"/>
      </w:pPr>
      <w:r>
        <w:t xml:space="preserve">3.13 Performance — SELECT DISTINCT sobre a view (monitoramento, não bug)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T43-60</w:t>
            </w:r>
          </w:p>
        </w:tc>
        <w:tc>
          <w:tcPr/>
          <w:p>
            <w:pPr>
              <w:pStyle w:val="Compact"/>
            </w:pPr>
            <w:r>
              <w:t xml:space="preserve">Tempo de resposta em volume realista</w:t>
            </w:r>
          </w:p>
        </w:tc>
        <w:tc>
          <w:tcPr/>
          <w:p>
            <w:pPr>
              <w:pStyle w:val="Compact"/>
            </w:pPr>
            <w:r>
              <w:t xml:space="preserve">Popular com volume real/amostra, medir tempo de lista() de T42 e T43</w:t>
            </w:r>
          </w:p>
        </w:tc>
        <w:tc>
          <w:tcPr/>
          <w:p>
            <w:pPr>
              <w:pStyle w:val="Compact"/>
            </w:pPr>
            <w:r>
              <w:t xml:space="preserve">Registrar tempo; não é critério de aprovação, é monitoramento pós-entrega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rastreabilidade"/>
    <w:p>
      <w:pPr>
        <w:pStyle w:val="Heading2"/>
      </w:pPr>
      <w:r>
        <w:t xml:space="preserve">4. Rastreabilidade</w:t>
      </w:r>
    </w:p>
    <w:p>
      <w:pPr>
        <w:pStyle w:val="Compact"/>
        <w:numPr>
          <w:ilvl w:val="0"/>
          <w:numId w:val="1002"/>
        </w:numPr>
      </w:pPr>
      <w:r>
        <w:t xml:space="preserve">T42: RN02.1–RN02.5 (T42-09 a T42-13), RN03.1–RN03.17 (T42-14 a T42-22)</w:t>
      </w:r>
    </w:p>
    <w:p>
      <w:pPr>
        <w:pStyle w:val="Compact"/>
        <w:numPr>
          <w:ilvl w:val="0"/>
          <w:numId w:val="1002"/>
        </w:numPr>
      </w:pPr>
      <w:r>
        <w:t xml:space="preserve">T43: RN02.1–RN02.5 (T43-04, T43-51 a T43-56), RN03.1–RN03.23 (T43-04 a T43-50, T43-58/59), RN04.1–RN04.2 (T43-58/59)</w:t>
      </w:r>
    </w:p>
    <w:p>
      <w:pPr>
        <w:pStyle w:val="Compact"/>
        <w:numPr>
          <w:ilvl w:val="0"/>
          <w:numId w:val="1002"/>
        </w:numPr>
      </w:pPr>
      <w:r>
        <w:t xml:space="preserve">Segurança server-side: T42-17, T42-23, T43-02, T43-30, T43-50, T43-57</w:t>
      </w:r>
    </w:p>
    <w:p>
      <w:pPr>
        <w:pStyle w:val="Compact"/>
        <w:numPr>
          <w:ilvl w:val="0"/>
          <w:numId w:val="1002"/>
        </w:numPr>
      </w:pPr>
      <w:r>
        <w:t xml:space="preserve">Idempotência: T42-06, T43-47</w:t>
      </w:r>
    </w:p>
    <w:p>
      <w:r>
        <w:pict>
          <v:rect style="width:0;height:1.5pt" o:hralign="center" o:hrstd="t" o:hr="t"/>
        </w:pict>
      </w:r>
    </w:p>
    <w:bookmarkEnd w:id="31"/>
    <w:bookmarkStart w:id="32" w:name="observações-para-o-byarq"/>
    <w:p>
      <w:pPr>
        <w:pStyle w:val="Heading2"/>
      </w:pPr>
      <w:r>
        <w:t xml:space="preserve">5. Observações para o byarq</w:t>
      </w:r>
    </w:p>
    <w:p>
      <w:pPr>
        <w:pStyle w:val="Compact"/>
        <w:numPr>
          <w:ilvl w:val="0"/>
          <w:numId w:val="1003"/>
        </w:numPr>
      </w:pPr>
      <w:r>
        <w:t xml:space="preserve">T43-50 é o caso mais crítico: store()/branch update() pode não validar status antes de apagar/regravar produtos e ações — só edit() bloqueia o caminho normal da UI. Tratar como suspeita de bug até execução comprovar o contrário.</w:t>
      </w:r>
    </w:p>
    <w:p>
      <w:pPr>
        <w:pStyle w:val="Compact"/>
        <w:numPr>
          <w:ilvl w:val="0"/>
          <w:numId w:val="1003"/>
        </w:numPr>
      </w:pPr>
      <w:r>
        <w:t xml:space="preserve">T43-09/10 (corrida) e T43-22 (truncamento) dependem de reproduzir condições específicas — se não reproduzirem, documentar como</w:t>
      </w:r>
      <w:r>
        <w:t xml:space="preserve"> </w:t>
      </w:r>
      <w:r>
        <w:t xml:space="preserve">“não reproduzido, risco residual conhecido”</w:t>
      </w:r>
      <w:r>
        <w:t xml:space="preserve">, não marcar como</w:t>
      </w:r>
      <w:r>
        <w:t xml:space="preserve"> </w:t>
      </w:r>
      <w:r>
        <w:t xml:space="preserve">“passou”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T43-46 (SOAP real) não deve ser executado sem autorização explícita do usuário e ambiente controlado.</w:t>
      </w:r>
    </w:p>
    <w:p>
      <w:pPr>
        <w:pStyle w:val="Compact"/>
        <w:numPr>
          <w:ilvl w:val="0"/>
          <w:numId w:val="1003"/>
        </w:numPr>
      </w:pPr>
      <w:r>
        <w:t xml:space="preserve">T43-06 (pré-seleção por fabricante) e T43-40 (ação obrigatória) podem revelar divergência entre leitura literal do documento e comportamento implementado — reportar como achado, não assumir que o código está certo.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2026-07-12T18:50:04Z</dcterms:created>
  <dcterms:modified xsi:type="dcterms:W3CDTF">2026-07-12T18:50:04Z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