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965d84f3176ae6a30722491bd307427b14667bc"/>
    <w:p>
      <w:pPr>
        <w:pStyle w:val="Heading1"/>
      </w:pPr>
      <w:r>
        <w:t xml:space="preserve">Apontamentos de Revisão — Módulo Ocorrências (T9, T11, T12)</w:t>
      </w:r>
    </w:p>
    <w:p>
      <w:pPr>
        <w:pStyle w:val="FirstParagraph"/>
      </w:pPr>
      <w:r>
        <w:rPr>
          <w:b/>
          <w:bCs/>
        </w:rPr>
        <w:t xml:space="preserve">Rodada:</w:t>
      </w:r>
      <w:r>
        <w:t xml:space="preserve"> </w:t>
      </w:r>
      <w:r>
        <w:t xml:space="preserve">01</w:t>
      </w:r>
      <w:r>
        <w:t xml:space="preserve"> </w:t>
      </w:r>
      <w:r>
        <w:rPr>
          <w:b/>
          <w:bCs/>
        </w:rPr>
        <w:t xml:space="preserve">Revisor: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Ocorrências (</w:t>
      </w:r>
      <w:r>
        <w:rPr>
          <w:rStyle w:val="VerbatimChar"/>
        </w:rPr>
        <w:t xml:space="preserve">app/Controllers/Ocorrencia</w:t>
      </w:r>
      <w:r>
        <w:t xml:space="preserve">)</w:t>
      </w:r>
      <w:r>
        <w:t xml:space="preserve"> </w:t>
      </w:r>
      <w:r>
        <w:rPr>
          <w:b/>
          <w:bCs/>
        </w:rPr>
        <w:t xml:space="preserve">Telas revisadas:</w:t>
      </w:r>
      <w:r>
        <w:t xml:space="preserve"> </w:t>
      </w:r>
      <w:r>
        <w:t xml:space="preserve">T9 — Subtipos de Ocorrências (tel_id=49) · T11 — Gestão de Ocorrências (tel_id=56) · T12 — Tratativa de Ocorrências (tel_id=61)</w:t>
      </w:r>
      <w:r>
        <w:t xml:space="preserve"> </w:t>
      </w:r>
      <w:r>
        <w:rPr>
          <w:b/>
          <w:bCs/>
        </w:rPr>
        <w:t xml:space="preserve">Documento de referência:</w:t>
      </w:r>
      <w:r>
        <w:t xml:space="preserve"> </w:t>
      </w:r>
      <w:r>
        <w:rPr>
          <w:rStyle w:val="VerbatimChar"/>
        </w:rPr>
        <w:t xml:space="preserve">docs/desenvolvimento/ocorrencias-t9-t11-t12-dev.docx</w:t>
      </w:r>
      <w:r>
        <w:t xml:space="preserve"> </w:t>
      </w:r>
      <w:r>
        <w:t xml:space="preserve">(aprovado)</w:t>
      </w:r>
      <w:r>
        <w:t xml:space="preserve"> </w:t>
      </w:r>
      <w:r>
        <w:rPr>
          <w:b/>
          <w:bCs/>
        </w:rPr>
        <w:t xml:space="preserve">Destino: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(decisão sobre Bloqueante 2) →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(correção)</w:t>
      </w:r>
    </w:p>
    <w:p>
      <w:r>
        <w:pict>
          <v:rect style="width:0;height:1.5pt" o:hralign="center" o:hrstd="t" o:hr="t"/>
        </w:pict>
      </w:r>
    </w:p>
    <w:bookmarkStart w:id="11" w:name="bloqueantes"/>
    <w:p>
      <w:pPr>
        <w:pStyle w:val="Heading2"/>
      </w:pPr>
      <w:r>
        <w:t xml:space="preserve">1. Bloqueantes</w:t>
      </w:r>
    </w:p>
    <w:bookmarkStart w:id="9" w:name="X3028ac7b3d672b602fcca06c9d8027b45fd6bde"/>
    <w:p>
      <w:pPr>
        <w:pStyle w:val="Heading3"/>
      </w:pPr>
      <w:r>
        <w:t xml:space="preserve">Bloqueante 1 — Uso incorreto de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(RN06.2 em T9, RN04.1 em T11)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decisão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recebida — proposta original de correção</w:t>
      </w:r>
      <w:r>
        <w:t xml:space="preserve"> </w:t>
      </w:r>
      <w:r>
        <w:rPr>
          <w:b/>
          <w:bCs/>
        </w:rPr>
        <w:t xml:space="preserve">rejeitada</w:t>
      </w:r>
      <w:r>
        <w:t xml:space="preserve"> </w:t>
      </w:r>
      <w:r>
        <w:t xml:space="preserve">e substituída pela correção abaixo. Pode seguir para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OcoSubtOcorrencia.php</w:t>
      </w:r>
      <w:r>
        <w:t xml:space="preserve">, linha 369, dentro de</w:t>
      </w:r>
      <w:r>
        <w:t xml:space="preserve"> </w:t>
      </w:r>
      <w:r>
        <w:rPr>
          <w:rStyle w:val="VerbatimChar"/>
        </w:rPr>
        <w:t xml:space="preserve">ativinativ()</w:t>
      </w:r>
      <w:r>
        <w:t xml:space="preserve"> </w:t>
      </w:r>
      <w:r>
        <w:t xml:space="preserve">(RN06.2):</w:t>
      </w:r>
      <w:r>
        <w:t xml:space="preserve"> </w:t>
      </w:r>
      <w:r>
        <w:rPr>
          <w:rStyle w:val="VerbatimChar"/>
        </w:rPr>
        <w:t xml:space="preserve">php   $texto = getMensagem('MSG_14') ?? '...';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OcoOcorrencia.php</w:t>
      </w:r>
      <w:r>
        <w:t xml:space="preserve">, linha ~349, dentro do bloqueio de alteração RN04.1: chamada equivalente com</w:t>
      </w:r>
      <w:r>
        <w:t xml:space="preserve"> </w:t>
      </w:r>
      <w:r>
        <w:rPr>
          <w:rStyle w:val="VerbatimChar"/>
        </w:rPr>
        <w:t xml:space="preserve">getMensagem('MSG_15')</w:t>
      </w:r>
      <w:r>
        <w:t xml:space="preserve">.</w:t>
      </w:r>
    </w:p>
    <w:p>
      <w:pPr>
        <w:pStyle w:val="BodyText"/>
      </w:pPr>
      <w:r>
        <w:t xml:space="preserve">Em ambos os casos o código de mensagem foi passado como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'MSG_14'</w:t>
      </w:r>
      <w:r>
        <w:t xml:space="preserve">,</w:t>
      </w:r>
      <w:r>
        <w:t xml:space="preserve"> </w:t>
      </w:r>
      <w:r>
        <w:rPr>
          <w:rStyle w:val="VerbatimChar"/>
        </w:rPr>
        <w:t xml:space="preserve">'MSG_15'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Proposta original (rejeitada pelo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):</w:t>
      </w:r>
      <w:r>
        <w:t xml:space="preserve"> </w:t>
      </w:r>
      <w:r>
        <w:t xml:space="preserve">trocar as duas chamadas para</w:t>
      </w:r>
      <w:r>
        <w:t xml:space="preserve"> </w:t>
      </w:r>
      <w:r>
        <w:rPr>
          <w:rStyle w:val="VerbatimChar"/>
        </w:rPr>
        <w:t xml:space="preserve">getMensagem(14)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getMensagem(15)</w:t>
      </w:r>
      <w:r>
        <w:t xml:space="preserve"> </w:t>
      </w:r>
      <w:r>
        <w:t xml:space="preserve">(inteiros em vez de strings), mantendo a chamada ao helper PHP.</w:t>
      </w:r>
    </w:p>
    <w:p>
      <w:pPr>
        <w:pStyle w:val="BodyText"/>
      </w:pPr>
      <w:r>
        <w:rPr>
          <w:b/>
          <w:bCs/>
        </w:rPr>
        <w:t xml:space="preserve">Correção real decidida pelo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remover completamente</w:t>
      </w:r>
      <w:r>
        <w:t xml:space="preserve"> </w:t>
      </w:r>
      <w:r>
        <w:t xml:space="preserve">a chamada ao helper PHP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nos dois pontos (</w:t>
      </w:r>
      <w:r>
        <w:rPr>
          <w:rStyle w:val="VerbatimChar"/>
        </w:rPr>
        <w:t xml:space="preserve">OcoSubtOcorrencia::ativinativ()</w:t>
      </w:r>
      <w:r>
        <w:t xml:space="preserve"> </w:t>
      </w:r>
      <w:r>
        <w:t xml:space="preserve">e o bloqueio RN04.1 em</w:t>
      </w:r>
      <w:r>
        <w:t xml:space="preserve"> </w:t>
      </w:r>
      <w:r>
        <w:rPr>
          <w:rStyle w:val="VerbatimChar"/>
        </w:rPr>
        <w:t xml:space="preserve">OcoOcorrencia</w:t>
      </w:r>
      <w:r>
        <w:t xml:space="preserve">). O controller deve apenas retornar</w:t>
      </w:r>
      <w:r>
        <w:t xml:space="preserve"> </w:t>
      </w:r>
      <w:r>
        <w:rPr>
          <w:rStyle w:val="VerbatimChar"/>
        </w:rPr>
        <w:t xml:space="preserve">$ret['msg'] = 14;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$ret['msg'] = 15;</w:t>
      </w:r>
      <w:r>
        <w:t xml:space="preserve"> </w:t>
      </w:r>
      <w:r>
        <w:t xml:space="preserve">(</w:t>
      </w:r>
      <w:r>
        <w:rPr>
          <w:b/>
          <w:bCs/>
        </w:rPr>
        <w:t xml:space="preserve">inteiro puro</w:t>
      </w:r>
      <w:r>
        <w:t xml:space="preserve">, sem montar texto em PHP) — o mesmo padrão já usado corretamente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dessas mesmas telas. Quem resolve o texto da mensagem é o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 </w:t>
      </w:r>
      <w:r>
        <w:t xml:space="preserve">no front, via</w:t>
      </w:r>
      <w:r>
        <w:t xml:space="preserve"> </w:t>
      </w:r>
      <w:r>
        <w:rPr>
          <w:rStyle w:val="VerbatimChar"/>
        </w:rPr>
        <w:t xml:space="preserve">GET /mensagem/{id}</w:t>
      </w:r>
      <w:r>
        <w:t xml:space="preserve"> </w:t>
      </w:r>
      <w:r>
        <w:t xml:space="preserve">— não o backend.</w:t>
      </w:r>
    </w:p>
    <w:p>
      <w:pPr>
        <w:pStyle w:val="BlockText"/>
      </w:pPr>
      <w:r>
        <w:t xml:space="preserve">Nota de rastreabilidade: o helper</w:t>
      </w:r>
      <w:r>
        <w:t xml:space="preserve"> </w:t>
      </w:r>
      <w:r>
        <w:rPr>
          <w:rStyle w:val="VerbatimChar"/>
        </w:rPr>
        <w:t xml:space="preserve">mensagem_helper.php::getMensagem()</w:t>
      </w:r>
      <w:r>
        <w:t xml:space="preserve"> </w:t>
      </w:r>
      <w:r>
        <w:t xml:space="preserve">(que usa colunas</w:t>
      </w:r>
      <w:r>
        <w:t xml:space="preserve"> </w:t>
      </w:r>
      <w:r>
        <w:rPr>
          <w:rStyle w:val="VerbatimChar"/>
        </w:rPr>
        <w:t xml:space="preserve">msg_codigo</w:t>
      </w:r>
      <w:r>
        <w:t xml:space="preserve">/</w:t>
      </w:r>
      <w:r>
        <w:rPr>
          <w:rStyle w:val="VerbatimChar"/>
        </w:rPr>
        <w:t xml:space="preserve">msg_texto</w:t>
      </w:r>
      <w:r>
        <w:t xml:space="preserve"> </w:t>
      </w:r>
      <w:r>
        <w:t xml:space="preserve">inexistentes no schema real de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 </w:t>
      </w:r>
      <w:r>
        <w:t xml:space="preserve">— schema real tem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/</w:t>
      </w:r>
      <w:r>
        <w:rPr>
          <w:rStyle w:val="VerbatimChar"/>
        </w:rPr>
        <w:t xml:space="preserve">msg_titulo</w:t>
      </w:r>
      <w:r>
        <w:t xml:space="preserve">/</w:t>
      </w:r>
      <w:r>
        <w:rPr>
          <w:rStyle w:val="VerbatimChar"/>
        </w:rPr>
        <w:t xml:space="preserve">msg_mensagem</w:t>
      </w:r>
      <w:r>
        <w:t xml:space="preserve">/</w:t>
      </w:r>
      <w:r>
        <w:rPr>
          <w:rStyle w:val="VerbatimChar"/>
        </w:rPr>
        <w:t xml:space="preserve">msg_tipo</w:t>
      </w:r>
      <w:r>
        <w:t xml:space="preserve">/</w:t>
      </w:r>
      <w:r>
        <w:rPr>
          <w:rStyle w:val="VerbatimChar"/>
        </w:rPr>
        <w:t xml:space="preserve">msg_cor</w:t>
      </w:r>
      <w:r>
        <w:t xml:space="preserve">) fica</w:t>
      </w:r>
      <w:r>
        <w:t xml:space="preserve"> </w:t>
      </w:r>
      <w:r>
        <w:rPr>
          <w:b/>
          <w:bCs/>
        </w:rPr>
        <w:t xml:space="preserve">fora de escopo</w:t>
      </w:r>
      <w:r>
        <w:t xml:space="preserve"> </w:t>
      </w:r>
      <w:r>
        <w:t xml:space="preserve">desta feature. É uma divergência pré-existente mais ampla, não deve ser corrigida agora — registrar como item para ticket de arquitetura separado.</w:t>
      </w:r>
    </w:p>
    <w:p>
      <w:pPr>
        <w:pStyle w:val="FirstParagraph"/>
      </w:pPr>
      <w:r>
        <w:rPr>
          <w:b/>
          <w:bCs/>
        </w:rPr>
        <w:t xml:space="preserve">Ação para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bydev</w:t>
      </w:r>
      <w:r>
        <w:rPr>
          <w:b/>
          <w:bCs/>
        </w:rPr>
        <w:t xml:space="preserve">:</w:t>
      </w:r>
      <w:r>
        <w:t xml:space="preserve"> </w:t>
      </w:r>
      <w:r>
        <w:t xml:space="preserve">1. Em</w:t>
      </w:r>
      <w:r>
        <w:t xml:space="preserve"> </w:t>
      </w:r>
      <w:r>
        <w:rPr>
          <w:rStyle w:val="VerbatimChar"/>
        </w:rPr>
        <w:t xml:space="preserve">OcoSubtOcorrencia::ativinativ()</w:t>
      </w:r>
      <w:r>
        <w:t xml:space="preserve"> </w:t>
      </w:r>
      <w:r>
        <w:t xml:space="preserve">e no bloqueio RN04.1 de</w:t>
      </w:r>
      <w:r>
        <w:t xml:space="preserve"> </w:t>
      </w:r>
      <w:r>
        <w:rPr>
          <w:rStyle w:val="VerbatimChar"/>
        </w:rPr>
        <w:t xml:space="preserve">OcoOcorrencia</w:t>
      </w:r>
      <w:r>
        <w:t xml:space="preserve">, remover a chamada a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e retornar apenas o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t xml:space="preserve">inteiro (</w:t>
      </w:r>
      <w:r>
        <w:rPr>
          <w:rStyle w:val="VerbatimChar"/>
        </w:rPr>
        <w:t xml:space="preserve">$ret['msg'] = 14;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$ret['msg'] = 15;</w:t>
      </w:r>
      <w:r>
        <w:t xml:space="preserve">), conforme o novo fluxo detalhado no documento de desenvolvimento (RN06.2 na Seção 5, RN04.1 na Seção 6).</w:t>
      </w:r>
      <w:r>
        <w:t xml:space="preserve"> </w:t>
      </w:r>
      <w:r>
        <w:t xml:space="preserve">2. Revisar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chamadas a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introduzidas nesta feature (T9, T11, T12) — nenhuma deve permanecer no backend para resolver texto de mensagem ao usuário; o padrão é sempre retornar o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t xml:space="preserve">inteiro e deixar o front (</w:t>
      </w:r>
      <w:r>
        <w:rPr>
          <w:rStyle w:val="VerbatimChar"/>
        </w:rPr>
        <w:t xml:space="preserve">boxAlert()</w:t>
      </w:r>
      <w:r>
        <w:t xml:space="preserve">) resolver o texto.</w:t>
      </w:r>
      <w:r>
        <w:t xml:space="preserve"> </w:t>
      </w:r>
      <w:r>
        <w:t xml:space="preserve">3. Não alterar</w:t>
      </w:r>
      <w:r>
        <w:t xml:space="preserve"> </w:t>
      </w:r>
      <w:r>
        <w:rPr>
          <w:rStyle w:val="VerbatimChar"/>
        </w:rPr>
        <w:t xml:space="preserve">mensagem_helper.php</w:t>
      </w:r>
      <w:r>
        <w:t xml:space="preserve"> </w:t>
      </w:r>
      <w:r>
        <w:t xml:space="preserve">neste ciclo — está fora de escopo (ver nota de rastreabilidade acima).</w:t>
      </w:r>
    </w:p>
    <w:p>
      <w:r>
        <w:pict>
          <v:rect style="width:0;height:1.5pt" o:hralign="center" o:hrstd="t" o:hr="t"/>
        </w:pict>
      </w:r>
    </w:p>
    <w:bookmarkEnd w:id="9"/>
    <w:bookmarkStart w:id="10" w:name="X0495e236476f415d0d9230329f9be15ef846433"/>
    <w:p>
      <w:pPr>
        <w:pStyle w:val="Heading3"/>
      </w:pPr>
      <w:r>
        <w:t xml:space="preserve">Bloqueante 2 —</w:t>
      </w:r>
      <w:r>
        <w:t xml:space="preserve"> </w:t>
      </w:r>
      <w:r>
        <w:t xml:space="preserve">“Ação extra”</w:t>
      </w:r>
      <w:r>
        <w:t xml:space="preserve"> </w:t>
      </w:r>
      <w:r>
        <w:t xml:space="preserve">em T12 (RN03.15) não produz efeito real para ações não pré-configuradas no subtipo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decisão de arquitetura/produto pendente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antes de qualquer correção 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Situação encontrada:</w:t>
      </w:r>
    </w:p>
    <w:p>
      <w:pPr>
        <w:pStyle w:val="BodyText"/>
      </w:pPr>
      <w:r>
        <w:t xml:space="preserve">Em</w:t>
      </w:r>
      <w:r>
        <w:t xml:space="preserve"> </w:t>
      </w:r>
      <w:r>
        <w:rPr>
          <w:rStyle w:val="VerbatimChar"/>
        </w:rPr>
        <w:t xml:space="preserve">OcoTrataOcorrencia::store()</w:t>
      </w:r>
      <w:r>
        <w:t xml:space="preserve">, o</w:t>
      </w:r>
      <w:r>
        <w:t xml:space="preserve"> </w:t>
      </w:r>
      <w:r>
        <w:rPr>
          <w:rStyle w:val="VerbatimChar"/>
        </w:rPr>
        <w:t xml:space="preserve">switch ($valor-&gt;tpa_tipo)</w:t>
      </w:r>
      <w:r>
        <w:t xml:space="preserve"> </w:t>
      </w:r>
      <w:r>
        <w:t xml:space="preserve">resolve a configuração da ação executada via: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case 3</w:t>
      </w:r>
      <w:r>
        <w:t xml:space="preserve"> </w:t>
      </w:r>
      <w:r>
        <w:t xml:space="preserve">(Gerar Movimentação) →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$this-&gt;subtocorrencia-&gt;getTOAcao($postado['sut_id'], $acao-&gt;tpa_id)[0] ?? false</w:t>
      </w:r>
      <w:r>
        <w:t xml:space="preserve"> </w:t>
      </w:r>
      <w:r>
        <w:t xml:space="preserve">— só encontra configuração se aquele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já estiver cadastrado em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para aquele subtipo (ou seja, configurado previamente via T9).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case 4</w:t>
      </w:r>
      <w:r>
        <w:t xml:space="preserve"> </w:t>
      </w:r>
      <w:r>
        <w:t xml:space="preserve">(Alterar Status, RN03.18.1) →</w:t>
      </w:r>
      <w:r>
        <w:t xml:space="preserve"> </w:t>
      </w:r>
      <w:r>
        <w:rPr>
          <w:rStyle w:val="VerbatimChar"/>
        </w:rPr>
        <w:t xml:space="preserve">resolveStatusFinal()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getAcaoPorId($tpa_id, $sut_id)</w:t>
      </w:r>
      <w:r>
        <w:t xml:space="preserve"> </w:t>
      </w:r>
      <w:r>
        <w:t xml:space="preserve">— mesma limitação de dependência de configuração prévia no subtipo.</w:t>
      </w:r>
    </w:p>
    <w:p>
      <w:pPr>
        <w:pStyle w:val="FirstParagraph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uma ação verdadeiramente</w:t>
      </w:r>
      <w:r>
        <w:t xml:space="preserve"> </w:t>
      </w:r>
      <w:r>
        <w:t xml:space="preserve">“extra”</w:t>
      </w:r>
      <w:r>
        <w:t xml:space="preserve"> </w:t>
      </w:r>
      <w:r>
        <w:t xml:space="preserve">(adicionada manualmente pelo usuário em T12 via o bloco</w:t>
      </w:r>
      <w:r>
        <w:t xml:space="preserve"> </w:t>
      </w:r>
      <w:r>
        <w:t xml:space="preserve">“Adicionar Ação”</w:t>
      </w:r>
      <w:r>
        <w:t xml:space="preserve"> </w:t>
      </w:r>
      <w:r>
        <w:t xml:space="preserve">da RN03.15 — por definição, uma ação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está configurada no subtipo) nunca encontra</w:t>
      </w:r>
      <w:r>
        <w:t xml:space="preserve"> </w:t>
      </w:r>
      <w:r>
        <w:rPr>
          <w:rStyle w:val="VerbatimChar"/>
        </w:rPr>
        <w:t xml:space="preserve">tmo_id</w:t>
      </w:r>
      <w:r>
        <w:t xml:space="preserve">/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correspondentes:</w:t>
      </w:r>
    </w:p>
    <w:p>
      <w:pPr>
        <w:pStyle w:val="Compact"/>
        <w:numPr>
          <w:ilvl w:val="0"/>
          <w:numId w:val="1002"/>
        </w:numPr>
      </w:pPr>
      <w:r>
        <w:t xml:space="preserve">Para</w:t>
      </w:r>
      <w:r>
        <w:t xml:space="preserve"> </w:t>
      </w:r>
      <w:r>
        <w:rPr>
          <w:rStyle w:val="VerbatimChar"/>
        </w:rPr>
        <w:t xml:space="preserve">tpa_tipo=3</w:t>
      </w:r>
      <w:r>
        <w:t xml:space="preserve">: resultado é um no-op silencioso — não gera movimentação nenhuma, sem avisar o usuário.</w:t>
      </w:r>
    </w:p>
    <w:p>
      <w:pPr>
        <w:pStyle w:val="Compact"/>
        <w:numPr>
          <w:ilvl w:val="0"/>
          <w:numId w:val="1002"/>
        </w:numPr>
      </w:pPr>
      <w:r>
        <w:t xml:space="preserve">Para</w:t>
      </w:r>
      <w:r>
        <w:t xml:space="preserve"> </w:t>
      </w:r>
      <w:r>
        <w:rPr>
          <w:rStyle w:val="VerbatimChar"/>
        </w:rPr>
        <w:t xml:space="preserve">tpa_tipo=4</w:t>
      </w:r>
      <w:r>
        <w:t xml:space="preserve">: cai no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default (30/Finalizada — RN03.18.1), mascarando que a ação escolhida pelo usuário não teve efeito real.</w:t>
      </w:r>
    </w:p>
    <w:p>
      <w:pPr>
        <w:pStyle w:val="Compact"/>
        <w:numPr>
          <w:ilvl w:val="0"/>
          <w:numId w:val="1002"/>
        </w:numPr>
      </w:pPr>
      <w:r>
        <w:t xml:space="preserve">Apenas</w:t>
      </w:r>
      <w:r>
        <w:t xml:space="preserve"> </w:t>
      </w:r>
      <w:r>
        <w:rPr>
          <w:rStyle w:val="VerbatimChar"/>
        </w:rPr>
        <w:t xml:space="preserve">tpa_tipo=1</w:t>
      </w:r>
      <w:r>
        <w:t xml:space="preserve"> </w:t>
      </w:r>
      <w:r>
        <w:t xml:space="preserve">(Justificar, que não depende de configuração prévia) funciona como esperado quando adicionado como ação extra.</w:t>
      </w:r>
    </w:p>
    <w:p>
      <w:pPr>
        <w:pStyle w:val="FirstParagraph"/>
      </w:pPr>
      <w:r>
        <w:rPr>
          <w:b/>
          <w:bCs/>
        </w:rPr>
        <w:t xml:space="preserve">Divergência identificada:</w:t>
      </w:r>
      <w:r>
        <w:t xml:space="preserve"> </w:t>
      </w:r>
      <w:r>
        <w:t xml:space="preserve">isso contraria a RN03.15 do documento de requisito de T12 (</w:t>
      </w:r>
      <w:r>
        <w:t xml:space="preserve">“permite inclusão de ações extras da tela T8”</w:t>
      </w:r>
      <w:r>
        <w:t xml:space="preserve">). Hoje a inclusão existe na UI (select alimentado por</w:t>
      </w:r>
      <w:r>
        <w:t xml:space="preserve"> </w:t>
      </w:r>
      <w:r>
        <w:rPr>
          <w:rStyle w:val="VerbatimChar"/>
        </w:rPr>
        <w:t xml:space="preserve">criaSelectRelativo('oco_tipo_acao', ...)</w:t>
      </w:r>
      <w:r>
        <w:t xml:space="preserve">, conforme implementado), mas o efeito de negócio da ação escolhida é ignorado silenciosamente quando ela não está pré-configurada no subtipo.</w:t>
      </w:r>
    </w:p>
    <w:p>
      <w:pPr>
        <w:pStyle w:val="BodyText"/>
      </w:pPr>
      <w:r>
        <w:rPr>
          <w:b/>
          <w:bCs/>
        </w:rPr>
        <w:t xml:space="preserve">Decisão necessária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t xml:space="preserve"> </w:t>
      </w:r>
      <w:r>
        <w:t xml:space="preserve">(não é escolha do</w:t>
      </w:r>
      <w:r>
        <w:t xml:space="preserve"> </w:t>
      </w:r>
      <w:r>
        <w:rPr>
          <w:rStyle w:val="VerbatimChar"/>
        </w:rPr>
        <w:t xml:space="preserve">bydoc</w:t>
      </w:r>
      <w:r>
        <w:t xml:space="preserve"> </w:t>
      </w:r>
      <w:r>
        <w:t xml:space="preserve">nem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) — duas alternativas levantadas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Implicação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Restringir o select</w:t>
            </w:r>
          </w:p>
        </w:tc>
        <w:tc>
          <w:tcPr/>
          <w:p>
            <w:pPr>
              <w:pStyle w:val="Compact"/>
            </w:pPr>
            <w:r>
              <w:t xml:space="preserve">Limitar as opções de</w:t>
            </w:r>
            <w:r>
              <w:t xml:space="preserve"> </w:t>
            </w:r>
            <w:r>
              <w:t xml:space="preserve">“ação extra”</w:t>
            </w:r>
            <w:r>
              <w:t xml:space="preserve"> </w:t>
            </w:r>
            <w:r>
              <w:t xml:space="preserve">em T12 a apenas tipos que fazem sentido sem configuração adicional (ex.: apenas</w:t>
            </w:r>
            <w:r>
              <w:t xml:space="preserve"> </w:t>
            </w:r>
            <w:r>
              <w:rPr>
                <w:rStyle w:val="VerbatimChar"/>
              </w:rPr>
              <w:t xml:space="preserve">tpa_tipo=1</w:t>
            </w:r>
            <w:r>
              <w:t xml:space="preserve"> </w:t>
            </w:r>
            <w:r>
              <w:t xml:space="preserve">“Justificar”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Menor esforço de código; reduz o alcance da RN03.15 em relação ao requisito original (não permite mais qualquer ação de T8 como extra)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Coletar dados extras na linha</w:t>
            </w:r>
          </w:p>
        </w:tc>
        <w:tc>
          <w:tcPr/>
          <w:p>
            <w:pPr>
              <w:pStyle w:val="Compact"/>
            </w:pPr>
            <w:r>
              <w:t xml:space="preserve">Coletar, na própria linha de</w:t>
            </w:r>
            <w:r>
              <w:t xml:space="preserve"> </w:t>
            </w:r>
            <w:r>
              <w:t xml:space="preserve">“ação extra”</w:t>
            </w:r>
            <w:r>
              <w:t xml:space="preserve"> </w:t>
            </w:r>
            <w:r>
              <w:t xml:space="preserve">em T12, os dados que os outros tipos precisam (ex.: tipo de movimentação para</w:t>
            </w:r>
            <w:r>
              <w:t xml:space="preserve"> </w:t>
            </w:r>
            <w:r>
              <w:rPr>
                <w:rStyle w:val="VerbatimChar"/>
              </w:rPr>
              <w:t xml:space="preserve">tpa_tipo=3</w:t>
            </w:r>
            <w:r>
              <w:t xml:space="preserve">, status alvo para</w:t>
            </w:r>
            <w:r>
              <w:t xml:space="preserve"> </w:t>
            </w:r>
            <w:r>
              <w:rPr>
                <w:rStyle w:val="VerbatimChar"/>
              </w:rPr>
              <w:t xml:space="preserve">tpa_tipo=4</w:t>
            </w:r>
            <w:r>
              <w:t xml:space="preserve">) — equivalente ao que já existe hoje na aba Ações de T9 para ações pré-configuradas</w:t>
            </w:r>
          </w:p>
        </w:tc>
        <w:tc>
          <w:tcPr/>
          <w:p>
            <w:pPr>
              <w:pStyle w:val="Compact"/>
            </w:pPr>
            <w:r>
              <w:t xml:space="preserve">Mantém a RN03.15 fiel ao requisito original; exige UI adicional condicional por tipo de ação e possivelmente ajuste de persistência em</w:t>
            </w:r>
            <w:r>
              <w:t xml:space="preserve"> </w:t>
            </w:r>
            <w:r>
              <w:rPr>
                <w:rStyle w:val="VerbatimChar"/>
              </w:rPr>
              <w:t xml:space="preserve">OcorreTrataOcorrenciaModel</w:t>
            </w:r>
          </w:p>
        </w:tc>
      </w:tr>
    </w:tbl>
    <w:p>
      <w:pPr>
        <w:pStyle w:val="BodyText"/>
      </w:pPr>
      <w:r>
        <w:t xml:space="preserve">Esta decisão também afeta diretamente o item</w:t>
      </w:r>
      <w:r>
        <w:t xml:space="preserve"> </w:t>
      </w:r>
      <w:r>
        <w:t xml:space="preserve">“Pontos aceitáveis”</w:t>
      </w:r>
      <w:r>
        <w:t xml:space="preserve"> </w:t>
      </w:r>
      <w:r>
        <w:t xml:space="preserve">abaixo referente a</w:t>
      </w:r>
      <w:r>
        <w:t xml:space="preserve"> </w:t>
      </w:r>
      <w:r>
        <w:rPr>
          <w:rStyle w:val="VerbatimChar"/>
        </w:rPr>
        <w:t xml:space="preserve">resolveStatusFinal()</w:t>
      </w:r>
      <w:r>
        <w:t xml:space="preserve">, que está acoplado a este gap.</w:t>
      </w:r>
    </w:p>
    <w:p>
      <w:pPr>
        <w:pStyle w:val="BodyText"/>
      </w:pPr>
      <w:r>
        <w:rPr>
          <w:b/>
          <w:bCs/>
        </w:rPr>
        <w:t xml:space="preserve">Decisão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:</w:t>
      </w:r>
      <w:r>
        <w:t xml:space="preserve"> </w:t>
      </w:r>
      <w:r>
        <w:t xml:space="preserve">alternativa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escolhida — coletar os dados extras na própria linha da ação adicionada.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restringir a</w:t>
      </w:r>
      <w:r>
        <w:t xml:space="preserve"> </w:t>
      </w:r>
      <w:r>
        <w:t xml:space="preserve">“Justificar”</w:t>
      </w:r>
      <w:r>
        <w:t xml:space="preserve">. Justificativa: a RN03.15 aprovada permite explicitamente ações extras sem restrição de tipo; o padrão de UI necessário já existe em</w:t>
      </w:r>
      <w:r>
        <w:t xml:space="preserve"> </w:t>
      </w:r>
      <w:r>
        <w:rPr>
          <w:rStyle w:val="VerbatimChar"/>
        </w:rPr>
        <w:t xml:space="preserve">EntOcoSubtOcorrencia::defCamposAcao()</w:t>
      </w:r>
      <w:r>
        <w:t xml:space="preserve"> </w:t>
      </w:r>
      <w:r>
        <w:t xml:space="preserve">(campos condicionais</w:t>
      </w:r>
      <w:r>
        <w:t xml:space="preserve"> </w:t>
      </w:r>
      <w:r>
        <w:rPr>
          <w:rStyle w:val="VerbatimChar"/>
        </w:rPr>
        <w:t xml:space="preserve">divmovi</w:t>
      </w:r>
      <w:r>
        <w:t xml:space="preserve">/</w:t>
      </w:r>
      <w:r>
        <w:rPr>
          <w:rStyle w:val="VerbatimChar"/>
        </w:rPr>
        <w:t xml:space="preserve">divtela</w:t>
      </w:r>
      <w:r>
        <w:t xml:space="preserve">/</w:t>
      </w:r>
      <w:r>
        <w:rPr>
          <w:rStyle w:val="VerbatimChar"/>
        </w:rPr>
        <w:t xml:space="preserve">divstat</w:t>
      </w:r>
      <w:r>
        <w:t xml:space="preserve"> </w:t>
      </w:r>
      <w:r>
        <w:t xml:space="preserve">conforme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) — é reaproveitamento, não UX nova.</w:t>
      </w:r>
    </w:p>
    <w:p>
      <w:pPr>
        <w:pStyle w:val="BodyText"/>
      </w:pPr>
      <w:r>
        <w:rPr>
          <w:b/>
          <w:bCs/>
        </w:rPr>
        <w:t xml:space="preserve">Encaminhamento concreto para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bydev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Na linha de</w:t>
      </w:r>
      <w:r>
        <w:t xml:space="preserve"> </w:t>
      </w:r>
      <w:r>
        <w:t xml:space="preserve">“ação extra”</w:t>
      </w:r>
      <w:r>
        <w:t xml:space="preserve"> </w:t>
      </w:r>
      <w:r>
        <w:t xml:space="preserve">em T12 (</w:t>
      </w:r>
      <w:r>
        <w:rPr>
          <w:rStyle w:val="VerbatimChar"/>
        </w:rPr>
        <w:t xml:space="preserve">finalizar()</w:t>
      </w:r>
      <w:r>
        <w:t xml:space="preserve">), replicar o mesmo padrão condicional de campos (</w:t>
      </w:r>
      <w:r>
        <w:rPr>
          <w:rStyle w:val="VerbatimChar"/>
        </w:rPr>
        <w:t xml:space="preserve">tmo_id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tpa_tipo=3</w:t>
      </w:r>
      <w:r>
        <w:t xml:space="preserve">,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tpa_tipo=4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tpa_tipo=2</w:t>
      </w:r>
      <w:r>
        <w:t xml:space="preserve">) já usado em T9.</w:t>
      </w:r>
    </w:p>
    <w:p>
      <w:pPr>
        <w:pStyle w:val="Compact"/>
        <w:numPr>
          <w:ilvl w:val="0"/>
          <w:numId w:val="1003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quando a ação executada for uma ação extra (sem correspondência em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), usar os valores informados na própria linha (</w:t>
      </w:r>
      <w:r>
        <w:rPr>
          <w:rStyle w:val="VerbatimChar"/>
        </w:rPr>
        <w:t xml:space="preserve">tmo_id</w:t>
      </w:r>
      <w:r>
        <w:t xml:space="preserve">/</w:t>
      </w:r>
      <w:r>
        <w:rPr>
          <w:rStyle w:val="VerbatimChar"/>
        </w:rPr>
        <w:t xml:space="preserve">stt_id</w:t>
      </w:r>
      <w:r>
        <w:t xml:space="preserve">/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vindos do POST daquela linha) em vez de buscar via</w:t>
      </w:r>
      <w:r>
        <w:t xml:space="preserve"> </w:t>
      </w:r>
      <w:r>
        <w:rPr>
          <w:rStyle w:val="VerbatimChar"/>
        </w:rPr>
        <w:t xml:space="preserve">getTOAcao()</w:t>
      </w:r>
      <w:r>
        <w:t xml:space="preserve">/</w:t>
      </w:r>
      <w:r>
        <w:rPr>
          <w:rStyle w:val="VerbatimChar"/>
        </w:rPr>
        <w:t xml:space="preserve">getAcaoPorId()</w:t>
      </w:r>
      <w:r>
        <w:t xml:space="preserve"> </w:t>
      </w:r>
      <w:r>
        <w:t xml:space="preserve">— que continuam sendo usados normalmente para ações de origem (pré-configuradas no subtipo).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gerarMovimentacao()</w:t>
      </w:r>
      <w:r>
        <w:t xml:space="preserve">/</w:t>
      </w:r>
      <w:r>
        <w:rPr>
          <w:rStyle w:val="VerbatimChar"/>
        </w:rPr>
        <w:t xml:space="preserve">resolveStatusFinal()</w:t>
      </w:r>
      <w:r>
        <w:t xml:space="preserve"> </w:t>
      </w:r>
      <w:r>
        <w:t xml:space="preserve">precisam aceitar dados vindos da linha quando a ação for extra, e só cair para</w:t>
      </w:r>
      <w:r>
        <w:t xml:space="preserve"> </w:t>
      </w:r>
      <w:r>
        <w:rPr>
          <w:rStyle w:val="VerbatimChar"/>
        </w:rPr>
        <w:t xml:space="preserve">getTOAcao()</w:t>
      </w:r>
      <w:r>
        <w:t xml:space="preserve">/</w:t>
      </w:r>
      <w:r>
        <w:rPr>
          <w:rStyle w:val="VerbatimChar"/>
        </w:rPr>
        <w:t xml:space="preserve">getAcaoPorId()</w:t>
      </w:r>
      <w:r>
        <w:t xml:space="preserve"> </w:t>
      </w:r>
      <w:r>
        <w:t xml:space="preserve">quando for ação de origem.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Persistência:</w:t>
      </w:r>
      <w:r>
        <w:t xml:space="preserve"> </w:t>
      </w:r>
      <w:r>
        <w:t xml:space="preserve">não é necessário nova tabela/coluna — os dados da ação extra trafegam apenas no POST do formulário de tratativa e são processados dentro do próprio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; não persistem em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(exclusivo do cadastro em T9). Se 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perceber necessidade real de tabela de histórico/auditoria da tratativa, deve sinalizar antes de criar schema novo — não criar unilateralmente.</w:t>
      </w:r>
    </w:p>
    <w:p>
      <w:pPr>
        <w:pStyle w:val="FirstParagraph"/>
      </w:pPr>
      <w:r>
        <w:t xml:space="preserve">Detalhamento completo já incorporado ao documento de desenvolvimento aprovado (RN03.15, Seção 7).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55899295e50d5302adb5a4451ef12e6eff817b4"/>
    <w:p>
      <w:pPr>
        <w:pStyle w:val="Heading2"/>
      </w:pPr>
      <w:r>
        <w:t xml:space="preserve">2. Pontos já avaliados como aceitáveis (registro de rastreabilidade)</w:t>
      </w:r>
    </w:p>
    <w:p>
      <w:pPr>
        <w:pStyle w:val="FirstParagraph"/>
      </w:pPr>
      <w:r>
        <w:t xml:space="preserve">Itens abaixo foram avaliados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geram apontamento</w:t>
      </w:r>
      <w:r>
        <w:t xml:space="preserve"> </w:t>
      </w:r>
      <w:r>
        <w:t xml:space="preserve">— não precisam de ação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neste ciclo: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removeAcaoExtra()</w:t>
      </w:r>
      <w:r>
        <w:rPr>
          <w:b/>
          <w:bCs/>
        </w:rPr>
        <w:t xml:space="preserve"> </w:t>
      </w:r>
      <w:r>
        <w:rPr>
          <w:b/>
          <w:bCs/>
        </w:rPr>
        <w:t xml:space="preserve">customizado em vez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exclui_campo()</w:t>
      </w:r>
      <w:r>
        <w:t xml:space="preserve"> </w:t>
      </w:r>
      <w:r>
        <w:t xml:space="preserve">— aceitável; justificado pela estrutura HTML diferente entre a linha de ação extra (</w:t>
      </w:r>
      <w:r>
        <w:rPr>
          <w:rStyle w:val="VerbatimChar"/>
        </w:rPr>
        <w:t xml:space="preserve">&lt;tr&gt;</w:t>
      </w:r>
      <w:r>
        <w:t xml:space="preserve">) e o padrão de linha repetida em</w:t>
      </w:r>
      <w:r>
        <w:t xml:space="preserve"> </w:t>
      </w:r>
      <w:r>
        <w:rPr>
          <w:rStyle w:val="VerbatimChar"/>
        </w:rPr>
        <w:t xml:space="preserve">.row</w:t>
      </w:r>
      <w:r>
        <w:t xml:space="preserve"> </w:t>
      </w:r>
      <w:r>
        <w:t xml:space="preserve">usado por</w:t>
      </w:r>
      <w:r>
        <w:t xml:space="preserve"> </w:t>
      </w:r>
      <w:r>
        <w:rPr>
          <w:rStyle w:val="VerbatimChar"/>
        </w:rPr>
        <w:t xml:space="preserve">exclui_campo()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resolveStatusFinal()</w:t>
      </w:r>
      <w:r>
        <w:rPr>
          <w:b/>
          <w:bCs/>
        </w:rPr>
        <w:t xml:space="preserve"> </w:t>
      </w:r>
      <w:r>
        <w:rPr>
          <w:b/>
          <w:bCs/>
        </w:rPr>
        <w:t xml:space="preserve">reaproveitando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getAcaoPorId()</w:t>
      </w:r>
      <w:r>
        <w:rPr>
          <w:b/>
          <w:bCs/>
        </w:rPr>
        <w:t xml:space="preserve"> </w:t>
      </w:r>
      <w:r>
        <w:rPr>
          <w:b/>
          <w:bCs/>
        </w:rPr>
        <w:t xml:space="preserve">existente</w:t>
      </w:r>
      <w:r>
        <w:t xml:space="preserve"> </w:t>
      </w:r>
      <w:r>
        <w:t xml:space="preserve">— aceitável como reaproveitamento de código, mas</w:t>
      </w:r>
      <w:r>
        <w:t xml:space="preserve"> </w:t>
      </w:r>
      <w:r>
        <w:rPr>
          <w:b/>
          <w:bCs/>
        </w:rPr>
        <w:t xml:space="preserve">acoplado ao Bloqueante 2</w:t>
      </w:r>
      <w:r>
        <w:t xml:space="preserve"> </w:t>
      </w:r>
      <w:r>
        <w:t xml:space="preserve">acima: a correção definitiva desse método depende da decisão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sobre como ações extras não configuradas devem se comportar.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edit()</w:t>
      </w:r>
      <w:r>
        <w:rPr>
          <w:b/>
          <w:bCs/>
        </w:rPr>
        <w:t xml:space="preserve"> </w:t>
      </w:r>
      <w:r>
        <w:rPr>
          <w:b/>
          <w:bCs/>
        </w:rPr>
        <w:t xml:space="preserve">em T11 usando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throw new \Exception(...)</w:t>
      </w:r>
      <w:r>
        <w:rPr>
          <w:b/>
          <w:bCs/>
        </w:rPr>
        <w:t xml:space="preserve"> </w:t>
      </w:r>
      <w:r>
        <w:rPr>
          <w:b/>
          <w:bCs/>
        </w:rPr>
        <w:t xml:space="preserve">não capturado para RN04.1</w:t>
      </w:r>
      <w:r>
        <w:t xml:space="preserve"> </w:t>
      </w:r>
      <w:r>
        <w:t xml:space="preserve">(resulta em página de erro padrão do CI4 em vez de resposta JSON) — aceitável neste ciclo por reaproveitar padrão pré-existente no mesmo método. Registrado como</w:t>
      </w:r>
      <w:r>
        <w:t xml:space="preserve"> </w:t>
      </w:r>
      <w:r>
        <w:rPr>
          <w:b/>
          <w:bCs/>
        </w:rPr>
        <w:t xml:space="preserve">sugestão de melhoria futura não-bloqueante</w:t>
      </w:r>
      <w:r>
        <w:t xml:space="preserve"> </w:t>
      </w:r>
      <w:r>
        <w:t xml:space="preserve">(inconsistência de UX entre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para a mesma RN) — não precisa ser corrigido neste ciclo.</w:t>
      </w:r>
    </w:p>
    <w:p>
      <w:r>
        <w:pict>
          <v:rect style="width:0;height:1.5pt" o:hralign="center" o:hrstd="t" o:hr="t"/>
        </w:pict>
      </w:r>
    </w:p>
    <w:bookmarkEnd w:id="12"/>
    <w:bookmarkStart w:id="13" w:name="sugestões-de-melhoria-não-bloqueantes"/>
    <w:p>
      <w:pPr>
        <w:pStyle w:val="Heading2"/>
      </w:pPr>
      <w:r>
        <w:t xml:space="preserve">3. Sugestões de melhoria (não-bloqueantes)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OcoSubtOcorrencia::ativinativ()</w:t>
      </w:r>
      <w:r>
        <w:t xml:space="preserve"> </w:t>
      </w:r>
      <w:r>
        <w:t xml:space="preserve">— no bloco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, o ramo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mantém o comportamento pré-existente de sempre atribuir</w:t>
      </w:r>
      <w:r>
        <w:t xml:space="preserve"> </w:t>
      </w:r>
      <w:r>
        <w:rPr>
          <w:rStyle w:val="VerbatimChar"/>
        </w:rPr>
        <w:t xml:space="preserve">$ret['msg'] = 14</w:t>
      </w:r>
      <w:r>
        <w:t xml:space="preserve"> </w:t>
      </w:r>
      <w:r>
        <w:t xml:space="preserve">para qualquer exceção capturada, mesmo erros de banco não relacionados a pendências de ocorrência. Isso é enganoso (mensagem incorreta para o usuário em cenários de erro genérico). É um bug pré-existente, não introduzido nesta sessão — mas como o bloco foi reescrito por completo nesta feature (RN06.2), é uma boa oportunidade para corrigir junto.</w:t>
      </w:r>
      <w:r>
        <w:t xml:space="preserve"> </w:t>
      </w:r>
      <w:r>
        <w:rPr>
          <w:b/>
          <w:bCs/>
        </w:rPr>
        <w:t xml:space="preserve">Decisão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aprovado corrigir agora</w:t>
      </w:r>
      <w:r>
        <w:t xml:space="preserve"> </w:t>
      </w:r>
      <w:r>
        <w:t xml:space="preserve">— já está sendo reescrito para o Bloqueante 1. Diferenciar exceção de</w:t>
      </w:r>
      <w:r>
        <w:t xml:space="preserve"> </w:t>
      </w:r>
      <w:r>
        <w:t xml:space="preserve">“possui pendência”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$ret['msg'] = 14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$ret['pendencias']</w:t>
      </w:r>
      <w:r>
        <w:t xml:space="preserve">) de qualquer outro erro genérico (→ usar</w:t>
      </w:r>
      <w:r>
        <w:t xml:space="preserve"> </w:t>
      </w:r>
      <w:r>
        <w:rPr>
          <w:rStyle w:val="VerbatimChar"/>
        </w:rPr>
        <w:t xml:space="preserve">$ret['msg'] = 17</w:t>
      </w:r>
      <w:r>
        <w:t xml:space="preserve">,</w:t>
      </w:r>
      <w:r>
        <w:t xml:space="preserve"> </w:t>
      </w:r>
      <w:r>
        <w:t xml:space="preserve">“Problema no Sistema”</w:t>
      </w:r>
      <w:r>
        <w:t xml:space="preserve">, já cadastrada em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, em vez de mascarar como pendência). Detalhamento já incorporado ao documento de desenvolvimento (RN06.2, Seção 5).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OcorreSubtOcorrenciaModel::getUsoGestao()</w:t>
      </w:r>
      <w:r>
        <w:t xml:space="preserve"> </w:t>
      </w:r>
      <w:r>
        <w:t xml:space="preserve">ficou sem nenhuma chamada após a RN06.2 (substituído por</w:t>
      </w:r>
      <w:r>
        <w:t xml:space="preserve"> </w:t>
      </w:r>
      <w:r>
        <w:rPr>
          <w:rStyle w:val="VerbatimChar"/>
        </w:rPr>
        <w:t xml:space="preserve">getPendenciasGestao()</w:t>
      </w:r>
      <w:r>
        <w:t xml:space="preserve">). O documento de desenvolvimento permitia</w:t>
      </w:r>
      <w:r>
        <w:t xml:space="preserve"> </w:t>
      </w:r>
      <w:r>
        <w:t xml:space="preserve">“substituir ou complementar”</w:t>
      </w:r>
      <w:r>
        <w:t xml:space="preserve"> </w:t>
      </w:r>
      <w:r>
        <w:t xml:space="preserve">(Seção 5, RN06.2) — manter o método é aceitável, mas considerar removê-lo se não há intenção de reaproveitá-lo, para evitar código morto.</w:t>
      </w:r>
      <w:r>
        <w:t xml:space="preserve"> </w:t>
      </w:r>
      <w:r>
        <w:rPr>
          <w:b/>
          <w:bCs/>
        </w:rPr>
        <w:t xml:space="preserve">Decisão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deve rodar grep por</w:t>
      </w:r>
      <w:r>
        <w:t xml:space="preserve"> </w:t>
      </w:r>
      <w:r>
        <w:rPr>
          <w:rStyle w:val="VerbatimChar"/>
        </w:rPr>
        <w:t xml:space="preserve">getUsoGestao</w:t>
      </w:r>
      <w:r>
        <w:t xml:space="preserve"> </w:t>
      </w:r>
      <w:r>
        <w:t xml:space="preserve">em todo o projeto antes de remover — se não houver nenhum outro chamador (nem em T10/</w:t>
      </w:r>
      <w:r>
        <w:rPr>
          <w:rStyle w:val="VerbatimChar"/>
        </w:rPr>
        <w:t xml:space="preserve">OcoTipoOcorrencia</w:t>
      </w:r>
      <w:r>
        <w:t xml:space="preserve"> </w:t>
      </w:r>
      <w:r>
        <w:t xml:space="preserve">nem em outro lugar), remover; se houver, manter e só registrar como está.</w:t>
      </w:r>
    </w:p>
    <w:p>
      <w:r>
        <w:pict>
          <v:rect style="width:0;height:1.5pt" o:hralign="center" o:hrstd="t" o:hr="t"/>
        </w:pict>
      </w:r>
    </w:p>
    <w:bookmarkEnd w:id="13"/>
    <w:bookmarkStart w:id="14" w:name="Xa426d198bb2bbfd29588ba7ddcb8273b711a236"/>
    <w:p>
      <w:pPr>
        <w:pStyle w:val="Heading2"/>
      </w:pPr>
      <w:r>
        <w:t xml:space="preserve">4. Conformidade geral verificada (sem apontamentos)</w:t>
      </w:r>
    </w:p>
    <w:p>
      <w:pPr>
        <w:pStyle w:val="FirstParagraph"/>
      </w:pPr>
      <w:r>
        <w:t xml:space="preserve">Itens abaixo foram checados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e estão conformes com o documento de desenvolvimento aprovado e com os padrões de</w:t>
      </w:r>
      <w:r>
        <w:t xml:space="preserve"> </w:t>
      </w:r>
      <w:r>
        <w:rPr>
          <w:rStyle w:val="VerbatimChar"/>
        </w:rPr>
        <w:t xml:space="preserve">docs/referencia/</w:t>
      </w:r>
      <w:r>
        <w:t xml:space="preserve"> </w:t>
      </w:r>
      <w:r>
        <w:t xml:space="preserve">— registrados apenas para rastreabilidade:</w:t>
      </w:r>
    </w:p>
    <w:p>
      <w:pPr>
        <w:pStyle w:val="Compact"/>
        <w:numPr>
          <w:ilvl w:val="0"/>
          <w:numId w:val="1006"/>
        </w:numPr>
      </w:pPr>
      <w:r>
        <w:t xml:space="preserve">Uso correto de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/</w:t>
      </w:r>
      <w:r>
        <w:rPr>
          <w:rStyle w:val="VerbatimChar"/>
        </w:rPr>
        <w:t xml:space="preserve">criaSelectRelativo()</w:t>
      </w:r>
      <w:r>
        <w:t xml:space="preserve">/</w:t>
      </w:r>
      <w:r>
        <w:rPr>
          <w:rStyle w:val="VerbatimChar"/>
        </w:rPr>
        <w:t xml:space="preserve">crCheckbox()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EntOcoSubtOcorrencia</w:t>
      </w:r>
      <w:r>
        <w:t xml:space="preserve">/</w:t>
      </w:r>
      <w:r>
        <w:rPr>
          <w:rStyle w:val="VerbatimChar"/>
        </w:rPr>
        <w:t xml:space="preserve">EntOcoTratativa</w:t>
      </w:r>
      <w:r>
        <w:t xml:space="preserve">, conforme</w:t>
      </w:r>
      <w:r>
        <w:t xml:space="preserve"> </w:t>
      </w:r>
      <w:r>
        <w:rPr>
          <w:rStyle w:val="VerbatimChar"/>
        </w:rPr>
        <w:t xml:space="preserve">rascunho-MyCampo.md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executaAjaxWait</w:t>
      </w:r>
      <w:r>
        <w:t xml:space="preserve">/</w:t>
      </w:r>
      <w:r>
        <w:rPr>
          <w:rStyle w:val="VerbatimChar"/>
        </w:rPr>
        <w:t xml:space="preserve">boxAlert</w:t>
      </w:r>
      <w:r>
        <w:t xml:space="preserve"> </w:t>
      </w:r>
      <w:r>
        <w:t xml:space="preserve">seguidos corretamente, sem</w:t>
      </w:r>
      <w:r>
        <w:t xml:space="preserve"> </w:t>
      </w:r>
      <w:r>
        <w:rPr>
          <w:rStyle w:val="VerbatimChar"/>
        </w:rPr>
        <w:t xml:space="preserve">jQuery.ajax</w:t>
      </w:r>
      <w:r>
        <w:t xml:space="preserve">/</w:t>
      </w:r>
      <w:r>
        <w:rPr>
          <w:rStyle w:val="VerbatimChar"/>
        </w:rPr>
        <w:t xml:space="preserve">alert</w:t>
      </w:r>
      <w:r>
        <w:t xml:space="preserve">/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nativo introduzido — conforme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Hook em</w:t>
      </w:r>
      <w:r>
        <w:t xml:space="preserve"> </w:t>
      </w:r>
      <w:r>
        <w:rPr>
          <w:rStyle w:val="VerbatimChar"/>
        </w:rPr>
        <w:t xml:space="preserve">my_default.js</w:t>
      </w:r>
      <w:r>
        <w:t xml:space="preserve"> </w:t>
      </w:r>
      <w:r>
        <w:t xml:space="preserve">segue o padrão já usado para outros controllers.</w:t>
      </w:r>
    </w:p>
    <w:p>
      <w:pPr>
        <w:pStyle w:val="Compact"/>
        <w:numPr>
          <w:ilvl w:val="0"/>
          <w:numId w:val="1006"/>
        </w:numPr>
      </w:pPr>
      <w:r>
        <w:t xml:space="preserve">Nenhum arquivo fora do escopo foi tocado, exceto</w:t>
      </w:r>
      <w:r>
        <w:t xml:space="preserve"> </w:t>
      </w:r>
      <w:r>
        <w:rPr>
          <w:rStyle w:val="VerbatimChar"/>
        </w:rPr>
        <w:t xml:space="preserve">vw_titulo.php</w:t>
      </w:r>
      <w:r>
        <w:t xml:space="preserve"> </w:t>
      </w:r>
      <w:r>
        <w:t xml:space="preserve">— identificado como edição paralela do próprio usuário, fora deste ciclo.</w:t>
      </w:r>
    </w:p>
    <w:p>
      <w:pPr>
        <w:pStyle w:val="Compact"/>
        <w:numPr>
          <w:ilvl w:val="0"/>
          <w:numId w:val="1006"/>
        </w:numPr>
      </w:pPr>
      <w:r>
        <w:t xml:space="preserve">Nenhuma RN listada no documento aprovado como</w:t>
      </w:r>
      <w:r>
        <w:t xml:space="preserve"> </w:t>
      </w:r>
      <w:r>
        <w:t xml:space="preserve">“sem alteração necessária”</w:t>
      </w:r>
      <w:r>
        <w:t xml:space="preserve"> </w:t>
      </w:r>
      <w:r>
        <w:t xml:space="preserve">foi mexida (T9: RN02.1–03, RN03.1–05, RN03.7, RN03.8–09, RN04.3, RN05.1–02, RN06.1, RN06.3; T11: RN02.1–03, RN03.1.1–05, RN03.2.1–04, RN03.2.6, RN03.3–04, RN04.2, RN04.3, RN05.2; T12: RN02.1–04, RN03.1–14, RN03.16–17).</w:t>
      </w:r>
    </w:p>
    <w:p>
      <w:pPr>
        <w:pStyle w:val="Compact"/>
        <w:numPr>
          <w:ilvl w:val="0"/>
          <w:numId w:val="1006"/>
        </w:numPr>
      </w:pPr>
      <w:r>
        <w:t xml:space="preserve">RN03.6, RN03.1.6/RN03.2.5, RN03.18, RN03.18.2 conferem exatamente com o documento aprovado.</w:t>
      </w:r>
    </w:p>
    <w:p>
      <w:pPr>
        <w:pStyle w:val="Compact"/>
        <w:numPr>
          <w:ilvl w:val="0"/>
          <w:numId w:val="1006"/>
        </w:numPr>
      </w:pPr>
      <w:r>
        <w:t xml:space="preserve">Nome da coluna da migration (</w:t>
      </w:r>
      <w:r>
        <w:rPr>
          <w:rStyle w:val="VerbatimChar"/>
        </w:rPr>
        <w:t xml:space="preserve">sta_fina</w:t>
      </w:r>
      <w:r>
        <w:t xml:space="preserve">) bate 100% com o código que a referencia.</w:t>
      </w:r>
    </w:p>
    <w:p>
      <w:pPr>
        <w:pStyle w:val="Compact"/>
        <w:numPr>
          <w:ilvl w:val="0"/>
          <w:numId w:val="1006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debug()</w:t>
      </w:r>
      <w:r>
        <w:t xml:space="preserve"> </w:t>
      </w:r>
      <w:r>
        <w:t xml:space="preserve">novo não comentado introduzido no código revisado.</w:t>
      </w:r>
    </w:p>
    <w:p>
      <w:r>
        <w:pict>
          <v:rect style="width:0;height:1.5pt" o:hralign="center" o:hrstd="t" o:hr="t"/>
        </w:pict>
      </w:r>
    </w:p>
    <w:bookmarkEnd w:id="14"/>
    <w:bookmarkStart w:id="15" w:name="encaminhamento"/>
    <w:p>
      <w:pPr>
        <w:pStyle w:val="Heading2"/>
      </w:pPr>
      <w:r>
        <w:t xml:space="preserve">5. Encaminhamento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  <w:strike/>
        </w:rPr>
        <w:t xml:space="preserve">byarq</w:t>
      </w:r>
      <w:r>
        <w:rPr>
          <w:strike/>
        </w:rPr>
        <w:t xml:space="preserve"> </w:t>
      </w:r>
      <w:r>
        <w:rPr>
          <w:strike/>
        </w:rPr>
        <w:t xml:space="preserve">— decidir entre as alternativas (a) e (b) do</w:t>
      </w:r>
      <w:r>
        <w:rPr>
          <w:strike/>
        </w:rPr>
        <w:t xml:space="preserve"> </w:t>
      </w:r>
      <w:r>
        <w:rPr>
          <w:b/>
          <w:bCs/>
          <w:strike/>
        </w:rPr>
        <w:t xml:space="preserve">Bloqueante 2</w:t>
      </w:r>
      <w:r>
        <w:rPr>
          <w:strike/>
        </w:rPr>
        <w:t xml:space="preserve">; validar a observação sobre a assinatura de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getMensagem()</w:t>
      </w:r>
      <w:r>
        <w:rPr>
          <w:strike/>
        </w:rPr>
        <w:t xml:space="preserve"> </w:t>
      </w:r>
      <w:r>
        <w:rPr>
          <w:strike/>
        </w:rPr>
        <w:t xml:space="preserve">no</w:t>
      </w:r>
      <w:r>
        <w:rPr>
          <w:strike/>
        </w:rPr>
        <w:t xml:space="preserve"> </w:t>
      </w:r>
      <w:r>
        <w:rPr>
          <w:b/>
          <w:bCs/>
          <w:strike/>
        </w:rPr>
        <w:t xml:space="preserve">Bloqueante 1</w:t>
      </w:r>
      <w:r>
        <w:rPr>
          <w:strike/>
        </w:rPr>
        <w:t xml:space="preserve">.</w:t>
      </w:r>
      <w:r>
        <w:t xml:space="preserve"> </w:t>
      </w:r>
      <w:r>
        <w:rPr>
          <w:b/>
          <w:bCs/>
        </w:rPr>
        <w:t xml:space="preserve">Concluído</w:t>
      </w:r>
      <w:r>
        <w:t xml:space="preserve"> </w:t>
      </w:r>
      <w:r>
        <w:t xml:space="preserve">— decisões registradas nas Seções 1 e 3 acima (Bloqueante 1: remoção do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no controller, retorno de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t xml:space="preserve">inteiro puro; Bloqueante 2: alternativa (b); catch genérico de</w:t>
      </w:r>
      <w:r>
        <w:t xml:space="preserve"> </w:t>
      </w:r>
      <w:r>
        <w:rPr>
          <w:rStyle w:val="VerbatimChar"/>
        </w:rPr>
        <w:t xml:space="preserve">ativinativ()</w:t>
      </w:r>
      <w:r>
        <w:t xml:space="preserve">: aprovado corrigir;</w:t>
      </w:r>
      <w:r>
        <w:t xml:space="preserve"> </w:t>
      </w:r>
      <w:r>
        <w:rPr>
          <w:rStyle w:val="VerbatimChar"/>
        </w:rPr>
        <w:t xml:space="preserve">getUsoGestao()</w:t>
      </w:r>
      <w:r>
        <w:t xml:space="preserve"> </w:t>
      </w:r>
      <w:r>
        <w:t xml:space="preserve">órfão: remover somente após grep confirmando ausência de outros chamadores).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bydev</w:t>
      </w:r>
      <w:r>
        <w:t xml:space="preserve"> </w:t>
      </w:r>
      <w:r>
        <w:t xml:space="preserve">— aplicar a correção do Bloqueante 1 (remoção de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do controller, RN06.2/RN04.1); aplicar a correção do Bloqueante 2 (alternativa (b) — ação extra com dados coletados na própria linha, RN03.15); aplicar as duas sugestões não-bloqueantes da Seção 3 (catch diferenciado de</w:t>
      </w:r>
      <w:r>
        <w:t xml:space="preserve"> </w:t>
      </w:r>
      <w:r>
        <w:rPr>
          <w:rStyle w:val="VerbatimChar"/>
        </w:rPr>
        <w:t xml:space="preserve">ativinativ()</w:t>
      </w:r>
      <w:r>
        <w:t xml:space="preserve">; remoção condicional de</w:t>
      </w:r>
      <w:r>
        <w:t xml:space="preserve"> </w:t>
      </w:r>
      <w:r>
        <w:rPr>
          <w:rStyle w:val="VerbatimChar"/>
        </w:rPr>
        <w:t xml:space="preserve">getUsoGestao()</w:t>
      </w:r>
      <w:r>
        <w:t xml:space="preserve"> </w:t>
      </w:r>
      <w:r>
        <w:t xml:space="preserve">após grep). Referências completas de implementação: documento de desenvolvimento aprovado, Seção 5 (RN06.2), Seção 6 (RN04.1) e Seção 7 (RN03.15).</w:t>
      </w:r>
    </w:p>
    <w:p>
      <w:pPr>
        <w:pStyle w:val="Compact"/>
        <w:numPr>
          <w:ilvl w:val="0"/>
          <w:numId w:val="1007"/>
        </w:numPr>
      </w:pPr>
      <w:r>
        <w:t xml:space="preserve">Retornar ao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para nova rodada de revisão após as correções.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2026-07-11T03:32:51Z</dcterms:created>
  <dcterms:modified xsi:type="dcterms:W3CDTF">2026-07-11T03:32:51Z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