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1c912a1c4e822200b6d8aca121e8cda0057d57"/>
    <w:p>
      <w:pPr>
        <w:pStyle w:val="Heading1"/>
      </w:pPr>
      <w:r>
        <w:t xml:space="preserve">Apontamentos de Revisão — Módulo Fornecedores (T42)</w:t>
      </w:r>
    </w:p>
    <w:p>
      <w:pPr>
        <w:pStyle w:val="FirstParagraph"/>
      </w:pPr>
      <w:r>
        <w:rPr>
          <w:b/>
          <w:bCs/>
        </w:rPr>
        <w:t xml:space="preserve">Rodada:</w:t>
      </w:r>
      <w:r>
        <w:t xml:space="preserve"> </w:t>
      </w:r>
      <w:r>
        <w:t xml:space="preserve">01</w:t>
      </w:r>
      <w:r>
        <w:t xml:space="preserve"> </w:t>
      </w:r>
      <w:r>
        <w:rPr>
          <w:b/>
          <w:bCs/>
        </w:rPr>
        <w:t xml:space="preserve">Revisor: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Fornecedores (</w:t>
      </w:r>
      <w:r>
        <w:rPr>
          <w:rStyle w:val="VerbatimChar"/>
        </w:rPr>
        <w:t xml:space="preserve">app/Controllers/Fornecedores</w:t>
      </w:r>
      <w:r>
        <w:t xml:space="preserve">)</w:t>
      </w:r>
      <w:r>
        <w:t xml:space="preserve"> </w:t>
      </w:r>
      <w:r>
        <w:rPr>
          <w:b/>
          <w:bCs/>
        </w:rPr>
        <w:t xml:space="preserve">Tela revisada:</w:t>
      </w:r>
      <w:r>
        <w:t xml:space="preserve"> </w:t>
      </w:r>
      <w:r>
        <w:t xml:space="preserve">T42 — Desvio de Qualidade</w:t>
      </w:r>
      <w:r>
        <w:t xml:space="preserve"> </w:t>
      </w:r>
      <w:r>
        <w:rPr>
          <w:b/>
          <w:bCs/>
        </w:rPr>
        <w:t xml:space="preserve">Documento de referência:</w:t>
      </w:r>
      <w:r>
        <w:t xml:space="preserve"> </w:t>
      </w:r>
      <w:r>
        <w:rPr>
          <w:rStyle w:val="VerbatimChar"/>
        </w:rPr>
        <w:t xml:space="preserve">docs/desenvolvimento/fornecedores-t42-t43-dev.docx</w:t>
      </w:r>
      <w:r>
        <w:t xml:space="preserve"> </w:t>
      </w:r>
      <w:r>
        <w:t xml:space="preserve">(aprovado)</w:t>
      </w:r>
      <w:r>
        <w:t xml:space="preserve"> </w:t>
      </w:r>
      <w:r>
        <w:rPr>
          <w:b/>
          <w:bCs/>
        </w:rPr>
        <w:t xml:space="preserve">Arquivos revisados: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app/Database/Migrations/2026-07-12-000001_FornecedoresT42T43.php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app/Entities/Fornecedores/EntOcoNotifDesvio.php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app/Models/Fornec/FornecNotifDesvioModel.php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app/Controllers/Fornecedores/NotifDesvio.php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public/assets/jscript/my_fornecedores.js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app/Config/Routes.php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app/Controllers/Ocorrencia/OcoTrataOcorrencia.php</w:t>
      </w:r>
    </w:p>
    <w:p>
      <w:pPr>
        <w:pStyle w:val="BodyText"/>
      </w:pPr>
      <w:r>
        <w:rPr>
          <w:b/>
          <w:bCs/>
        </w:rPr>
        <w:t xml:space="preserve">Destino: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(ciência dos apontamentos e das notas de decisão já registradas) →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(correção)</w:t>
      </w:r>
    </w:p>
    <w:p>
      <w:r>
        <w:pict>
          <v:rect style="width:0;height:1.5pt" o:hralign="center" o:hrstd="t" o:hr="t"/>
        </w:pict>
      </w:r>
    </w:p>
    <w:bookmarkStart w:id="9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Rodada de revisão do código de T42 (Fornecedores &gt; Desvio de Qualidade), codificado conforme o documento de desenvolvimento aprovado</w:t>
      </w:r>
      <w:r>
        <w:t xml:space="preserve"> </w:t>
      </w:r>
      <w:r>
        <w:rPr>
          <w:rStyle w:val="VerbatimChar"/>
        </w:rPr>
        <w:t xml:space="preserve">docs/desenvolvimento/fornecedores-t42-t43-dev.md</w:t>
      </w:r>
      <w:r>
        <w:t xml:space="preserve">. 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avaliou a migration de infraestrutura/schema, a Entity/Model/Controller de T42, o JS de front reaproveitado, a rota cadastrada, e a integração automática de origem em T11 (</w:t>
      </w:r>
      <w:r>
        <w:rPr>
          <w:rStyle w:val="VerbatimChar"/>
        </w:rPr>
        <w:t xml:space="preserve">OcoTrataOcorrencia::gerarNotificacaoDesvio()</w:t>
      </w:r>
      <w:r>
        <w:t xml:space="preserve">, disparada pela nova ação</w:t>
      </w:r>
      <w:r>
        <w:t xml:space="preserve"> </w:t>
      </w:r>
      <w:r>
        <w:t xml:space="preserve">“Notificação do Fornecedor”</w:t>
      </w:r>
      <w:r>
        <w:t xml:space="preserve"> </w:t>
      </w:r>
      <w:r>
        <w:t xml:space="preserve">de T8/T9).</w:t>
      </w:r>
    </w:p>
    <w:p>
      <w:r>
        <w:pict>
          <v:rect style="width:0;height:1.5pt" o:hralign="center" o:hrstd="t" o:hr="t"/>
        </w:pict>
      </w:r>
    </w:p>
    <w:bookmarkEnd w:id="9"/>
    <w:bookmarkStart w:id="13" w:name="achados-bloqueantes"/>
    <w:p>
      <w:pPr>
        <w:pStyle w:val="Heading2"/>
      </w:pPr>
      <w:r>
        <w:t xml:space="preserve">1. Achados Bloqueantes</w:t>
      </w:r>
    </w:p>
    <w:bookmarkStart w:id="10" w:name="X33cd9ee3609b6637b4982224a8ff170b2fa5128"/>
    <w:p>
      <w:pPr>
        <w:pStyle w:val="Heading3"/>
      </w:pPr>
      <w:r>
        <w:t xml:space="preserve">Bloqueante 1 — Migration não cadastra</w:t>
      </w:r>
      <w:r>
        <w:t xml:space="preserve"> </w:t>
      </w:r>
      <w:r>
        <w:rPr>
          <w:rStyle w:val="VerbatimChar"/>
        </w:rPr>
        <w:t xml:space="preserve">cfg_tela_lista</w:t>
      </w:r>
      <w:r>
        <w:t xml:space="preserve"> </w:t>
      </w:r>
      <w:r>
        <w:t xml:space="preserve">para T42 (colunas da listagem ficam vazias/quebradas)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app/Controllers/Fornecedores/NotifDesvio.php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index()</w:t>
      </w:r>
      <w:r>
        <w:t xml:space="preserve">/</w:t>
      </w:r>
      <w:r>
        <w:rPr>
          <w:rStyle w:val="VerbatimChar"/>
        </w:rPr>
        <w:t xml:space="preserve">lista()</w:t>
      </w:r>
      <w:r>
        <w:t xml:space="preserve">), em conjunto com</w:t>
      </w:r>
      <w:r>
        <w:t xml:space="preserve"> </w:t>
      </w:r>
      <w:r>
        <w:rPr>
          <w:rStyle w:val="VerbatimChar"/>
        </w:rPr>
        <w:t xml:space="preserve">app/Database/Migrations/2026-07-12-000001_FornecedoresT42T43.php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rPr>
          <w:rStyle w:val="VerbatimChar"/>
        </w:rPr>
        <w:t xml:space="preserve">index()</w:t>
      </w:r>
      <w:r>
        <w:t xml:space="preserve">/</w:t>
      </w:r>
      <w:r>
        <w:rPr>
          <w:rStyle w:val="VerbatimChar"/>
        </w:rPr>
        <w:t xml:space="preserve">lista()</w:t>
      </w:r>
      <w:r>
        <w:t xml:space="preserve"> </w:t>
      </w:r>
      <w:r>
        <w:t xml:space="preserve">usam</w:t>
      </w:r>
      <w:r>
        <w:t xml:space="preserve"> </w:t>
      </w:r>
      <w:r>
        <w:rPr>
          <w:rStyle w:val="VerbatimChar"/>
        </w:rPr>
        <w:t xml:space="preserve">montaColunasLista()</w:t>
      </w:r>
      <w:r>
        <w:t xml:space="preserve">/</w:t>
      </w:r>
      <w:r>
        <w:rPr>
          <w:rStyle w:val="VerbatimChar"/>
        </w:rPr>
        <w:t xml:space="preserve">montaColunasCampos()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app/Common.php:238-264</w:t>
      </w:r>
      <w:r>
        <w:t xml:space="preserve">), que buscam as colunas exclusivamente em</w:t>
      </w:r>
      <w:r>
        <w:t xml:space="preserve"> </w:t>
      </w:r>
      <w:r>
        <w:rPr>
          <w:rStyle w:val="VerbatimChar"/>
        </w:rPr>
        <w:t xml:space="preserve">ConfigTelaListaModel::getListagem($tel_id)</w:t>
      </w:r>
      <w:r>
        <w:t xml:space="preserve"> </w:t>
      </w:r>
      <w:r>
        <w:t xml:space="preserve">(tabela</w:t>
      </w:r>
      <w:r>
        <w:t xml:space="preserve"> </w:t>
      </w:r>
      <w:r>
        <w:rPr>
          <w:rStyle w:val="VerbatimChar"/>
        </w:rPr>
        <w:t xml:space="preserve">cfg_tela_lista</w:t>
      </w:r>
      <w:r>
        <w:t xml:space="preserve">, campos</w:t>
      </w:r>
      <w:r>
        <w:t xml:space="preserve"> </w:t>
      </w:r>
      <w:r>
        <w:rPr>
          <w:rStyle w:val="VerbatimChar"/>
        </w:rPr>
        <w:t xml:space="preserve">lis_campo</w:t>
      </w:r>
      <w:r>
        <w:t xml:space="preserve">/</w:t>
      </w:r>
      <w:r>
        <w:rPr>
          <w:rStyle w:val="VerbatimChar"/>
        </w:rPr>
        <w:t xml:space="preserve">lis_rotulo</w:t>
      </w:r>
      <w:r>
        <w:t xml:space="preserve">). A migration cadastra</w:t>
      </w:r>
      <w:r>
        <w:t xml:space="preserve"> </w:t>
      </w:r>
      <w:r>
        <w:rPr>
          <w:rStyle w:val="VerbatimChar"/>
        </w:rPr>
        <w:t xml:space="preserve">cfg_modulo</w:t>
      </w:r>
      <w:r>
        <w:t xml:space="preserve">,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,</w:t>
      </w:r>
      <w:r>
        <w:t xml:space="preserve"> </w:t>
      </w:r>
      <w:r>
        <w:rPr>
          <w:rStyle w:val="VerbatimChar"/>
        </w:rPr>
        <w:t xml:space="preserve">cfg_status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oco_tipo_acao</w:t>
      </w:r>
      <w:r>
        <w:t xml:space="preserve">, mas</w:t>
      </w:r>
      <w:r>
        <w:t xml:space="preserve"> </w:t>
      </w:r>
      <w:r>
        <w:rPr>
          <w:b/>
          <w:bCs/>
        </w:rPr>
        <w:t xml:space="preserve">não insere nenhuma linha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cfg_tela_lista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 que é um problema:</w:t>
      </w:r>
      <w:r>
        <w:t xml:space="preserve"> </w:t>
      </w:r>
      <w:r>
        <w:t xml:space="preserve">Sem esse cadastro,</w:t>
      </w:r>
      <w:r>
        <w:t xml:space="preserve"> </w:t>
      </w:r>
      <w:r>
        <w:rPr>
          <w:rStyle w:val="VerbatimChar"/>
        </w:rPr>
        <w:t xml:space="preserve">$lista = []</w:t>
      </w:r>
      <w:r>
        <w:t xml:space="preserve"> </w:t>
      </w:r>
      <w:r>
        <w:t xml:space="preserve">e a grid roda apenas com a coluna de identificação (</w:t>
      </w:r>
      <w:r>
        <w:rPr>
          <w:rStyle w:val="VerbatimChar"/>
        </w:rPr>
        <w:t xml:space="preserve">ndv_id</w:t>
      </w:r>
      <w:r>
        <w:t xml:space="preserve">) +</w:t>
      </w:r>
      <w:r>
        <w:t xml:space="preserve"> </w:t>
      </w:r>
      <w:r>
        <w:t xml:space="preserve">“Ação”</w:t>
      </w:r>
      <w:r>
        <w:t xml:space="preserve"> </w:t>
      </w:r>
      <w:r>
        <w:t xml:space="preserve">— nenhuma das colunas exigidas pela RN02.1 do documento aprovado (N°, Data, Produto, Fabricante, Lote, Usuário, Status) aparece na listagem. A tela fica funcionalmente quebrada para o usuário final.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Acrescentar o cadastro de</w:t>
      </w:r>
      <w:r>
        <w:t xml:space="preserve"> </w:t>
      </w:r>
      <w:r>
        <w:rPr>
          <w:rStyle w:val="VerbatimChar"/>
        </w:rPr>
        <w:t xml:space="preserve">cfg_tela_lista</w:t>
      </w:r>
      <w:r>
        <w:t xml:space="preserve"> </w:t>
      </w:r>
      <w:r>
        <w:t xml:space="preserve">na migration, com uma linha por coluna exigida em RN02.1 (N°, Data, Produto, Fabricante, Lote, Usuário, Status), no mesmo padrão (</w:t>
      </w:r>
      <w:r>
        <w:rPr>
          <w:rStyle w:val="VerbatimChar"/>
        </w:rPr>
        <w:t xml:space="preserve">lis_campo</w:t>
      </w:r>
      <w:r>
        <w:t xml:space="preserve">/</w:t>
      </w:r>
      <w:r>
        <w:rPr>
          <w:rStyle w:val="VerbatimChar"/>
        </w:rPr>
        <w:t xml:space="preserve">lis_rotulo</w:t>
      </w:r>
      <w:r>
        <w:t xml:space="preserve">) já usado para outras telas do sistema.</w:t>
      </w:r>
    </w:p>
    <w:p>
      <w:r>
        <w:pict>
          <v:rect style="width:0;height:1.5pt" o:hralign="center" o:hrstd="t" o:hr="t"/>
        </w:pict>
      </w:r>
    </w:p>
    <w:bookmarkEnd w:id="10"/>
    <w:bookmarkStart w:id="11" w:name="Xaf6c2e8421c9b59756fabbe2563f238686b86ab"/>
    <w:p>
      <w:pPr>
        <w:pStyle w:val="Heading3"/>
      </w:pPr>
      <w:r>
        <w:t xml:space="preserve">Bloqueante 2 — Migration não cadastra permissões</w:t>
      </w:r>
      <w:r>
        <w:t xml:space="preserve"> </w:t>
      </w:r>
      <w:r>
        <w:rPr>
          <w:rStyle w:val="VerbatimChar"/>
        </w:rPr>
        <w:t xml:space="preserve">CAEXN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ConfigPerfilItemModel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app/Database/Migrations/2026-07-12-000001_FornecedoresT42T43.php</w:t>
      </w:r>
      <w:r>
        <w:t xml:space="preserve"> </w:t>
      </w:r>
      <w:r>
        <w:t xml:space="preserve">(método</w:t>
      </w:r>
      <w:r>
        <w:t xml:space="preserve"> </w:t>
      </w:r>
      <w:r>
        <w:rPr>
          <w:rStyle w:val="VerbatimChar"/>
        </w:rPr>
        <w:t xml:space="preserve">criaInfraestrutura()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t xml:space="preserve">O documento de desenvolvimento (Seção 4.1 e Critérios de Pronto, Seção 9) exige permissões</w:t>
      </w:r>
      <w:r>
        <w:t xml:space="preserve"> </w:t>
      </w:r>
      <w:r>
        <w:rPr>
          <w:rStyle w:val="VerbatimChar"/>
        </w:rPr>
        <w:t xml:space="preserve">CAEXN</w:t>
      </w:r>
      <w:r>
        <w:t xml:space="preserve"> </w:t>
      </w:r>
      <w:r>
        <w:t xml:space="preserve">configuradas para os perfis relevantes como parte do cadastro de infraestrutura. A migration não insere nada em</w:t>
      </w:r>
      <w:r>
        <w:t xml:space="preserve"> </w:t>
      </w:r>
      <w:r>
        <w:rPr>
          <w:rStyle w:val="VerbatimChar"/>
        </w:rPr>
        <w:t xml:space="preserve">cfg_perfil_item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 que é um problema:</w:t>
      </w:r>
      <w:r>
        <w:t xml:space="preserve"> </w:t>
      </w:r>
      <w:r>
        <w:t xml:space="preserve">Conforme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, ausência de permissão é fail-closed (</w:t>
      </w:r>
      <w:r>
        <w:rPr>
          <w:rStyle w:val="VerbatimChar"/>
        </w:rPr>
        <w:t xml:space="preserve">LoginFilter</w:t>
      </w:r>
      <w:r>
        <w:t xml:space="preserve"> </w:t>
      </w:r>
      <w:r>
        <w:t xml:space="preserve">bloqueia tudo) — sem esse cadastro a tela fica inacessível para todos os perfis, inclusive em ambiente de teste.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Inserir em</w:t>
      </w:r>
      <w:r>
        <w:t xml:space="preserve"> </w:t>
      </w:r>
      <w:r>
        <w:rPr>
          <w:rStyle w:val="VerbatimChar"/>
        </w:rPr>
        <w:t xml:space="preserve">cfg_perfil_item</w:t>
      </w:r>
      <w:r>
        <w:t xml:space="preserve"> </w:t>
      </w:r>
      <w:r>
        <w:t xml:space="preserve">as permissões</w:t>
      </w:r>
      <w:r>
        <w:t xml:space="preserve"> </w:t>
      </w:r>
      <w:r>
        <w:rPr>
          <w:rStyle w:val="VerbatimChar"/>
        </w:rPr>
        <w:t xml:space="preserve">CAEXN</w:t>
      </w:r>
      <w:r>
        <w:t xml:space="preserve"> </w:t>
      </w:r>
      <w:r>
        <w:t xml:space="preserve">para os perfis de Materiais/Qualidade relevantes.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o usuário/orquestrador já decidiu que essa pendência específica (definir os</w:t>
      </w:r>
      <w:r>
        <w:t xml:space="preserve"> </w:t>
      </w:r>
      <w:r>
        <w:rPr>
          <w:rStyle w:val="VerbatimChar"/>
        </w:rPr>
        <w:t xml:space="preserve">prf_id</w:t>
      </w:r>
      <w:r>
        <w:t xml:space="preserve"> </w:t>
      </w:r>
      <w:r>
        <w:t xml:space="preserve">exatos dos perfis de Materiais/Qualidade) fica para ser resolvida manualmente por ele depois, fora deste ciclo. Este item permanece registrado como bloqueante tecnicamente correto — a ressalva é apenas sobre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será resolvido, não sobre a validade do apontamento.</w:t>
      </w:r>
    </w:p>
    <w:p>
      <w:r>
        <w:pict>
          <v:rect style="width:0;height:1.5pt" o:hralign="center" o:hrstd="t" o:hr="t"/>
        </w:pict>
      </w:r>
    </w:p>
    <w:bookmarkEnd w:id="11"/>
    <w:bookmarkStart w:id="12" w:name="X5b162f6df8e060660c7f45b5af44b9a2bb98e69"/>
    <w:p>
      <w:pPr>
        <w:pStyle w:val="Heading3"/>
      </w:pPr>
      <w:r>
        <w:t xml:space="preserve">Bloqueante 3 —</w:t>
      </w:r>
      <w:r>
        <w:t xml:space="preserve"> </w:t>
      </w:r>
      <w:r>
        <w:rPr>
          <w:rStyle w:val="VerbatimChar"/>
        </w:rPr>
        <w:t xml:space="preserve">OcoTrataOcorrencia::gerarNotificacaoDesvio()</w:t>
      </w:r>
      <w:r>
        <w:t xml:space="preserve"> </w:t>
      </w:r>
      <w:r>
        <w:t xml:space="preserve">grava log de auditoria com o ID errado e perde o timestamp de criação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app/Controllers/Ocorrencia/OcoTrataOcorrencia.php</w:t>
      </w:r>
      <w:r>
        <w:t xml:space="preserve">, linhas ~528-533.</w:t>
      </w:r>
    </w:p>
    <w:p>
      <w:pPr>
        <w:pStyle w:val="BodyText"/>
      </w:pPr>
      <w:r>
        <w:rPr>
          <w:b/>
          <w:bCs/>
        </w:rPr>
        <w:t xml:space="preserve">Trecho: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CommonModel())-&gt;insertReg(</w:t>
      </w:r>
      <w:r>
        <w:rPr>
          <w:rStyle w:val="StringTok"/>
        </w:rPr>
        <w:t xml:space="preserve">'dbOcorrencia'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'oco_notif_desvio'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'oco_id'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$postado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'oco_id'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'stt_id'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$sttPendente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'usu_criou'</w:t>
      </w:r>
      <w:r>
        <w:rPr>
          <w:rStyle w:val="NormalTok"/>
        </w:rPr>
        <w:t xml:space="preserve"> =&gt; session()-&gt;get(</w:t>
      </w:r>
      <w:r>
        <w:rPr>
          <w:rStyle w:val="StringTok"/>
        </w:rPr>
        <w:t xml:space="preserve">'usu_id'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Por que é um problema:</w:t>
      </w:r>
      <w:r>
        <w:t xml:space="preserve"> </w:t>
      </w:r>
      <w:r>
        <w:rPr>
          <w:rStyle w:val="VerbatimChar"/>
        </w:rPr>
        <w:t xml:space="preserve">CommonModel::insertReg()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app/Models/CommonModel.php:33-49</w:t>
      </w:r>
      <w:r>
        <w:t xml:space="preserve">) resolve a chave de log escolhendo o primeiro campo do array que termina em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— nesse array é</w:t>
      </w:r>
      <w:r>
        <w:t xml:space="preserve"> </w:t>
      </w:r>
      <w:r>
        <w:rPr>
          <w:rStyle w:val="VerbatimChar"/>
        </w:rPr>
        <w:t xml:space="preserve">oco_id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ndv_id</w:t>
      </w:r>
      <w:r>
        <w:t xml:space="preserve"> </w:t>
      </w:r>
      <w:r>
        <w:t xml:space="preserve">(a PK real da tabela). O log de inclusão de</w:t>
      </w:r>
      <w:r>
        <w:t xml:space="preserve"> </w:t>
      </w:r>
      <w:r>
        <w:rPr>
          <w:rStyle w:val="VerbatimChar"/>
        </w:rPr>
        <w:t xml:space="preserve">oco_notif_desvio</w:t>
      </w:r>
      <w:r>
        <w:t xml:space="preserve"> </w:t>
      </w:r>
      <w:r>
        <w:t xml:space="preserve">fica gravado com</w:t>
      </w:r>
      <w:r>
        <w:t xml:space="preserve"> </w:t>
      </w:r>
      <w:r>
        <w:rPr>
          <w:rStyle w:val="VerbatimChar"/>
        </w:rPr>
        <w:t xml:space="preserve">oco_id</w:t>
      </w:r>
      <w:r>
        <w:t xml:space="preserve"> </w:t>
      </w:r>
      <w:r>
        <w:t xml:space="preserve">como identificador, não com o</w:t>
      </w:r>
      <w:r>
        <w:t xml:space="preserve"> </w:t>
      </w:r>
      <w:r>
        <w:rPr>
          <w:rStyle w:val="VerbatimChar"/>
        </w:rPr>
        <w:t xml:space="preserve">ndv_id</w:t>
      </w:r>
      <w:r>
        <w:t xml:space="preserve"> </w:t>
      </w:r>
      <w:r>
        <w:t xml:space="preserve">gerado. Isso quebra a busca feita depois em</w:t>
      </w:r>
      <w:r>
        <w:t xml:space="preserve"> </w:t>
      </w:r>
      <w:r>
        <w:rPr>
          <w:rStyle w:val="VerbatimChar"/>
        </w:rPr>
        <w:t xml:space="preserve">NotifDesvio::show()</w:t>
      </w:r>
      <w:r>
        <w:t xml:space="preserve"> </w:t>
      </w:r>
      <w:r>
        <w:t xml:space="preserve">(</w:t>
      </w:r>
      <w:r>
        <w:rPr>
          <w:rStyle w:val="VerbatimChar"/>
        </w:rPr>
        <w:t xml:space="preserve">buscaLogTabela('oco_notif_desvio', [$id])</w:t>
      </w:r>
      <w:r>
        <w:t xml:space="preserve">, onde</w:t>
      </w:r>
      <w:r>
        <w:t xml:space="preserve"> </w:t>
      </w:r>
      <w:r>
        <w:rPr>
          <w:rStyle w:val="VerbatimChar"/>
        </w:rPr>
        <w:t xml:space="preserve">$id</w:t>
      </w:r>
      <w:r>
        <w:t xml:space="preserve"> </w:t>
      </w:r>
      <w:r>
        <w:t xml:space="preserve">é o</w:t>
      </w:r>
      <w:r>
        <w:t xml:space="preserve"> </w:t>
      </w:r>
      <w:r>
        <w:rPr>
          <w:rStyle w:val="VerbatimChar"/>
        </w:rPr>
        <w:t xml:space="preserve">ndv_id</w:t>
      </w:r>
      <w:r>
        <w:t xml:space="preserve">) — nunca encontra o log correspondente.</w:t>
      </w:r>
    </w:p>
    <w:p>
      <w:pPr>
        <w:pStyle w:val="BodyText"/>
      </w:pPr>
      <w:r>
        <w:t xml:space="preserve">Além disso,</w:t>
      </w:r>
      <w:r>
        <w:t xml:space="preserve"> </w:t>
      </w:r>
      <w:r>
        <w:rPr>
          <w:rStyle w:val="VerbatimChar"/>
        </w:rPr>
        <w:t xml:space="preserve">insertReg()</w:t>
      </w:r>
      <w:r>
        <w:t xml:space="preserve"> </w:t>
      </w:r>
      <w:r>
        <w:t xml:space="preserve">faz insert cru via Query Builder, sem passar pelo</w:t>
      </w:r>
      <w:r>
        <w:t xml:space="preserve"> </w:t>
      </w:r>
      <w:r>
        <w:rPr>
          <w:rStyle w:val="VerbatimChar"/>
        </w:rPr>
        <w:t xml:space="preserve">FornecNotifDesvioModel</w:t>
      </w:r>
      <w:r>
        <w:t xml:space="preserve">, então os hooks do Model (</w:t>
      </w:r>
      <w:r>
        <w:rPr>
          <w:rStyle w:val="VerbatimChar"/>
        </w:rPr>
        <w:t xml:space="preserve">$useTimestamps</w:t>
      </w:r>
      <w:r>
        <w:t xml:space="preserve">/</w:t>
      </w:r>
      <w:r>
        <w:rPr>
          <w:rStyle w:val="VerbatimChar"/>
        </w:rPr>
        <w:t xml:space="preserve">$createdField = 'ndv_criado'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afterInsert =&gt; depoisInsert</w:t>
      </w:r>
      <w:r>
        <w:t xml:space="preserve">) nunca são executados — registro criado automaticamente por T11 fica sem</w:t>
      </w:r>
      <w:r>
        <w:t xml:space="preserve"> </w:t>
      </w:r>
      <w:r>
        <w:rPr>
          <w:rStyle w:val="VerbatimChar"/>
        </w:rPr>
        <w:t xml:space="preserve">ndv_criado</w:t>
      </w:r>
      <w:r>
        <w:t xml:space="preserve"> </w:t>
      </w:r>
      <w:r>
        <w:t xml:space="preserve">preenchido, diferente de um registro atualizado normalmente via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Correção sugerida pelo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byrev</w:t>
      </w:r>
      <w:r>
        <w:rPr>
          <w:b/>
          <w:bCs/>
        </w:rPr>
        <w:t xml:space="preserve">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(new FornecNotifDesvioModel())-&gt;skipValidation(true)-&gt;insert([...])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CommonModel::insertReg()</w:t>
      </w:r>
      <w:r>
        <w:t xml:space="preserve"> </w:t>
      </w:r>
      <w:r>
        <w:t xml:space="preserve">— mantém</w:t>
      </w:r>
      <w:r>
        <w:t xml:space="preserve"> </w:t>
      </w:r>
      <w:r>
        <w:rPr>
          <w:rStyle w:val="VerbatimChar"/>
        </w:rPr>
        <w:t xml:space="preserve">depoisInsert</w:t>
      </w:r>
      <w:r>
        <w:t xml:space="preserve">/timestamps corretos e ainda evita a validação de</w:t>
      </w:r>
      <w:r>
        <w:t xml:space="preserve"> </w:t>
      </w:r>
      <w:r>
        <w:rPr>
          <w:rStyle w:val="VerbatimChar"/>
        </w:rPr>
        <w:t xml:space="preserve">ndv_local</w:t>
      </w:r>
      <w:r>
        <w:t xml:space="preserve">/</w:t>
      </w:r>
      <w:r>
        <w:rPr>
          <w:rStyle w:val="VerbatimChar"/>
        </w:rPr>
        <w:t xml:space="preserve">ndv_descreva</w:t>
      </w:r>
      <w:r>
        <w:t xml:space="preserve"> </w:t>
      </w:r>
      <w:r>
        <w:t xml:space="preserve">(que legitimamente ainda não existem nesse momento, só serão preenchidos depois pelo usuário em T42).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sugestões-não-bloqueantes"/>
    <w:p>
      <w:pPr>
        <w:pStyle w:val="Heading2"/>
      </w:pPr>
      <w:r>
        <w:t xml:space="preserve">2. Sugestões Não-Bloqueantes</w:t>
      </w:r>
    </w:p>
    <w:bookmarkStart w:id="14" w:name="X5fd4149ed8581cdb216aeae31f8639266c1eb52"/>
    <w:p>
      <w:pPr>
        <w:pStyle w:val="Heading3"/>
      </w:pPr>
      <w:r>
        <w:t xml:space="preserve">Sugestão 4 — Idempotência de</w:t>
      </w:r>
      <w:r>
        <w:t xml:space="preserve"> </w:t>
      </w:r>
      <w:r>
        <w:rPr>
          <w:rStyle w:val="VerbatimChar"/>
        </w:rPr>
        <w:t xml:space="preserve">gerarNotificacaoDesvio()</w:t>
      </w:r>
      <w:r>
        <w:t xml:space="preserve"> </w:t>
      </w:r>
      <w:r>
        <w:t xml:space="preserve">depende só de checagem em nível de aplicação, sem garantia de banco</w:t>
      </w:r>
    </w:p>
    <w:p>
      <w:pPr>
        <w:pStyle w:val="FirstParagraph"/>
      </w:pPr>
      <w:r>
        <w:t xml:space="preserve">O método faz um</w:t>
      </w:r>
      <w:r>
        <w:t xml:space="preserve"> </w:t>
      </w:r>
      <w:r>
        <w:rPr>
          <w:rStyle w:val="VerbatimChar"/>
        </w:rPr>
        <w:t xml:space="preserve">SELECT COUNT(*) WHERE oco_id = ...</w:t>
      </w:r>
      <w:r>
        <w:t xml:space="preserve"> </w:t>
      </w:r>
      <w:r>
        <w:t xml:space="preserve">antes de inserir (linhas ~512-519), fora de qualquer transação/lock, e a tabela</w:t>
      </w:r>
      <w:r>
        <w:t xml:space="preserve"> </w:t>
      </w:r>
      <w:r>
        <w:rPr>
          <w:rStyle w:val="VerbatimChar"/>
        </w:rPr>
        <w:t xml:space="preserve">oco_notif_desvio</w:t>
      </w:r>
      <w:r>
        <w:t xml:space="preserve"> </w:t>
      </w:r>
      <w:r>
        <w:t xml:space="preserve">só tem um índice comum em</w:t>
      </w:r>
      <w:r>
        <w:t xml:space="preserve"> </w:t>
      </w:r>
      <w:r>
        <w:rPr>
          <w:rStyle w:val="VerbatimChar"/>
        </w:rPr>
        <w:t xml:space="preserve">oco_id</w:t>
      </w:r>
      <w:r>
        <w:t xml:space="preserve"> </w:t>
      </w:r>
      <w:r>
        <w:t xml:space="preserve">(</w:t>
      </w:r>
      <w:r>
        <w:rPr>
          <w:rStyle w:val="VerbatimChar"/>
        </w:rPr>
        <w:t xml:space="preserve">addKey('oco_id')</w:t>
      </w:r>
      <w:r>
        <w:t xml:space="preserve">), não uma</w:t>
      </w:r>
      <w:r>
        <w:t xml:space="preserve"> </w:t>
      </w:r>
      <w:r>
        <w:rPr>
          <w:rStyle w:val="VerbatimChar"/>
        </w:rPr>
        <w:t xml:space="preserve">UNIQUE KEY</w:t>
      </w:r>
      <w:r>
        <w:t xml:space="preserve">. Em cenário de concorrência real (duplo clique rápido, requisições quase simultâneas) ainda existe janela de corrida entre o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que pode gerar duplicidade.</w:t>
      </w:r>
    </w:p>
    <w:p>
      <w:pPr>
        <w:pStyle w:val="BodyText"/>
      </w:pPr>
      <w:r>
        <w:rPr>
          <w:b/>
          <w:bCs/>
        </w:rPr>
        <w:t xml:space="preserve">Sugestão:</w:t>
      </w:r>
      <w:r>
        <w:t xml:space="preserve"> </w:t>
      </w:r>
      <w:r>
        <w:t xml:space="preserve">declarar</w:t>
      </w:r>
      <w:r>
        <w:t xml:space="preserve"> </w:t>
      </w:r>
      <w:r>
        <w:rPr>
          <w:rStyle w:val="VerbatimChar"/>
        </w:rPr>
        <w:t xml:space="preserve">oco_id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UNIQUE KEY</w:t>
      </w:r>
      <w:r>
        <w:t xml:space="preserve"> </w:t>
      </w:r>
      <w:r>
        <w:t xml:space="preserve">na migration — reforça idempotência no nível de banco, não só na aplicação.</w:t>
      </w:r>
    </w:p>
    <w:p>
      <w:r>
        <w:pict>
          <v:rect style="width:0;height:1.5pt" o:hralign="center" o:hrstd="t" o:hr="t"/>
        </w:pict>
      </w:r>
    </w:p>
    <w:bookmarkEnd w:id="14"/>
    <w:bookmarkStart w:id="15" w:name="X08843149e7d6ca291f5b5b8f1b6955a8ef4966e"/>
    <w:p>
      <w:pPr>
        <w:pStyle w:val="Heading3"/>
      </w:pPr>
      <w:r>
        <w:t xml:space="preserve">Sugestão 5 — Confirmar nomes de coluna da view</w:t>
      </w:r>
      <w:r>
        <w:t xml:space="preserve"> </w:t>
      </w:r>
      <w:r>
        <w:rPr>
          <w:rStyle w:val="VerbatimChar"/>
        </w:rPr>
        <w:t xml:space="preserve">vw_oco_notif_desvio_relac</w:t>
      </w:r>
      <w:r>
        <w:t xml:space="preserve"> </w:t>
      </w:r>
      <w:r>
        <w:t xml:space="preserve">contra o schema real antes de rodar a migration</w:t>
      </w:r>
    </w:p>
    <w:p>
      <w:pPr>
        <w:pStyle w:val="FirstParagraph"/>
      </w:pPr>
      <w:r>
        <w:t xml:space="preserve">Já sinalizado pelo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no cabeçalho do arquivo. A inferência bate com o padrão usado em</w:t>
      </w:r>
      <w:r>
        <w:t xml:space="preserve"> </w:t>
      </w:r>
      <w:r>
        <w:rPr>
          <w:rStyle w:val="VerbatimChar"/>
        </w:rPr>
        <w:t xml:space="preserve">EntOcoOcorrencia</w:t>
      </w:r>
      <w:r>
        <w:t xml:space="preserve">/</w:t>
      </w:r>
      <w:r>
        <w:rPr>
          <w:rStyle w:val="VerbatimChar"/>
        </w:rPr>
        <w:t xml:space="preserve">OcoOcorrencia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tpo_nome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sut_nome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pro_codpro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pro_despro</w:t>
      </w:r>
      <w:r>
        <w:t xml:space="preserve">,</w:t>
      </w:r>
      <w:r>
        <w:t xml:space="preserve"> </w:t>
      </w:r>
      <w:r>
        <w:rPr>
          <w:rStyle w:val="VerbatimChar"/>
        </w:rPr>
        <w:t xml:space="preserve">fab_apeFab</w:t>
      </w:r>
      <w:r>
        <w:t xml:space="preserve">,</w:t>
      </w:r>
      <w:r>
        <w:t xml:space="preserve"> </w:t>
      </w:r>
      <w:r>
        <w:rPr>
          <w:rStyle w:val="VerbatimChar"/>
        </w:rPr>
        <w:t xml:space="preserve">lot_lote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lot_validade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usu_nome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oco_qtd</w:t>
      </w:r>
      <w:r>
        <w:t xml:space="preserve">), mas vale confirmar também se</w:t>
      </w:r>
      <w:r>
        <w:t xml:space="preserve"> </w:t>
      </w:r>
      <w:r>
        <w:rPr>
          <w:rStyle w:val="VerbatimChar"/>
        </w:rPr>
        <w:t xml:space="preserve">vw_cfg_status_relac</w:t>
      </w:r>
      <w:r>
        <w:t xml:space="preserve"> </w:t>
      </w:r>
      <w:r>
        <w:t xml:space="preserve">expõe mesmo uma coluna</w:t>
      </w:r>
      <w:r>
        <w:t xml:space="preserve"> </w:t>
      </w:r>
      <w:r>
        <w:rPr>
          <w:rStyle w:val="VerbatimChar"/>
        </w:rPr>
        <w:t xml:space="preserve">stt_cor</w:t>
      </w:r>
      <w:r>
        <w:t xml:space="preserve"> </w:t>
      </w:r>
      <w:r>
        <w:t xml:space="preserve">(usada em</w:t>
      </w:r>
      <w:r>
        <w:t xml:space="preserve"> </w:t>
      </w:r>
      <w:r>
        <w:rPr>
          <w:rStyle w:val="VerbatimChar"/>
        </w:rPr>
        <w:t xml:space="preserve">st.stt_cor</w:t>
      </w:r>
      <w:r>
        <w:t xml:space="preserve"> </w:t>
      </w:r>
      <w:r>
        <w:t xml:space="preserve">na view nova e em</w:t>
      </w:r>
      <w:r>
        <w:t xml:space="preserve"> </w:t>
      </w:r>
      <w:r>
        <w:rPr>
          <w:rStyle w:val="VerbatimChar"/>
        </w:rPr>
        <w:t xml:space="preserve">fmtEtiquetaCor($dados-&gt;stt_cor, ...)</w:t>
      </w:r>
      <w:r>
        <w:t xml:space="preserve"> </w:t>
      </w:r>
      <w:r>
        <w:t xml:space="preserve">no controller).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o usuário já confirmou que vai validar isso pessoalmente no HeidiSQL/DBGate antes de autorizar a migration — este item está registrado como já em andamento, não como bloqueante do ciclo de código.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e34c77fc7c9840ec0c23a8560856eede7b999e2"/>
    <w:p>
      <w:pPr>
        <w:pStyle w:val="Heading2"/>
      </w:pPr>
      <w:r>
        <w:t xml:space="preserve">3. Itens Já Aprovados Sem Apontamento (rastreabilidade)</w:t>
      </w:r>
    </w:p>
    <w:p>
      <w:pPr>
        <w:pStyle w:val="FirstParagraph"/>
      </w:pPr>
      <w:r>
        <w:t xml:space="preserve">Itens abaixo foram checados pelo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e estão conformes com o documento de desenvolvimento aprovado e com os padrões de</w:t>
      </w:r>
      <w:r>
        <w:t xml:space="preserve"> </w:t>
      </w:r>
      <w:r>
        <w:rPr>
          <w:rStyle w:val="VerbatimChar"/>
        </w:rPr>
        <w:t xml:space="preserve">docs/referencia/</w:t>
      </w:r>
      <w:r>
        <w:t xml:space="preserve"> </w:t>
      </w:r>
      <w:r>
        <w:t xml:space="preserve">— registrados apenas para rastreabilidade: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GeraEtiqueta($id, $qtia)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NotifDesvio.php</w:t>
      </w:r>
      <w:r>
        <w:t xml:space="preserve"> </w:t>
      </w:r>
      <w:r>
        <w:t xml:space="preserve">é mirror fiel de</w:t>
      </w:r>
      <w:r>
        <w:t xml:space="preserve"> </w:t>
      </w:r>
      <w:r>
        <w:rPr>
          <w:rStyle w:val="VerbatimChar"/>
        </w:rPr>
        <w:t xml:space="preserve">Estoque\EtqProduto::GeraEtiqueta()</w:t>
      </w:r>
      <w:r>
        <w:t xml:space="preserve"> </w:t>
      </w:r>
      <w:r>
        <w:t xml:space="preserve">(mesma estrutura de chave Redis, TTL 900s,</w:t>
      </w:r>
      <w:r>
        <w:t xml:space="preserve"> </w:t>
      </w:r>
      <w:r>
        <w:rPr>
          <w:rStyle w:val="VerbatimChar"/>
        </w:rPr>
        <w:t xml:space="preserve">sAdd</w:t>
      </w:r>
      <w:r>
        <w:t xml:space="preserve"> </w:t>
      </w:r>
      <w:r>
        <w:t xml:space="preserve">de rastreio de sessão, retorno JSON</w:t>
      </w:r>
      <w:r>
        <w:t xml:space="preserve"> </w:t>
      </w:r>
      <w:r>
        <w:rPr>
          <w:rStyle w:val="VerbatimChar"/>
        </w:rPr>
        <w:t xml:space="preserve">{link, chave}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my_fornecedores.js::geraEiquetaGenerico()</w:t>
      </w:r>
      <w:r>
        <w:t xml:space="preserve"> </w:t>
      </w:r>
      <w:r>
        <w:t xml:space="preserve">reaproveita corretamente</w:t>
      </w:r>
      <w:r>
        <w:t xml:space="preserve"> </w:t>
      </w:r>
      <w:r>
        <w:rPr>
          <w:rStyle w:val="VerbatimChar"/>
        </w:rPr>
        <w:t xml:space="preserve">gerarEtiquetaZPL()</w:t>
      </w:r>
      <w:r>
        <w:t xml:space="preserve">/</w:t>
      </w:r>
      <w:r>
        <w:rPr>
          <w:rStyle w:val="VerbatimChar"/>
        </w:rPr>
        <w:t xml:space="preserve">boxAlert()</w:t>
      </w:r>
      <w:r>
        <w:t xml:space="preserve">, sem AJAX cru nem alert nativo.</w:t>
      </w:r>
    </w:p>
    <w:p>
      <w:pPr>
        <w:pStyle w:val="Compact"/>
        <w:numPr>
          <w:ilvl w:val="0"/>
          <w:numId w:val="1001"/>
        </w:numPr>
      </w:pPr>
      <w:r>
        <w:t xml:space="preserve">Bloqueio server-side de edição (</w:t>
      </w:r>
      <w:r>
        <w:rPr>
          <w:rStyle w:val="VerbatimChar"/>
        </w:rPr>
        <w:t xml:space="preserve">edit()</w:t>
      </w:r>
      <w:r>
        <w:t xml:space="preserve">) e gravação (</w:t>
      </w:r>
      <w:r>
        <w:rPr>
          <w:rStyle w:val="VerbatimChar"/>
        </w:rPr>
        <w:t xml:space="preserve">store()</w:t>
      </w:r>
      <w:r>
        <w:t xml:space="preserve">) fora do status</w:t>
      </w:r>
      <w:r>
        <w:t xml:space="preserve"> </w:t>
      </w:r>
      <w:r>
        <w:t xml:space="preserve">“Pendente”</w:t>
      </w:r>
      <w:r>
        <w:t xml:space="preserve"> </w:t>
      </w:r>
      <w:r>
        <w:t xml:space="preserve">implementado e robusto:</w:t>
      </w:r>
      <w:r>
        <w:t xml:space="preserve"> </w:t>
      </w:r>
      <w:r>
        <w:rPr>
          <w:rStyle w:val="VerbatimChar"/>
        </w:rPr>
        <w:t xml:space="preserve">edit()</w:t>
      </w:r>
      <w:r>
        <w:t xml:space="preserve"> </w:t>
      </w:r>
      <w:r>
        <w:t xml:space="preserve">lança exceção antes de montar a Entity;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refaz a consulta do registro e revalida o status logo antes do update, cobrindo manipulação de request/reenvio de formulário velho.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corretamente bloqueado.</w:t>
      </w:r>
    </w:p>
    <w:p>
      <w:pPr>
        <w:pStyle w:val="Compact"/>
        <w:numPr>
          <w:ilvl w:val="0"/>
          <w:numId w:val="1001"/>
        </w:numPr>
      </w:pPr>
      <w:r>
        <w:t xml:space="preserve">Uso de</w:t>
      </w:r>
      <w:r>
        <w:t xml:space="preserve"> </w:t>
      </w:r>
      <w:r>
        <w:rPr>
          <w:rStyle w:val="VerbatimChar"/>
        </w:rPr>
        <w:t xml:space="preserve">MyCampo::setLeitura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leitura=true</w:t>
      </w:r>
      <w:r>
        <w:t xml:space="preserve">) em todos os campos vindos de T11, nenhum input/readonly cru.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EntOcoNotifDesvio</w:t>
      </w:r>
      <w:r>
        <w:t xml:space="preserve"> </w:t>
      </w:r>
      <w:r>
        <w:t xml:space="preserve">segue o padrão de</w:t>
      </w:r>
      <w:r>
        <w:t xml:space="preserve"> </w:t>
      </w:r>
      <w:r>
        <w:rPr>
          <w:rStyle w:val="VerbatimChar"/>
        </w:rPr>
        <w:t xml:space="preserve">defCampos()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EntOcoOcorrencia</w:t>
      </w:r>
      <w:r>
        <w:t xml:space="preserve">; nomenclatura com prefixo</w:t>
      </w:r>
      <w:r>
        <w:t xml:space="preserve"> </w:t>
      </w:r>
      <w:r>
        <w:rPr>
          <w:rStyle w:val="VerbatimChar"/>
        </w:rPr>
        <w:t xml:space="preserve">ndv_</w:t>
      </w:r>
      <w:r>
        <w:t xml:space="preserve"> </w:t>
      </w:r>
      <w:r>
        <w:t xml:space="preserve">conforme RN03.7/RN03.14.</w:t>
      </w:r>
    </w:p>
    <w:p>
      <w:pPr>
        <w:pStyle w:val="Compact"/>
        <w:numPr>
          <w:ilvl w:val="0"/>
          <w:numId w:val="1001"/>
        </w:numPr>
      </w:pPr>
      <w:r>
        <w:t xml:space="preserve">Nomenclatura dos métodos do Controller (</w:t>
      </w:r>
      <w:r>
        <w:rPr>
          <w:rStyle w:val="VerbatimChar"/>
        </w:rPr>
        <w:t xml:space="preserve">index</w:t>
      </w:r>
      <w:r>
        <w:t xml:space="preserve">/</w:t>
      </w:r>
      <w:r>
        <w:rPr>
          <w:rStyle w:val="VerbatimChar"/>
        </w:rPr>
        <w:t xml:space="preserve">lista</w:t>
      </w:r>
      <w:r>
        <w:t xml:space="preserve">/</w:t>
      </w:r>
      <w:r>
        <w:rPr>
          <w:rStyle w:val="VerbatimChar"/>
        </w:rPr>
        <w:t xml:space="preserve">show</w:t>
      </w:r>
      <w:r>
        <w:t xml:space="preserve">/</w:t>
      </w:r>
      <w:r>
        <w:rPr>
          <w:rStyle w:val="VerbatimChar"/>
        </w:rPr>
        <w:t xml:space="preserve">edit</w:t>
      </w:r>
      <w:r>
        <w:t xml:space="preserve">/</w:t>
      </w:r>
      <w:r>
        <w:rPr>
          <w:rStyle w:val="VerbatimChar"/>
        </w:rPr>
        <w:t xml:space="preserve">store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GeraEtiqueta</w:t>
      </w:r>
      <w:r>
        <w:t xml:space="preserve"> </w:t>
      </w:r>
      <w:r>
        <w:t xml:space="preserve">mirror) segue a convenção; sem método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, coerente com registro criado só pela integração automática de T11.</w:t>
      </w:r>
    </w:p>
    <w:p>
      <w:pPr>
        <w:pStyle w:val="Compact"/>
        <w:numPr>
          <w:ilvl w:val="0"/>
          <w:numId w:val="1001"/>
        </w:numPr>
      </w:pPr>
      <w:r>
        <w:t xml:space="preserve">Rota em</w:t>
      </w:r>
      <w:r>
        <w:t xml:space="preserve"> </w:t>
      </w:r>
      <w:r>
        <w:rPr>
          <w:rStyle w:val="VerbatimChar"/>
        </w:rPr>
        <w:t xml:space="preserve">Routes.php</w:t>
      </w:r>
      <w:r>
        <w:t xml:space="preserve"> </w:t>
      </w:r>
      <w:r>
        <w:t xml:space="preserve">segue exatamente o padrão de</w:t>
      </w:r>
      <w:r>
        <w:t xml:space="preserve"> </w:t>
      </w:r>
      <w:r>
        <w:rPr>
          <w:rStyle w:val="VerbatimChar"/>
        </w:rPr>
        <w:t xml:space="preserve">AteRequisicao</w:t>
      </w:r>
      <w:r>
        <w:t xml:space="preserve">/</w:t>
      </w:r>
      <w:r>
        <w:rPr>
          <w:rStyle w:val="VerbatimChar"/>
        </w:rPr>
        <w:t xml:space="preserve">GeraEtiqueta</w:t>
      </w:r>
      <w:r>
        <w:t xml:space="preserve">/</w:t>
      </w:r>
      <w:r>
        <w:rPr>
          <w:rStyle w:val="VerbatimChar"/>
        </w:rPr>
        <w:t xml:space="preserve">(:num)</w:t>
      </w:r>
      <w:r>
        <w:t xml:space="preserve">/</w:t>
      </w:r>
      <w:r>
        <w:rPr>
          <w:rStyle w:val="VerbatimChar"/>
        </w:rPr>
        <w:t xml:space="preserve">(:num)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Nenhuma chamada ativa a</w:t>
      </w:r>
      <w:r>
        <w:t xml:space="preserve"> </w:t>
      </w:r>
      <w:r>
        <w:rPr>
          <w:rStyle w:val="VerbatimChar"/>
        </w:rPr>
        <w:t xml:space="preserve">debug()</w:t>
      </w:r>
      <w:r>
        <w:t xml:space="preserve"> </w:t>
      </w:r>
      <w:r>
        <w:t xml:space="preserve">nos arquivos novos/alterados.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case 5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OcoTrataOcorrencia::store()</w:t>
      </w:r>
      <w:r>
        <w:t xml:space="preserve"> </w:t>
      </w:r>
      <w:r>
        <w:t xml:space="preserve">isolado, não interfere nos demais casos;</w:t>
      </w:r>
      <w:r>
        <w:t xml:space="preserve"> </w:t>
      </w:r>
      <w:r>
        <w:rPr>
          <w:rStyle w:val="VerbatimChar"/>
        </w:rPr>
        <w:t xml:space="preserve">tpa_tipo=5</w:t>
      </w:r>
      <w:r>
        <w:t xml:space="preserve"> </w:t>
      </w:r>
      <w:r>
        <w:t xml:space="preserve">não exige campo condicional extra em</w:t>
      </w:r>
      <w:r>
        <w:t xml:space="preserve"> </w:t>
      </w:r>
      <w:r>
        <w:rPr>
          <w:rStyle w:val="VerbatimChar"/>
        </w:rPr>
        <w:t xml:space="preserve">verificaTipoAcao()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conclusão-do-byrev"/>
    <w:p>
      <w:pPr>
        <w:pStyle w:val="Heading2"/>
      </w:pPr>
      <w:r>
        <w:t xml:space="preserve">4. Conclusão do</w:t>
      </w:r>
      <w:r>
        <w:t xml:space="preserve"> </w:t>
      </w:r>
      <w:r>
        <w:rPr>
          <w:rStyle w:val="VerbatimChar"/>
        </w:rPr>
        <w:t xml:space="preserve">byrev</w:t>
      </w:r>
    </w:p>
    <w:p>
      <w:pPr>
        <w:pStyle w:val="FirstParagraph"/>
      </w:pPr>
      <w:r>
        <w:t xml:space="preserve">Itens 1, 2 e 3 (Seção 1) são</w:t>
      </w:r>
      <w:r>
        <w:t xml:space="preserve"> </w:t>
      </w:r>
      <w:r>
        <w:rPr>
          <w:b/>
          <w:bCs/>
        </w:rPr>
        <w:t xml:space="preserve">bloqueantes</w:t>
      </w:r>
      <w:r>
        <w:t xml:space="preserve"> </w:t>
      </w:r>
      <w:r>
        <w:t xml:space="preserve">— impedem a tela de funcionar corretamente / quebram auditoria — e devem ser corrigidos antes de avançar para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. Itens 4 e 5 (Seção 2) são sugestões de robustez, a decidir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se valem a pena neste ciclo ou no próximo.</w:t>
      </w:r>
    </w:p>
    <w:p>
      <w:r>
        <w:pict>
          <v:rect style="width:0;height:1.5pt" o:hralign="center" o:hrstd="t" o:hr="t"/>
        </w:pict>
      </w:r>
    </w:p>
    <w:bookmarkEnd w:id="18"/>
    <w:bookmarkStart w:id="19" w:name="encaminhamento"/>
    <w:p>
      <w:pPr>
        <w:pStyle w:val="Heading2"/>
      </w:pPr>
      <w:r>
        <w:t xml:space="preserve">5. Encaminhamento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byarq</w:t>
      </w:r>
      <w:r>
        <w:t xml:space="preserve"> </w:t>
      </w:r>
      <w:r>
        <w:t xml:space="preserve">— tomar ciência dos 3 bloqueantes e das 2 sugestões; confirmar se as sugestões 4 e 5 entram neste ciclo ou ficam para o próximo.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bydev</w:t>
      </w:r>
      <w:r>
        <w:t xml:space="preserve"> </w:t>
      </w:r>
      <w:r>
        <w:t xml:space="preserve">— aplicar a correção dos Bloqueantes 1, 2 e 3 (cadastro de</w:t>
      </w:r>
      <w:r>
        <w:t xml:space="preserve"> </w:t>
      </w:r>
      <w:r>
        <w:rPr>
          <w:rStyle w:val="VerbatimChar"/>
        </w:rPr>
        <w:t xml:space="preserve">cfg_tela_lista</w:t>
      </w:r>
      <w:r>
        <w:t xml:space="preserve"> </w:t>
      </w:r>
      <w:r>
        <w:t xml:space="preserve">na migration; cadastro de</w:t>
      </w:r>
      <w:r>
        <w:t xml:space="preserve"> </w:t>
      </w:r>
      <w:r>
        <w:rPr>
          <w:rStyle w:val="VerbatimChar"/>
        </w:rPr>
        <w:t xml:space="preserve">cfg_perfil_item</w:t>
      </w:r>
      <w:r>
        <w:t xml:space="preserve">, respeitando a decisão do usuário sobre o momento de definir os</w:t>
      </w:r>
      <w:r>
        <w:t xml:space="preserve"> </w:t>
      </w:r>
      <w:r>
        <w:rPr>
          <w:rStyle w:val="VerbatimChar"/>
        </w:rPr>
        <w:t xml:space="preserve">prf_id</w:t>
      </w:r>
      <w:r>
        <w:t xml:space="preserve"> </w:t>
      </w:r>
      <w:r>
        <w:t xml:space="preserve">exatos; troca de</w:t>
      </w:r>
      <w:r>
        <w:t xml:space="preserve"> </w:t>
      </w:r>
      <w:r>
        <w:rPr>
          <w:rStyle w:val="VerbatimChar"/>
        </w:rPr>
        <w:t xml:space="preserve">CommonModel::insertReg()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FornecNotifDesvioModel::insert()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gerarNotificacaoDesvio()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Retornar ao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para nova rodada de revisão após as correções.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2026-07-12T03:51:53Z</dcterms:created>
  <dcterms:modified xsi:type="dcterms:W3CDTF">2026-07-12T03:51:53Z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