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e3bebf8c09afb9e0bb58a5f05f6b41fc9de2fea"/>
    <w:p>
      <w:pPr>
        <w:pStyle w:val="Heading1"/>
      </w:pPr>
      <w:r>
        <w:t xml:space="preserve">Documento de Desenvolvimento — Módulo Fornecedores (T42, T43)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Fornecedores (novo —</w:t>
      </w:r>
      <w:r>
        <w:t xml:space="preserve"> </w:t>
      </w:r>
      <w:r>
        <w:rPr>
          <w:rStyle w:val="VerbatimChar"/>
        </w:rPr>
        <w:t xml:space="preserve">app/Controllers/Fornecedores</w:t>
      </w:r>
      <w:r>
        <w:t xml:space="preserve">, a criar)</w:t>
      </w:r>
      <w:r>
        <w:t xml:space="preserve"> </w:t>
      </w:r>
      <w:r>
        <w:rPr>
          <w:b/>
          <w:bCs/>
        </w:rPr>
        <w:t xml:space="preserve">Telas envolvidas:</w:t>
      </w:r>
      <w:r>
        <w:t xml:space="preserve"> </w:t>
      </w:r>
      <w:r>
        <w:t xml:space="preserve">T42 — Desvio de Qualidade · T43 — Notificação de Evento</w:t>
      </w:r>
      <w:r>
        <w:t xml:space="preserve"> </w:t>
      </w:r>
      <w:r>
        <w:rPr>
          <w:b/>
          <w:bCs/>
        </w:rPr>
        <w:t xml:space="preserve">Tipo de trabalho:</w:t>
      </w:r>
      <w:r>
        <w:t xml:space="preserve"> </w:t>
      </w:r>
      <w:r>
        <w:t xml:space="preserve">Telas novas (não é evolução de código existente).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de arquitetura 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(plano original + 5 adendos).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Aprovado para codificação.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Implementar as telas T42 (Fornecedores &gt; Desvio de Qualidade) e T43 (Fornecedores &gt;</w:t>
      </w:r>
      <w:r>
        <w:t xml:space="preserve"> </w:t>
      </w:r>
      <w:r>
        <w:t xml:space="preserve">Notificação de Evento), que formalizam o tratamento de desvios de qualidade</w:t>
      </w:r>
      <w:r>
        <w:t xml:space="preserve"> </w:t>
      </w:r>
      <w:r>
        <w:t xml:space="preserve">identificados em ocorrências (T11 — Gestão de Ocorrências) e a notificação formal</w:t>
      </w:r>
      <w:r>
        <w:t xml:space="preserve"> </w:t>
      </w:r>
      <w:r>
        <w:t xml:space="preserve">de eventos a fornecedores, incluindo geração de etiqueta, controle de status e</w:t>
      </w:r>
      <w:r>
        <w:t xml:space="preserve"> </w:t>
      </w:r>
      <w:r>
        <w:t xml:space="preserve">execução de ações configuráveis (reaproveitando o catálogo de ações T8/T9 já</w:t>
      </w:r>
      <w:r>
        <w:t xml:space="preserve"> </w:t>
      </w:r>
      <w:r>
        <w:t xml:space="preserve">existente no módulo Ocorrências).</w:t>
      </w:r>
    </w:p>
    <w:p>
      <w:pPr>
        <w:pStyle w:val="BodyText"/>
      </w:pPr>
      <w:r>
        <w:t xml:space="preserve">Este documento consolida o plano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(documento original + 5 adendos que</w:t>
      </w:r>
      <w:r>
        <w:t xml:space="preserve"> </w:t>
      </w:r>
      <w:r>
        <w:t xml:space="preserve">fecham as decisões pendentes) para uso direto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na codificação — contém</w:t>
      </w:r>
      <w:r>
        <w:t xml:space="preserve"> </w:t>
      </w:r>
      <w:r>
        <w:t xml:space="preserve">todos os campos, tabelas, regras e decisões necessárias, sem necessidade de</w:t>
      </w:r>
      <w:r>
        <w:t xml:space="preserve"> </w:t>
      </w:r>
      <w:r>
        <w:t xml:space="preserve">consultar o requisito original em paralelo.</w:t>
      </w:r>
    </w:p>
    <w:p>
      <w:r>
        <w:pict>
          <v:rect style="width:0;height:1.5pt" o:hralign="center" o:hrstd="t" o:hr="t"/>
        </w:pict>
      </w:r>
    </w:p>
    <w:bookmarkEnd w:id="9"/>
    <w:bookmarkStart w:id="10" w:name="escopo"/>
    <w:p>
      <w:pPr>
        <w:pStyle w:val="Heading2"/>
      </w:pPr>
      <w:r>
        <w:t xml:space="preserve">2. Escopo</w:t>
      </w:r>
    </w:p>
    <w:p>
      <w:pPr>
        <w:pStyle w:val="FirstParagraph"/>
      </w:pPr>
      <w:r>
        <w:rPr>
          <w:b/>
          <w:bCs/>
        </w:rPr>
        <w:t xml:space="preserve">Dentro do escopo:</w:t>
      </w:r>
      <w:r>
        <w:t xml:space="preserve"> </w:t>
      </w:r>
      <w:r>
        <w:t xml:space="preserve">- Cadastro de infraestrutura: módulo</w:t>
      </w:r>
      <w:r>
        <w:t xml:space="preserve"> </w:t>
      </w:r>
      <w:r>
        <w:t xml:space="preserve">“Fornecedores”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, telas T42/T43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 status Pendente/Concluída por tela em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, permissões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ConfigPerfilItemModel</w:t>
      </w:r>
      <w:r>
        <w:t xml:space="preserve">, nova ação em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 </w:t>
      </w:r>
      <w:r>
        <w:t xml:space="preserve">(T8) associada</w:t>
      </w:r>
      <w:r>
        <w:t xml:space="preserve"> </w:t>
      </w:r>
      <w:r>
        <w:t xml:space="preserve">por subtipo em T9.</w:t>
      </w:r>
      <w:r>
        <w:t xml:space="preserve"> </w:t>
      </w:r>
      <w:r>
        <w:t xml:space="preserve">- 5 tabelas novas de banco (</w:t>
      </w:r>
      <w:r>
        <w:rPr>
          <w:rStyle w:val="VerbatimChar"/>
        </w:rPr>
        <w:t xml:space="preserve">oco_notif_desvio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oco_notif_evento_anexo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oco_notif_evento_acao</w:t>
      </w:r>
      <w:r>
        <w:t xml:space="preserve">).</w:t>
      </w:r>
      <w:r>
        <w:t xml:space="preserve"> </w:t>
      </w:r>
      <w:r>
        <w:t xml:space="preserve">- Controllers/Entities/Models/Views de T42 e T43 completos (listagem, cadastro,</w:t>
      </w:r>
      <w:r>
        <w:t xml:space="preserve"> </w:t>
      </w:r>
      <w:r>
        <w:t xml:space="preserve">integrações entre telas, execução de ações, impressão de etiqueta).</w:t>
      </w:r>
      <w:r>
        <w:t xml:space="preserve"> </w:t>
      </w:r>
      <w:r>
        <w:t xml:space="preserve">- Cadastro de</w:t>
      </w:r>
      <w:r>
        <w:t xml:space="preserve"> </w:t>
      </w:r>
      <w:r>
        <w:rPr>
          <w:rStyle w:val="VerbatimChar"/>
        </w:rPr>
        <w:t xml:space="preserve">cfg_etiqueta</w:t>
      </w:r>
      <w:r>
        <w:t xml:space="preserve">/</w:t>
      </w:r>
      <w:r>
        <w:rPr>
          <w:rStyle w:val="VerbatimChar"/>
        </w:rPr>
        <w:t xml:space="preserve">cfg_layout_etiqueta</w:t>
      </w:r>
      <w:r>
        <w:t xml:space="preserve">/</w:t>
      </w:r>
      <w:r>
        <w:rPr>
          <w:rStyle w:val="VerbatimChar"/>
        </w:rPr>
        <w:t xml:space="preserve">cfg_etiqueta_campo</w:t>
      </w:r>
      <w:r>
        <w:t xml:space="preserve"> </w:t>
      </w:r>
      <w:r>
        <w:t xml:space="preserve">para as</w:t>
      </w:r>
      <w:r>
        <w:t xml:space="preserve"> </w:t>
      </w:r>
      <w:r>
        <w:t xml:space="preserve">duas telas (dado de configuração, não é código novo).</w:t>
      </w:r>
    </w:p>
    <w:p>
      <w:pPr>
        <w:pStyle w:val="BodyText"/>
      </w:pPr>
      <w:r>
        <w:rPr>
          <w:b/>
          <w:bCs/>
        </w:rPr>
        <w:t xml:space="preserve">Fora do escopo deste ciclo:</w:t>
      </w:r>
      <w:r>
        <w:t xml:space="preserve"> </w:t>
      </w:r>
      <w:r>
        <w:t xml:space="preserve">- Qualquer alteração em T9/T11/T12 além da associação de ação nova por subtipo em</w:t>
      </w:r>
      <w:r>
        <w:t xml:space="preserve"> </w:t>
      </w:r>
      <w:r>
        <w:t xml:space="preserve">T9 (mecanismo já existente, sem alteração de schema).</w:t>
      </w:r>
      <w:r>
        <w:t xml:space="preserve"> </w:t>
      </w:r>
      <w:r>
        <w:t xml:space="preserve">- Cadastro de tabela de</w:t>
      </w:r>
      <w:r>
        <w:t xml:space="preserve"> </w:t>
      </w:r>
      <w:r>
        <w:t xml:space="preserve">“locais”</w:t>
      </w:r>
      <w:r>
        <w:t xml:space="preserve"> </w:t>
      </w:r>
      <w:r>
        <w:t xml:space="preserve">para o campo</w:t>
      </w:r>
      <w:r>
        <w:t xml:space="preserve"> </w:t>
      </w:r>
      <w:r>
        <w:rPr>
          <w:rStyle w:val="VerbatimChar"/>
        </w:rPr>
        <w:t xml:space="preserve">ndv_local</w:t>
      </w:r>
      <w:r>
        <w:t xml:space="preserve"> </w:t>
      </w:r>
      <w:r>
        <w:t xml:space="preserve">de T42 — decisão final é</w:t>
      </w:r>
      <w:r>
        <w:t xml:space="preserve"> </w:t>
      </w:r>
      <w:r>
        <w:t xml:space="preserve">texto livre, sem select.</w:t>
      </w:r>
      <w:r>
        <w:t xml:space="preserve"> </w:t>
      </w:r>
      <w:r>
        <w:t xml:space="preserve">- Cadastro de fornecedor no sistema —</w:t>
      </w:r>
      <w:r>
        <w:t xml:space="preserve"> </w:t>
      </w:r>
      <w:r>
        <w:rPr>
          <w:rStyle w:val="VerbatimChar"/>
        </w:rPr>
        <w:t xml:space="preserve">nev_fornecedor</w:t>
      </w:r>
      <w:r>
        <w:t xml:space="preserve"> </w:t>
      </w:r>
      <w:r>
        <w:t xml:space="preserve">é texto livre.</w:t>
      </w:r>
    </w:p>
    <w:p>
      <w:r>
        <w:pict>
          <v:rect style="width:0;height:1.5pt" o:hralign="center" o:hrstd="t" o:hr="t"/>
        </w:pict>
      </w:r>
    </w:p>
    <w:bookmarkEnd w:id="10"/>
    <w:bookmarkStart w:id="15" w:name="decisões-de-arquitetura"/>
    <w:p>
      <w:pPr>
        <w:pStyle w:val="Heading2"/>
      </w:pPr>
      <w:r>
        <w:t xml:space="preserve">3. Decisões de Arquitetura</w:t>
      </w:r>
    </w:p>
    <w:bookmarkStart w:id="11" w:name="X484923dd72c9ca01435471200156e26cb4f8218"/>
    <w:p>
      <w:pPr>
        <w:pStyle w:val="Heading3"/>
      </w:pPr>
      <w:r>
        <w:t xml:space="preserve">3.1 Mecanismo de impressão = etiqueta (não relatório)</w:t>
      </w:r>
    </w:p>
    <w:p>
      <w:pPr>
        <w:pStyle w:val="FirstParagraph"/>
      </w:pPr>
      <w:r>
        <w:t xml:space="preserve">Onde o requisito original menciona</w:t>
      </w:r>
      <w:r>
        <w:t xml:space="preserve"> </w:t>
      </w:r>
      <w:r>
        <w:t xml:space="preserve">“relatório”</w:t>
      </w:r>
      <w:r>
        <w:t xml:space="preserve"> </w:t>
      </w:r>
      <w:r>
        <w:t xml:space="preserve">(RN03.15 de T42; RN04.1/RN04.2 de</w:t>
      </w:r>
      <w:r>
        <w:t xml:space="preserve"> </w:t>
      </w:r>
      <w:r>
        <w:t xml:space="preserve">T43), a decisão final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é que se trata de</w:t>
      </w:r>
      <w:r>
        <w:t xml:space="preserve"> </w:t>
      </w:r>
      <w:r>
        <w:rPr>
          <w:b/>
          <w:bCs/>
        </w:rPr>
        <w:t xml:space="preserve">impressão de etiqueta</w:t>
      </w:r>
      <w:r>
        <w:t xml:space="preserve">,</w:t>
      </w:r>
      <w:r>
        <w:t xml:space="preserve"> </w:t>
      </w:r>
      <w:r>
        <w:t xml:space="preserve">usando o mecanismo já existente no projeto — não um relatório novo.</w:t>
      </w:r>
    </w:p>
    <w:p>
      <w:pPr>
        <w:pStyle w:val="BodyText"/>
      </w:pPr>
      <w:r>
        <w:rPr>
          <w:b/>
          <w:bCs/>
        </w:rPr>
        <w:t xml:space="preserve">Fluxo reaproveitado (sem código novo no runtime):</w:t>
      </w:r>
      <w:r>
        <w:t xml:space="preserve"> </w:t>
      </w:r>
      <w:r>
        <w:t xml:space="preserve">- Front:</w:t>
      </w:r>
      <w:r>
        <w:t xml:space="preserve"> </w:t>
      </w:r>
      <w:r>
        <w:rPr>
          <w:rStyle w:val="VerbatimChar"/>
        </w:rPr>
        <w:t xml:space="preserve">gerarEtiquetaZPL(url, etiq = false, chave = false, qtia = 1)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public/assets/jscript/my_default.js</w:t>
      </w:r>
      <w:r>
        <w:t xml:space="preserve">, ~linha 1834) resolve via</w:t>
      </w:r>
      <w:r>
        <w:t xml:space="preserve"> </w:t>
      </w:r>
      <w:r>
        <w:rPr>
          <w:rStyle w:val="VerbatimChar"/>
        </w:rPr>
        <w:t xml:space="preserve">/buscas/buscaetiqcontroler</w:t>
      </w:r>
      <w:r>
        <w:t xml:space="preserve"> </w:t>
      </w:r>
      <w:r>
        <w:t xml:space="preserve">quantas etiquetas existem cadastradas para a tela</w:t>
      </w:r>
      <w:r>
        <w:t xml:space="preserve"> </w:t>
      </w:r>
      <w:r>
        <w:t xml:space="preserve">atual (usa</w:t>
      </w:r>
      <w:r>
        <w:t xml:space="preserve"> </w:t>
      </w:r>
      <w:r>
        <w:rPr>
          <w:rStyle w:val="VerbatimChar"/>
        </w:rPr>
        <w:t xml:space="preserve">#controler</w:t>
      </w:r>
      <w:r>
        <w:t xml:space="preserve"> </w:t>
      </w:r>
      <w:r>
        <w:t xml:space="preserve">padrão de toda tela): 0 → erro; 1 → usa direto; 2+ →</w:t>
      </w:r>
      <w:r>
        <w:t xml:space="preserve"> </w:t>
      </w:r>
      <w:r>
        <w:t xml:space="preserve">seleção via</w:t>
      </w:r>
      <w:r>
        <w:t xml:space="preserve"> </w:t>
      </w:r>
      <w:r>
        <w:rPr>
          <w:rStyle w:val="VerbatimChar"/>
        </w:rPr>
        <w:t xml:space="preserve">boxAlert</w:t>
      </w:r>
      <w:r>
        <w:t xml:space="preserve"> </w:t>
      </w:r>
      <w:r>
        <w:t xml:space="preserve">tipo 9. Em seguida chama</w:t>
      </w:r>
      <w:r>
        <w:t xml:space="preserve"> </w:t>
      </w:r>
      <w:r>
        <w:rPr>
          <w:rStyle w:val="VerbatimChar"/>
        </w:rPr>
        <w:t xml:space="preserve">openImgModal()</w:t>
      </w:r>
      <w:r>
        <w:t xml:space="preserve">.</w:t>
      </w:r>
      <w:r>
        <w:t xml:space="preserve"> </w:t>
      </w:r>
      <w:r>
        <w:t xml:space="preserve">- Back:</w:t>
      </w:r>
      <w:r>
        <w:t xml:space="preserve"> </w:t>
      </w:r>
      <w:r>
        <w:rPr>
          <w:rStyle w:val="VerbatimChar"/>
        </w:rPr>
        <w:t xml:space="preserve">Buscas::buscaetiqcontroler()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app/Controllers/Buscas.php</w:t>
      </w:r>
      <w:r>
        <w:t xml:space="preserve">, ~linha 787)</w:t>
      </w:r>
      <w:r>
        <w:t xml:space="preserve"> </w:t>
      </w:r>
      <w:r>
        <w:t xml:space="preserve">resolve a tela pelo nome do controller via</w:t>
      </w:r>
      <w:r>
        <w:t xml:space="preserve"> </w:t>
      </w:r>
      <w:r>
        <w:rPr>
          <w:rStyle w:val="VerbatimChar"/>
        </w:rPr>
        <w:t xml:space="preserve">ConfigTelaModel::getTelaSearch</w:t>
      </w:r>
      <w:r>
        <w:t xml:space="preserve"> </w:t>
      </w:r>
      <w:r>
        <w:t xml:space="preserve">e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ConfigEtiquetaModel::getEtiquetaTela($tel_id)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Código novo necessário em T42/T43 (mirror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Estoque\EtqProduto::GeraEtiqueta()</w:t>
      </w:r>
      <w:r>
        <w:rPr>
          <w:b/>
          <w:bCs/>
        </w:rPr>
        <w:t xml:space="preserve">):</w:t>
      </w:r>
      <w:r>
        <w:t xml:space="preserve"> </w:t>
      </w:r>
      <w:r>
        <w:t xml:space="preserve">- Método</w:t>
      </w:r>
      <w:r>
        <w:t xml:space="preserve"> </w:t>
      </w:r>
      <w:r>
        <w:rPr>
          <w:rStyle w:val="VerbatimChar"/>
        </w:rPr>
        <w:t xml:space="preserve">GeraEtiqueta($id)</w:t>
      </w:r>
      <w:r>
        <w:t xml:space="preserve"> </w:t>
      </w:r>
      <w:r>
        <w:t xml:space="preserve">em cada controller (</w:t>
      </w:r>
      <w:r>
        <w:rPr>
          <w:rStyle w:val="VerbatimChar"/>
        </w:rPr>
        <w:t xml:space="preserve">ndv_id</w:t>
      </w:r>
      <w:r>
        <w:t xml:space="preserve"> </w:t>
      </w:r>
      <w:r>
        <w:t xml:space="preserve">em T42 /</w:t>
      </w:r>
      <w:r>
        <w:t xml:space="preserve"> </w:t>
      </w:r>
      <w:r>
        <w:rPr>
          <w:rStyle w:val="VerbatimChar"/>
        </w:rPr>
        <w:t xml:space="preserve">nev_id</w:t>
      </w:r>
      <w:r>
        <w:t xml:space="preserve"> </w:t>
      </w:r>
      <w:r>
        <w:t xml:space="preserve">em</w:t>
      </w:r>
      <w:r>
        <w:t xml:space="preserve"> </w:t>
      </w:r>
      <w:r>
        <w:t xml:space="preserve">T43): busca os dados do registro, grava em cache Redis com chave única, retorna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{ link: base_url('CriaEtiquetaZPL/emiteEtiqueta'), chave }</w:t>
      </w:r>
      <w:r>
        <w:t xml:space="preserve">.</w:t>
      </w:r>
      <w:r>
        <w:t xml:space="preserve"> </w:t>
      </w:r>
      <w:r>
        <w:t xml:space="preserve">- Wrapper JS (mirror de</w:t>
      </w:r>
      <w:r>
        <w:t xml:space="preserve"> </w:t>
      </w:r>
      <w:r>
        <w:rPr>
          <w:rStyle w:val="VerbatimChar"/>
        </w:rPr>
        <w:t xml:space="preserve">geraEiquetaProd()</w:t>
      </w:r>
      <w:r>
        <w:t xml:space="preserve">):</w:t>
      </w:r>
      <w:r>
        <w:t xml:space="preserve"> </w:t>
      </w:r>
      <w:r>
        <w:rPr>
          <w:rStyle w:val="VerbatimChar"/>
        </w:rPr>
        <w:t xml:space="preserve">jQuery.getJSON(urlGeraEtiqueta, res =&gt; gerarEtiquetaZPL(res.link, false, res.chave, qtia))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Rota:</w:t>
      </w:r>
      <w:r>
        <w:t xml:space="preserve"> </w:t>
      </w:r>
      <w:r>
        <w:t xml:space="preserve">já existe —</w:t>
      </w:r>
      <w:r>
        <w:t xml:space="preserve"> </w:t>
      </w:r>
      <w:r>
        <w:rPr>
          <w:rStyle w:val="VerbatimChar"/>
        </w:rPr>
        <w:t xml:space="preserve">CriaEtiquetaZPL/emiteEtiqueta/(:any)/(:any)/(:any)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Routes.php</w:t>
      </w:r>
      <w:r>
        <w:t xml:space="preserve">, ~linha 131). Apesar do nome</w:t>
      </w:r>
      <w:r>
        <w:t xml:space="preserve"> </w:t>
      </w:r>
      <w:r>
        <w:t xml:space="preserve">“ZPL”</w:t>
      </w:r>
      <w:r>
        <w:t xml:space="preserve">, a saída passa por</w:t>
      </w:r>
      <w:r>
        <w:t xml:space="preserve"> </w:t>
      </w:r>
      <w:r>
        <w:rPr>
          <w:rStyle w:val="VerbatimChar"/>
        </w:rPr>
        <w:t xml:space="preserve">openImgModal()</w:t>
      </w:r>
      <w:r>
        <w:t xml:space="preserve"> </w:t>
      </w:r>
      <w:r>
        <w:t xml:space="preserve">(imagem/preview), não depende de impressora térmica.</w:t>
      </w:r>
    </w:p>
    <w:p>
      <w:pPr>
        <w:pStyle w:val="BodyText"/>
      </w:pPr>
      <w:r>
        <w:rPr>
          <w:b/>
          <w:bCs/>
        </w:rPr>
        <w:t xml:space="preserve">Cadastro de dado (não código):</w:t>
      </w:r>
      <w:r>
        <w:t xml:space="preserve"> </w:t>
      </w:r>
      <w:r>
        <w:rPr>
          <w:rStyle w:val="VerbatimChar"/>
        </w:rPr>
        <w:t xml:space="preserve">cfg_etiqueta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cfg_layout_etiqueta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cfg_etiqueta_campo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de T42/T43, via telas de administração já</w:t>
      </w:r>
      <w:r>
        <w:t xml:space="preserve"> </w:t>
      </w:r>
      <w:r>
        <w:t xml:space="preserve">existentes (</w:t>
      </w:r>
      <w:r>
        <w:rPr>
          <w:rStyle w:val="VerbatimChar"/>
        </w:rPr>
        <w:t xml:space="preserve">Config\CfgEtiqueta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Config\CfgLayoutEtiq</w:t>
      </w:r>
      <w:r>
        <w:t xml:space="preserve">). Campos impressos</w:t>
      </w:r>
      <w:r>
        <w:t xml:space="preserve"> </w:t>
      </w:r>
      <w:r>
        <w:t xml:space="preserve">mapeiam os nomes retornados pelo array cacheado em</w:t>
      </w:r>
      <w:r>
        <w:t xml:space="preserve"> </w:t>
      </w:r>
      <w:r>
        <w:rPr>
          <w:rStyle w:val="VerbatimChar"/>
        </w:rPr>
        <w:t xml:space="preserve">GeraEtiqueta()</w:t>
      </w:r>
      <w:r>
        <w:t xml:space="preserve">. Validar</w:t>
      </w:r>
      <w:r>
        <w:t xml:space="preserve"> </w:t>
      </w:r>
      <w:r>
        <w:t xml:space="preserve">apenas</w:t>
      </w:r>
      <w:r>
        <w:t xml:space="preserve"> </w:t>
      </w:r>
      <w:r>
        <w:rPr>
          <w:rStyle w:val="VerbatimChar"/>
        </w:rPr>
        <w:t xml:space="preserve">let_largura</w:t>
      </w:r>
      <w:r>
        <w:t xml:space="preserve">/</w:t>
      </w:r>
      <w:r>
        <w:rPr>
          <w:rStyle w:val="VerbatimChar"/>
        </w:rPr>
        <w:t xml:space="preserve">let_altura</w:t>
      </w:r>
      <w:r>
        <w:t xml:space="preserve">/</w:t>
      </w:r>
      <w:r>
        <w:rPr>
          <w:rStyle w:val="VerbatimChar"/>
        </w:rPr>
        <w:t xml:space="preserve">let_colunas</w:t>
      </w:r>
      <w:r>
        <w:t xml:space="preserve"> </w:t>
      </w:r>
      <w:r>
        <w:t xml:space="preserve">compatíveis com um layout de</w:t>
      </w:r>
      <w:r>
        <w:t xml:space="preserve"> </w:t>
      </w:r>
      <w:r>
        <w:t xml:space="preserve">documento maior — via parametrização de cadastro, sem mudança de código.</w:t>
      </w:r>
    </w:p>
    <w:p>
      <w:pPr>
        <w:pStyle w:val="BodyText"/>
      </w:pPr>
      <w:r>
        <w:rPr>
          <w:b/>
          <w:bCs/>
        </w:rPr>
        <w:t xml:space="preserve">Gatilho de impressão:</w:t>
      </w:r>
      <w:r>
        <w:t xml:space="preserve"> </w:t>
      </w:r>
      <w:r>
        <w:t xml:space="preserve">- T42: oferecida logo após o Salvar,</w:t>
      </w:r>
      <w:r>
        <w:t xml:space="preserve"> </w:t>
      </w:r>
      <w:r>
        <w:rPr>
          <w:b/>
          <w:bCs/>
        </w:rPr>
        <w:t xml:space="preserve">não bloqueante</w:t>
      </w:r>
      <w:r>
        <w:t xml:space="preserve">.</w:t>
      </w:r>
      <w:r>
        <w:t xml:space="preserve"> </w:t>
      </w:r>
      <w:r>
        <w:t xml:space="preserve">- T43: oferecida via botão</w:t>
      </w:r>
      <w:r>
        <w:t xml:space="preserve"> </w:t>
      </w:r>
      <w:r>
        <w:t xml:space="preserve">“Imprimir”</w:t>
      </w:r>
      <w:r>
        <w:t xml:space="preserve"> </w:t>
      </w:r>
      <w:r>
        <w:t xml:space="preserve">na listagem.</w:t>
      </w:r>
    </w:p>
    <w:bookmarkEnd w:id="11"/>
    <w:bookmarkStart w:id="12" w:name="Xebfeaf5ad6397f728ec6510b55dae608180b700"/>
    <w:p>
      <w:pPr>
        <w:pStyle w:val="Heading3"/>
      </w:pPr>
      <w:r>
        <w:t xml:space="preserve">3.2 Nomenclatura e mapeamento de telas do requisito</w:t>
      </w:r>
    </w:p>
    <w:p>
      <w:pPr>
        <w:pStyle w:val="Compact"/>
        <w:numPr>
          <w:ilvl w:val="0"/>
          <w:numId w:val="1001"/>
        </w:numPr>
      </w:pPr>
      <w:r>
        <w:t xml:space="preserve">“T1”</w:t>
      </w:r>
      <w:r>
        <w:t xml:space="preserve"> </w:t>
      </w:r>
      <w:r>
        <w:t xml:space="preserve">no fluxo macro de T42 é inconsistência de digitação do requisito original</w:t>
      </w:r>
      <w:r>
        <w:t xml:space="preserve"> </w:t>
      </w:r>
      <w:r>
        <w:t xml:space="preserve">— na prática é sempre</w:t>
      </w:r>
      <w:r>
        <w:t xml:space="preserve"> </w:t>
      </w:r>
      <w:r>
        <w:rPr>
          <w:b/>
          <w:bCs/>
        </w:rPr>
        <w:t xml:space="preserve">T11</w:t>
      </w:r>
      <w:r>
        <w:t xml:space="preserve"> </w:t>
      </w:r>
      <w:r>
        <w:t xml:space="preserve">(Gestão de Ocorrências,</w:t>
      </w:r>
      <w:r>
        <w:t xml:space="preserve"> </w:t>
      </w:r>
      <w:r>
        <w:rPr>
          <w:rStyle w:val="VerbatimChar"/>
        </w:rPr>
        <w:t xml:space="preserve">OcoOcorrencia</w:t>
      </w:r>
      <w:r>
        <w:t xml:space="preserve">/</w:t>
      </w:r>
      <w:r>
        <w:rPr>
          <w:rStyle w:val="VerbatimChar"/>
        </w:rPr>
        <w:t xml:space="preserve">oco_ocorrencia</w:t>
      </w:r>
      <w:r>
        <w:t xml:space="preserve">), confirmado pela própria RN02.3 de T42, que já</w:t>
      </w:r>
      <w:r>
        <w:t xml:space="preserve"> </w:t>
      </w:r>
      <w:r>
        <w:t xml:space="preserve">usa</w:t>
      </w:r>
      <w:r>
        <w:t xml:space="preserve"> </w:t>
      </w:r>
      <w:r>
        <w:t xml:space="preserve">“T11”</w:t>
      </w:r>
      <w:r>
        <w:t xml:space="preserve"> </w:t>
      </w:r>
      <w:r>
        <w:t xml:space="preserve">explicitamente.</w:t>
      </w:r>
    </w:p>
    <w:p>
      <w:pPr>
        <w:pStyle w:val="Compact"/>
        <w:numPr>
          <w:ilvl w:val="0"/>
          <w:numId w:val="1001"/>
        </w:numPr>
      </w:pPr>
      <w:r>
        <w:t xml:space="preserve">“T8”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OcoTipoAcao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 </w:t>
      </w:r>
      <w:r>
        <w:t xml:space="preserve">(catálogo de ações do Ceqweb 3.0).</w:t>
      </w:r>
    </w:p>
    <w:p>
      <w:pPr>
        <w:pStyle w:val="Compact"/>
        <w:numPr>
          <w:ilvl w:val="0"/>
          <w:numId w:val="1001"/>
        </w:numPr>
      </w:pPr>
      <w:r>
        <w:t xml:space="preserve">“T2”</w:t>
      </w:r>
      <w:r>
        <w:t xml:space="preserve"> </w:t>
      </w:r>
      <w:r>
        <w:t xml:space="preserve">= tela de administração de</w:t>
      </w:r>
      <w:r>
        <w:t xml:space="preserve"> </w:t>
      </w:r>
      <w:r>
        <w:rPr>
          <w:rStyle w:val="VerbatimChar"/>
        </w:rPr>
        <w:t xml:space="preserve">cfg_mensagem</w:t>
      </w:r>
      <w:r>
        <w:t xml:space="preserve">; MSG ID 2 e MSG ID 7 já existem,</w:t>
      </w:r>
      <w:r>
        <w:t xml:space="preserve"> </w:t>
      </w:r>
      <w:r>
        <w:t xml:space="preserve">reaproveitadas sem alteração.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“Ação ID 13 da tela T8”</w:t>
      </w:r>
      <w:r>
        <w:rPr>
          <w:b/>
          <w:bCs/>
        </w:rPr>
        <w:t xml:space="preserve"> </w:t>
      </w:r>
      <w:r>
        <w:rPr>
          <w:b/>
          <w:bCs/>
        </w:rPr>
        <w:t xml:space="preserve">(RN02.3 de T42) — a ação NÃO existe hoje, precisa ser</w:t>
      </w:r>
      <w:r>
        <w:rPr>
          <w:b/>
          <w:bCs/>
        </w:rPr>
        <w:t xml:space="preserve"> </w:t>
      </w:r>
      <w:r>
        <w:rPr>
          <w:b/>
          <w:bCs/>
        </w:rPr>
        <w:t xml:space="preserve">criada:</w:t>
      </w:r>
    </w:p>
    <w:p>
      <w:pPr>
        <w:pStyle w:val="Compact"/>
        <w:numPr>
          <w:ilvl w:val="1"/>
          <w:numId w:val="1002"/>
        </w:numPr>
      </w:pPr>
      <w:r>
        <w:t xml:space="preserve">Nome:</w:t>
      </w:r>
      <w:r>
        <w:t xml:space="preserve"> </w:t>
      </w:r>
      <w:r>
        <w:t xml:space="preserve">“Notificação do Fornecedor”</w:t>
      </w:r>
      <w:r>
        <w:t xml:space="preserve"> </w:t>
      </w:r>
      <w:r>
        <w:t xml:space="preserve">(nome definitivo a confirmar com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na</w:t>
      </w:r>
      <w:r>
        <w:t xml:space="preserve"> </w:t>
      </w:r>
      <w:r>
        <w:t xml:space="preserve">codificação).</w:t>
      </w:r>
    </w:p>
    <w:p>
      <w:pPr>
        <w:pStyle w:val="Compact"/>
        <w:numPr>
          <w:ilvl w:val="1"/>
          <w:numId w:val="1002"/>
        </w:numPr>
      </w:pPr>
      <w:r>
        <w:t xml:space="preserve">É</w:t>
      </w:r>
      <w:r>
        <w:t xml:space="preserve"> </w:t>
      </w:r>
      <w:r>
        <w:rPr>
          <w:b/>
          <w:bCs/>
        </w:rPr>
        <w:t xml:space="preserve">configurável por subtipo de ocorrência em T9</w:t>
      </w:r>
      <w:r>
        <w:t xml:space="preserve"> </w:t>
      </w:r>
      <w:r>
        <w:t xml:space="preserve">(</w:t>
      </w:r>
      <w:r>
        <w:rPr>
          <w:rStyle w:val="VerbatimChar"/>
        </w:rPr>
        <w:t xml:space="preserve">oco_subt_ocorrencia_acao</w:t>
      </w:r>
      <w:r>
        <w:t xml:space="preserve">), seguindo o mesmo mecanismo já usado pelas</w:t>
      </w:r>
      <w:r>
        <w:t xml:space="preserve"> </w:t>
      </w:r>
      <w:r>
        <w:t xml:space="preserve">demais ações (</w:t>
      </w:r>
      <w:r>
        <w:rPr>
          <w:rStyle w:val="VerbatimChar"/>
        </w:rPr>
        <w:t xml:space="preserve">EntOcoSubtOcorrencia::defCamposAcao()</w:t>
      </w:r>
      <w:r>
        <w:t xml:space="preserve">) — reaproveita 100% a</w:t>
      </w:r>
      <w:r>
        <w:t xml:space="preserve"> </w:t>
      </w:r>
      <w:r>
        <w:t xml:space="preserve">tela T9 já existente,</w:t>
      </w:r>
      <w:r>
        <w:t xml:space="preserve"> </w:t>
      </w:r>
      <w:r>
        <w:rPr>
          <w:b/>
          <w:bCs/>
        </w:rPr>
        <w:t xml:space="preserve">sem alteração de schema em T9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Cadastro necessário: nova linha em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 </w:t>
      </w:r>
      <w:r>
        <w:t xml:space="preserve">+ associação por subtipo</w:t>
      </w:r>
      <w:r>
        <w:t xml:space="preserve"> </w:t>
      </w:r>
      <w:r>
        <w:t xml:space="preserve">relevante em T9 (dado de configuração, feito na etapa de infraestrutura).</w:t>
      </w:r>
    </w:p>
    <w:bookmarkEnd w:id="12"/>
    <w:bookmarkStart w:id="13" w:name="status-pendenteconcluída"/>
    <w:p>
      <w:pPr>
        <w:pStyle w:val="Heading3"/>
      </w:pPr>
      <w:r>
        <w:t xml:space="preserve">3.3 Status</w:t>
      </w:r>
      <w:r>
        <w:t xml:space="preserve"> </w:t>
      </w:r>
      <w:r>
        <w:t xml:space="preserve">“Pendente”</w:t>
      </w:r>
      <w:r>
        <w:t xml:space="preserve">/</w:t>
      </w:r>
      <w:r>
        <w:t xml:space="preserve">“Concluída”</w:t>
      </w:r>
    </w:p>
    <w:p>
      <w:pPr>
        <w:pStyle w:val="FirstParagraph"/>
      </w:pPr>
      <w:r>
        <w:rPr>
          <w:rStyle w:val="VerbatimChar"/>
        </w:rPr>
        <w:t xml:space="preserve">cfg_status</w:t>
      </w:r>
      <w:r>
        <w:t xml:space="preserve"> </w:t>
      </w:r>
      <w:r>
        <w:t xml:space="preserve">é escopado por tela (</w:t>
      </w:r>
      <w:r>
        <w:rPr>
          <w:rStyle w:val="VerbatimChar"/>
        </w:rPr>
        <w:t xml:space="preserve">tel_id</w:t>
      </w:r>
      <w:r>
        <w:t xml:space="preserve">). T42 e T43 são telas novas, sem status</w:t>
      </w:r>
      <w:r>
        <w:t xml:space="preserve"> </w:t>
      </w:r>
      <w:r>
        <w:t xml:space="preserve">próprio ainda.</w:t>
      </w:r>
    </w:p>
    <w:p>
      <w:pPr>
        <w:pStyle w:val="BodyText"/>
      </w:pPr>
      <w:r>
        <w:rPr>
          <w:b/>
          <w:bCs/>
        </w:rPr>
        <w:t xml:space="preserve">Decisão final:</w:t>
      </w:r>
      <w:r>
        <w:t xml:space="preserve"> </w:t>
      </w:r>
      <w:r>
        <w:t xml:space="preserve">cadastrar, para cada tela nova, dois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 </w:t>
      </w:r>
      <w:r>
        <w:t xml:space="preserve">próprios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mod_id</w:t>
      </w:r>
      <w:r>
        <w:t xml:space="preserve"> </w:t>
      </w:r>
      <w:r>
        <w:t xml:space="preserve">do módulo Fornecedores novo,</w:t>
      </w:r>
      <w:r>
        <w:t xml:space="preserve"> </w:t>
      </w:r>
      <w:r>
        <w:rPr>
          <w:rStyle w:val="VerbatimChar"/>
        </w:rPr>
        <w:t xml:space="preserve">tel_id</w:t>
      </w:r>
      <w:r>
        <w:t xml:space="preserve"> </w:t>
      </w:r>
      <w:r>
        <w:t xml:space="preserve">de cada tela nova):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“Pendente”</w:t>
      </w:r>
      <w:r>
        <w:t xml:space="preserve"> </w:t>
      </w:r>
      <w:r>
        <w:t xml:space="preserve">— status inicial ao integrar da tela de origem.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“Concluída”</w:t>
      </w:r>
      <w:r>
        <w:t xml:space="preserve"> </w:t>
      </w:r>
      <w:r>
        <w:t xml:space="preserve">— status final.</w:t>
      </w:r>
    </w:p>
    <w:p>
      <w:pPr>
        <w:pStyle w:val="BodyText"/>
      </w:pPr>
      <w:r>
        <w:rPr>
          <w:b/>
          <w:bCs/>
        </w:rPr>
        <w:t xml:space="preserve">Gatilho de</w:t>
      </w:r>
      <w:r>
        <w:rPr>
          <w:b/>
          <w:bCs/>
        </w:rPr>
        <w:t xml:space="preserve"> </w:t>
      </w:r>
      <w:r>
        <w:rPr>
          <w:b/>
          <w:bCs/>
        </w:rPr>
        <w:t xml:space="preserve">“Concluída”</w:t>
      </w:r>
      <w:r>
        <w:rPr>
          <w:b/>
          <w:bCs/>
        </w:rPr>
        <w:t xml:space="preserve"> </w:t>
      </w:r>
      <w:r>
        <w:rPr>
          <w:b/>
          <w:bCs/>
        </w:rPr>
        <w:t xml:space="preserve">— decisão final:</w:t>
      </w:r>
      <w:r>
        <w:t xml:space="preserve"> </w:t>
      </w:r>
      <w:r>
        <w:t xml:space="preserve">o clique em Salvar já grava e conclui</w:t>
      </w:r>
      <w:r>
        <w:t xml:space="preserve"> </w:t>
      </w:r>
      <w:r>
        <w:t xml:space="preserve">o registro (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= Concluída direto no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, na mesma transação da</w:t>
      </w:r>
      <w:r>
        <w:t xml:space="preserve"> </w:t>
      </w:r>
      <w:r>
        <w:t xml:space="preserve">gravação).</w:t>
      </w:r>
      <w:r>
        <w:t xml:space="preserve"> </w:t>
      </w:r>
      <w:r>
        <w:rPr>
          <w:b/>
          <w:bCs/>
        </w:rPr>
        <w:t xml:space="preserve">Não há estado intermediário</w:t>
      </w:r>
      <w:r>
        <w:t xml:space="preserve"> </w:t>
      </w:r>
      <w:r>
        <w:t xml:space="preserve">esperando fechamento do modal de</w:t>
      </w:r>
      <w:r>
        <w:t xml:space="preserve"> </w:t>
      </w:r>
      <w:r>
        <w:t xml:space="preserve">impressão. A impressão da etiqueta é oferecida em seguida, como ação</w:t>
      </w:r>
      <w:r>
        <w:t xml:space="preserve"> </w:t>
      </w:r>
      <w:r>
        <w:t xml:space="preserve">independente e não bloqueante.</w:t>
      </w:r>
    </w:p>
    <w:bookmarkEnd w:id="13"/>
    <w:bookmarkStart w:id="14" w:name="X13fc590381dbb06a82b2cec1a2abbb2a65329a7"/>
    <w:p>
      <w:pPr>
        <w:pStyle w:val="Heading3"/>
      </w:pPr>
      <w:r>
        <w:t xml:space="preserve">3.4 Ícones (ambas as telas, mesmo padrão do resto do sistema)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Hover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fa-regular fa-pen-to-square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#ffa500</w:t>
            </w:r>
          </w:p>
        </w:tc>
        <w:tc>
          <w:tcPr/>
          <w:p>
            <w:pPr>
              <w:pStyle w:val="Compact"/>
            </w:pPr>
            <w:r>
              <w:t xml:space="preserve">“Alterar”</w:t>
            </w:r>
            <w:r>
              <w:t xml:space="preserve"> </w:t>
            </w:r>
            <w:r>
              <w:t xml:space="preserve">+ aumentar ícone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fa-light fa-eye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#0d6efd</w:t>
            </w:r>
          </w:p>
        </w:tc>
        <w:tc>
          <w:tcPr/>
          <w:p>
            <w:pPr>
              <w:pStyle w:val="Compact"/>
            </w:pPr>
            <w:r>
              <w:t xml:space="preserve">“Visualizar”</w:t>
            </w:r>
            <w:r>
              <w:t xml:space="preserve"> </w:t>
            </w:r>
            <w:r>
              <w:t xml:space="preserve">+ aumentar ícone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Imprimir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fa-solid fa-print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</w:pPr>
            <w:r>
              <w:t xml:space="preserve">“Imprimir”</w:t>
            </w:r>
            <w:r>
              <w:t xml:space="preserve"> </w:t>
            </w:r>
            <w:r>
              <w:t xml:space="preserve">+ aumentar ícone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fa-regular fa-trash-can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#ff0000</w:t>
            </w:r>
          </w:p>
        </w:tc>
        <w:tc>
          <w:tcPr/>
          <w:p>
            <w:pPr>
              <w:pStyle w:val="Compact"/>
            </w:pPr>
            <w:r>
              <w:t xml:space="preserve">“Excluir”</w:t>
            </w:r>
            <w:r>
              <w:t xml:space="preserve"> </w:t>
            </w:r>
            <w:r>
              <w:t xml:space="preserve">+ aumentar ícone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4" w:name="estrutura-de-banco-de-dados"/>
    <w:p>
      <w:pPr>
        <w:pStyle w:val="Heading2"/>
      </w:pPr>
      <w:r>
        <w:t xml:space="preserve">4. Estrutura de Banco de Dados</w:t>
      </w:r>
    </w:p>
    <w:bookmarkStart w:id="16" w:name="X008812dac4b5bdc5b0c197e7fadbe246faac644"/>
    <w:p>
      <w:pPr>
        <w:pStyle w:val="Heading3"/>
      </w:pPr>
      <w:r>
        <w:t xml:space="preserve">4.1 Cadastro de infraestrutura (pré-requisito, dado de configuração)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cfg_modulo</w:t>
      </w:r>
      <w:r>
        <w:t xml:space="preserve"> </w:t>
      </w:r>
      <w:r>
        <w:t xml:space="preserve">— módulo novo</w:t>
      </w:r>
      <w:r>
        <w:t xml:space="preserve"> </w:t>
      </w:r>
      <w:r>
        <w:t xml:space="preserve">“Fornecedores”</w:t>
      </w:r>
      <w:r>
        <w:t xml:space="preserve"> </w:t>
      </w:r>
      <w:r>
        <w:t xml:space="preserve">(não existe hoje; verificar antes</w:t>
      </w:r>
      <w:r>
        <w:t xml:space="preserve"> </w:t>
      </w:r>
      <w:r>
        <w:t xml:space="preserve">de criar, para não duplicar).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cfg_tela</w:t>
      </w:r>
      <w:r>
        <w:t xml:space="preserve"> </w:t>
      </w:r>
      <w:r>
        <w:t xml:space="preserve">— duas novas linhas: T42 e T43, com</w:t>
      </w:r>
      <w:r>
        <w:t xml:space="preserve"> </w:t>
      </w:r>
      <w:r>
        <w:rPr>
          <w:rStyle w:val="VerbatimChar"/>
        </w:rPr>
        <w:t xml:space="preserve">tel_controler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tel_texto_botao</w:t>
      </w:r>
      <w:r>
        <w:t xml:space="preserve"> </w:t>
      </w:r>
      <w:r>
        <w:t xml:space="preserve">(T43 tem botão</w:t>
      </w:r>
      <w:r>
        <w:t xml:space="preserve"> </w:t>
      </w:r>
      <w:r>
        <w:t xml:space="preserve">“+”</w:t>
      </w:r>
      <w:r>
        <w:t xml:space="preserve"> </w:t>
      </w:r>
      <w:r>
        <w:t xml:space="preserve">na listagem para nova</w:t>
      </w:r>
      <w:r>
        <w:t xml:space="preserve"> </w:t>
      </w:r>
      <w:r>
        <w:t xml:space="preserve">notificação — mecanismo nativo de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/</w:t>
      </w:r>
      <w:r>
        <w:rPr>
          <w:rStyle w:val="VerbatimChar"/>
        </w:rPr>
        <w:t xml:space="preserve">vw_lista</w:t>
      </w:r>
      <w:r>
        <w:t xml:space="preserve">, não é feature nova).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ConfigPerfilItemModel</w:t>
      </w:r>
      <w:r>
        <w:t xml:space="preserve"> </w:t>
      </w:r>
      <w:r>
        <w:t xml:space="preserve">— permissões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(conforme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) para os perfis relevantes (materiais/qualidade).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cfg_status</w:t>
      </w:r>
      <w:r>
        <w:t xml:space="preserve"> </w:t>
      </w:r>
      <w:r>
        <w:t xml:space="preserve">— Pendente/Concluída de cada tela (ver 3.3).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oco_tipo_acao</w:t>
      </w:r>
      <w:r>
        <w:t xml:space="preserve"> </w:t>
      </w:r>
      <w:r>
        <w:t xml:space="preserve">— nova ação</w:t>
      </w:r>
      <w:r>
        <w:t xml:space="preserve"> </w:t>
      </w:r>
      <w:r>
        <w:t xml:space="preserve">“Notificação do Fornecedor”</w:t>
      </w:r>
      <w:r>
        <w:t xml:space="preserve"> </w:t>
      </w:r>
      <w:r>
        <w:t xml:space="preserve">(ver 3.2) +</w:t>
      </w:r>
      <w:r>
        <w:t xml:space="preserve"> </w:t>
      </w:r>
      <w:r>
        <w:t xml:space="preserve">associação por subtipo em T9.</w:t>
      </w:r>
    </w:p>
    <w:bookmarkEnd w:id="16"/>
    <w:bookmarkStart w:id="17" w:name="tabela-oco_notif_desvio-t42"/>
    <w:p>
      <w:pPr>
        <w:pStyle w:val="Heading3"/>
      </w:pPr>
      <w:r>
        <w:t xml:space="preserve">4.2 Tabela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(T42)</w:t>
      </w:r>
    </w:p>
    <w:p>
      <w:pPr>
        <w:pStyle w:val="FirstParagraph"/>
      </w:pPr>
      <w:r>
        <w:t xml:space="preserve">Prefixo de coluna:</w:t>
      </w:r>
      <w:r>
        <w:t xml:space="preserve"> </w:t>
      </w:r>
      <w:r>
        <w:rPr>
          <w:rStyle w:val="VerbatimChar"/>
        </w:rPr>
        <w:t xml:space="preserve">ndv_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Tipo/Regra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oco_id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oco_ocorrencia.oco_id</w:t>
            </w:r>
          </w:p>
        </w:tc>
        <w:tc>
          <w:tcPr/>
          <w:p>
            <w:pPr>
              <w:pStyle w:val="Compact"/>
            </w:pPr>
            <w:r>
              <w:t xml:space="preserve">Origem T11. Tipo, subtipo, data, usuário, tela geradora, código ERP, descrição, fabricante, lote, validade, quantidade</w:t>
            </w:r>
            <w:r>
              <w:t xml:space="preserve"> </w:t>
            </w:r>
            <w:r>
              <w:rPr>
                <w:b/>
                <w:bCs/>
              </w:rPr>
              <w:t xml:space="preserve">vêm via JOIN/view até T11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não duplicados</w:t>
            </w:r>
            <w:r>
              <w:t xml:space="preserve"> </w:t>
            </w:r>
            <w:r>
              <w:t xml:space="preserve">nesta tabela.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ndv_local</w:t>
            </w:r>
          </w:p>
        </w:tc>
        <w:tc>
          <w:tcPr/>
          <w:p>
            <w:pPr>
              <w:pStyle w:val="Compact"/>
            </w:pPr>
            <w:r>
              <w:t xml:space="preserve">texto simples (</w:t>
            </w:r>
            <w:r>
              <w:rPr>
                <w:rStyle w:val="VerbatimChar"/>
              </w:rPr>
              <w:t xml:space="preserve">input text</w:t>
            </w:r>
            <w:r>
              <w:t xml:space="preserve">), obrigatório, min 5 / max 50 caracteres</w:t>
            </w:r>
          </w:p>
        </w:tc>
        <w:tc>
          <w:tcPr/>
          <w:p>
            <w:pPr>
              <w:pStyle w:val="Compact"/>
            </w:pPr>
            <w:r>
              <w:t xml:space="preserve">RN03.7. Editável.</w:t>
            </w:r>
            <w:r>
              <w:t xml:space="preserve"> </w:t>
            </w:r>
            <w:r>
              <w:rPr>
                <w:b/>
                <w:bCs/>
              </w:rPr>
              <w:t xml:space="preserve">Sem select, sem tabela de locais nova</w:t>
            </w:r>
            <w:r>
              <w:t xml:space="preserve"> </w:t>
            </w:r>
            <w:r>
              <w:t xml:space="preserve">— segue literalmente o requisito.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ndv_descreva</w:t>
            </w:r>
          </w:p>
        </w:tc>
        <w:tc>
          <w:tcPr/>
          <w:p>
            <w:pPr>
              <w:pStyle w:val="Compact"/>
            </w:pPr>
            <w:r>
              <w:t xml:space="preserve">texto, obrigatório, min 5 / max 200 caracteres</w:t>
            </w:r>
          </w:p>
        </w:tc>
        <w:tc>
          <w:tcPr/>
          <w:p>
            <w:pPr>
              <w:pStyle w:val="Compact"/>
            </w:pPr>
            <w:r>
              <w:t xml:space="preserve">RN03.14. Editável.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cfg_status</w:t>
            </w:r>
            <w:r>
              <w:t xml:space="preserve"> </w:t>
            </w:r>
            <w:r>
              <w:t xml:space="preserve">(Pendente/Concluída da T42)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usu_criou</w:t>
            </w:r>
            <w:r>
              <w:t xml:space="preserve"> </w:t>
            </w:r>
            <w:r>
              <w:t xml:space="preserve">+ timestamps padrão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 de auditoria via</w:t>
            </w:r>
            <w:r>
              <w:t xml:space="preserve"> </w:t>
            </w:r>
            <w:r>
              <w:rPr>
                <w:rStyle w:val="VerbatimChar"/>
              </w:rPr>
              <w:t xml:space="preserve">LogMonModel</w:t>
            </w:r>
            <w:r>
              <w:t xml:space="preserve">, padrão já usado no projeto — não reinventar.</w:t>
            </w:r>
          </w:p>
        </w:tc>
      </w:tr>
    </w:tbl>
    <w:bookmarkEnd w:id="17"/>
    <w:bookmarkStart w:id="22" w:name="tabelas-de-t43"/>
    <w:p>
      <w:pPr>
        <w:pStyle w:val="Heading3"/>
      </w:pPr>
      <w:r>
        <w:t xml:space="preserve">4.3 Tabelas de T43</w:t>
      </w:r>
    </w:p>
    <w:bookmarkStart w:id="18" w:name="X53e978e30cbdfdc2a53c39c02fe16c5e3e2884d"/>
    <w:p>
      <w:pPr>
        <w:pStyle w:val="Heading4"/>
      </w:pPr>
      <w:r>
        <w:rPr>
          <w:rStyle w:val="VerbatimChar"/>
        </w:rPr>
        <w:t xml:space="preserve">oco_notif_evento</w:t>
      </w:r>
      <w:r>
        <w:t xml:space="preserve"> </w:t>
      </w:r>
      <w:r>
        <w:t xml:space="preserve">(cabeçalho — Dados Gerais nível-notificação + Providências + Parecer Final)</w:t>
      </w:r>
    </w:p>
    <w:p>
      <w:pPr>
        <w:pStyle w:val="FirstParagraph"/>
      </w:pPr>
      <w:r>
        <w:t xml:space="preserve">Prefixo:</w:t>
      </w:r>
      <w:r>
        <w:t xml:space="preserve"> </w:t>
      </w:r>
      <w:r>
        <w:rPr>
          <w:rStyle w:val="VerbatimChar"/>
        </w:rPr>
        <w:t xml:space="preserve">nev_</w:t>
      </w:r>
      <w:r>
        <w:t xml:space="preserve">. Colunas diretas na tabela (relações 1:1 com a notificação):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Tipo/Regra</w:t>
            </w:r>
          </w:p>
        </w:tc>
        <w:tc>
          <w:tcPr/>
          <w:p>
            <w:pPr>
              <w:pStyle w:val="Compact"/>
            </w:pPr>
            <w:r>
              <w:t xml:space="preserve">RN</w:t>
            </w:r>
          </w:p>
        </w:tc>
        <w:tc>
          <w:tcPr/>
          <w:p>
            <w:pPr>
              <w:pStyle w:val="Compact"/>
            </w:pPr>
            <w:r>
              <w:t xml:space="preserve">Aba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nev_qtd_adquirida</w:t>
            </w:r>
          </w:p>
        </w:tc>
        <w:tc>
          <w:tcPr/>
          <w:p>
            <w:pPr>
              <w:pStyle w:val="Compact"/>
            </w:pPr>
            <w:r>
              <w:t xml:space="preserve">numérico, 5 dígitos, obrigatório</w:t>
            </w:r>
          </w:p>
        </w:tc>
        <w:tc>
          <w:tcPr/>
          <w:p>
            <w:pPr>
              <w:pStyle w:val="Compact"/>
            </w:pPr>
            <w:r>
              <w:t xml:space="preserve">RN03.10</w:t>
            </w:r>
          </w:p>
        </w:tc>
        <w:tc>
          <w:tcPr/>
          <w:p>
            <w:pPr>
              <w:pStyle w:val="Compact"/>
            </w:pPr>
            <w:r>
              <w:t xml:space="preserve">Dados Gerais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nev_numero_nf</w:t>
            </w:r>
          </w:p>
        </w:tc>
        <w:tc>
          <w:tcPr/>
          <w:p>
            <w:pPr>
              <w:pStyle w:val="Compact"/>
            </w:pPr>
            <w:r>
              <w:t xml:space="preserve">numérico, 20 dígitos, obrigatório</w:t>
            </w:r>
          </w:p>
        </w:tc>
        <w:tc>
          <w:tcPr/>
          <w:p>
            <w:pPr>
              <w:pStyle w:val="Compact"/>
            </w:pPr>
            <w:r>
              <w:t xml:space="preserve">RN03.11</w:t>
            </w:r>
          </w:p>
        </w:tc>
        <w:tc>
          <w:tcPr/>
          <w:p>
            <w:pPr>
              <w:pStyle w:val="Compact"/>
            </w:pPr>
            <w:r>
              <w:t xml:space="preserve">Dados Gerais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nev_fornecedor</w:t>
            </w:r>
          </w:p>
        </w:tc>
        <w:tc>
          <w:tcPr/>
          <w:p>
            <w:pPr>
              <w:pStyle w:val="Compact"/>
            </w:pPr>
            <w:r>
              <w:t xml:space="preserve">texto livre, 5–200 caracteres, obrigatório</w:t>
            </w:r>
          </w:p>
        </w:tc>
        <w:tc>
          <w:tcPr/>
          <w:p>
            <w:pPr>
              <w:pStyle w:val="Compact"/>
            </w:pPr>
            <w:r>
              <w:t xml:space="preserve">RN03.12</w:t>
            </w:r>
          </w:p>
        </w:tc>
        <w:tc>
          <w:tcPr/>
          <w:p>
            <w:pPr>
              <w:pStyle w:val="Compact"/>
            </w:pPr>
            <w:r>
              <w:t xml:space="preserve">Dados Gerais (sem cadastro de fornecedor no sistema — texto livre confirmado)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nev_fabricacao</w:t>
            </w:r>
          </w:p>
        </w:tc>
        <w:tc>
          <w:tcPr/>
          <w:p>
            <w:pPr>
              <w:pStyle w:val="Compact"/>
            </w:pPr>
            <w:r>
              <w:t xml:space="preserve">data, obrigatório</w:t>
            </w:r>
          </w:p>
        </w:tc>
        <w:tc>
          <w:tcPr/>
          <w:p>
            <w:pPr>
              <w:pStyle w:val="Compact"/>
            </w:pPr>
            <w:r>
              <w:t xml:space="preserve">RN03.13</w:t>
            </w:r>
          </w:p>
        </w:tc>
        <w:tc>
          <w:tcPr/>
          <w:p>
            <w:pPr>
              <w:pStyle w:val="Compact"/>
            </w:pPr>
            <w:r>
              <w:t xml:space="preserve">Dados Gerais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nev_providencias</w:t>
            </w:r>
          </w:p>
        </w:tc>
        <w:tc>
          <w:tcPr/>
          <w:p>
            <w:pPr>
              <w:pStyle w:val="Compact"/>
            </w:pPr>
            <w:r>
              <w:t xml:space="preserve">texto, 5–500, obrigatório</w:t>
            </w:r>
          </w:p>
        </w:tc>
        <w:tc>
          <w:tcPr/>
          <w:p>
            <w:pPr>
              <w:pStyle w:val="Compact"/>
            </w:pPr>
            <w:r>
              <w:t xml:space="preserve">RN03.14</w:t>
            </w:r>
          </w:p>
        </w:tc>
        <w:tc>
          <w:tcPr/>
          <w:p>
            <w:pPr>
              <w:pStyle w:val="Compact"/>
            </w:pPr>
            <w:r>
              <w:t xml:space="preserve">Providências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nev_notificado</w:t>
            </w:r>
          </w:p>
        </w:tc>
        <w:tc>
          <w:tcPr/>
          <w:p>
            <w:pPr>
              <w:pStyle w:val="Compact"/>
            </w:pPr>
            <w:r>
              <w:t xml:space="preserve">texto, 5–200, obrigatório (</w:t>
            </w:r>
            <w:r>
              <w:t xml:space="preserve">“empresa/responsável/setor”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RN03.15</w:t>
            </w:r>
          </w:p>
        </w:tc>
        <w:tc>
          <w:tcPr/>
          <w:p>
            <w:pPr>
              <w:pStyle w:val="Compact"/>
            </w:pPr>
            <w:r>
              <w:t xml:space="preserve">Providências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nev_parecer</w:t>
            </w:r>
          </w:p>
        </w:tc>
        <w:tc>
          <w:tcPr/>
          <w:p>
            <w:pPr>
              <w:pStyle w:val="Compact"/>
            </w:pPr>
            <w:r>
              <w:t xml:space="preserve">texto, 5–500, obrigatório</w:t>
            </w:r>
          </w:p>
        </w:tc>
        <w:tc>
          <w:tcPr/>
          <w:p>
            <w:pPr>
              <w:pStyle w:val="Compact"/>
            </w:pPr>
            <w:r>
              <w:t xml:space="preserve">RN03.17</w:t>
            </w:r>
          </w:p>
        </w:tc>
        <w:tc>
          <w:tcPr/>
          <w:p>
            <w:pPr>
              <w:pStyle w:val="Compact"/>
            </w:pPr>
            <w:r>
              <w:t xml:space="preserve">Parecer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nev_notivisa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char(1)</w:t>
            </w:r>
            <w:r>
              <w:t xml:space="preserve"> </w:t>
            </w:r>
            <w:r>
              <w:t xml:space="preserve">S/N, default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RN03.18</w:t>
            </w:r>
          </w:p>
        </w:tc>
        <w:tc>
          <w:tcPr/>
          <w:p>
            <w:pPr>
              <w:pStyle w:val="Compact"/>
            </w:pPr>
            <w:r>
              <w:t xml:space="preserve">Parecer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nev_notivisa_num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varchar(50)</w:t>
            </w:r>
            <w:r>
              <w:t xml:space="preserve">, obrigatório somente se</w:t>
            </w:r>
            <w:r>
              <w:t xml:space="preserve"> </w:t>
            </w:r>
            <w:r>
              <w:rPr>
                <w:rStyle w:val="VerbatimChar"/>
              </w:rPr>
              <w:t xml:space="preserve">nev_notivisa = 'S'</w:t>
            </w:r>
          </w:p>
        </w:tc>
        <w:tc>
          <w:tcPr/>
          <w:p>
            <w:pPr>
              <w:pStyle w:val="Compact"/>
            </w:pPr>
            <w:r>
              <w:t xml:space="preserve">RN03.19</w:t>
            </w:r>
          </w:p>
        </w:tc>
        <w:tc>
          <w:tcPr/>
          <w:p>
            <w:pPr>
              <w:pStyle w:val="Compact"/>
            </w:pPr>
            <w:r>
              <w:t xml:space="preserve">Parecer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cfg_status</w:t>
            </w:r>
            <w:r>
              <w:t xml:space="preserve"> </w:t>
            </w:r>
            <w:r>
              <w:t xml:space="preserve">(Pendente/Concluída da T43)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usu_criou</w:t>
            </w:r>
            <w:r>
              <w:t xml:space="preserve"> </w:t>
            </w:r>
            <w:r>
              <w:t xml:space="preserve">+ timestamps/log padrão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0c49cff66f8aede617cd979a7e604b15034e1db"/>
    <w:p>
      <w:pPr>
        <w:pStyle w:val="Heading4"/>
      </w:pPr>
      <w:r>
        <w:rPr>
          <w:rStyle w:val="VerbatimChar"/>
        </w:rPr>
        <w:t xml:space="preserve">oco_notif_evento_produto</w:t>
      </w:r>
      <w:r>
        <w:t xml:space="preserve"> </w:t>
      </w:r>
      <w:r>
        <w:t xml:space="preserve">(aba Dados Gerais, grid</w:t>
      </w:r>
      <w:r>
        <w:t xml:space="preserve"> </w:t>
      </w:r>
      <w:r>
        <w:t xml:space="preserve">“Dados do Produto”</w:t>
      </w:r>
      <w:r>
        <w:t xml:space="preserve">, 1:N)</w:t>
      </w:r>
    </w:p>
    <w:p>
      <w:pPr>
        <w:pStyle w:val="FirstParagraph"/>
      </w:pPr>
      <w:r>
        <w:t xml:space="preserve">Prefixo:</w:t>
      </w:r>
      <w:r>
        <w:t xml:space="preserve"> </w:t>
      </w:r>
      <w:r>
        <w:rPr>
          <w:rStyle w:val="VerbatimChar"/>
        </w:rPr>
        <w:t xml:space="preserve">nvp_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Tipo/Regra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nvp_id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oco_notif_evento.nev_id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oco_notif_desvio.ndv_id</w:t>
            </w:r>
          </w:p>
        </w:tc>
        <w:tc>
          <w:tcPr/>
          <w:p>
            <w:pPr>
              <w:pStyle w:val="Compact"/>
            </w:pPr>
            <w:r>
              <w:t xml:space="preserve">Rastreia de qual desvio T42 veio cada linha/produto/lote selecionado.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nvp_defeito</w:t>
            </w:r>
          </w:p>
        </w:tc>
        <w:tc>
          <w:tcPr/>
          <w:p>
            <w:pPr>
              <w:pStyle w:val="Compact"/>
            </w:pPr>
            <w:r>
              <w:t xml:space="preserve">texto, 5–200, obrigatório</w:t>
            </w:r>
          </w:p>
        </w:tc>
        <w:tc>
          <w:tcPr/>
          <w:p>
            <w:pPr>
              <w:pStyle w:val="Compact"/>
            </w:pPr>
            <w:r>
              <w:t xml:space="preserve">RN03.9 — cópia</w:t>
            </w:r>
            <w:r>
              <w:t xml:space="preserve"> </w:t>
            </w:r>
            <w:r>
              <w:rPr>
                <w:b/>
                <w:bCs/>
              </w:rPr>
              <w:t xml:space="preserve">editável</w:t>
            </w:r>
            <w:r>
              <w:t xml:space="preserve"> </w:t>
            </w:r>
            <w:r>
              <w:t xml:space="preserve">do campo</w:t>
            </w:r>
            <w:r>
              <w:t xml:space="preserve"> </w:t>
            </w:r>
            <w:r>
              <w:t xml:space="preserve">“Descreva”</w:t>
            </w:r>
            <w:r>
              <w:t xml:space="preserve"> </w:t>
            </w:r>
            <w:r>
              <w:t xml:space="preserve">de T42: valor inicial copiado de</w:t>
            </w:r>
            <w:r>
              <w:t xml:space="preserve"> </w:t>
            </w:r>
            <w:r>
              <w:rPr>
                <w:rStyle w:val="VerbatimChar"/>
              </w:rPr>
              <w:t xml:space="preserve">ndv_descreva</w:t>
            </w:r>
            <w:r>
              <w:t xml:space="preserve"> </w:t>
            </w:r>
            <w:r>
              <w:t xml:space="preserve">do T42 de origem, mas permite alteração aqui.</w:t>
            </w:r>
          </w:p>
        </w:tc>
      </w:tr>
    </w:tbl>
    <w:p>
      <w:pPr>
        <w:pStyle w:val="BodyText"/>
      </w:pPr>
      <w:r>
        <w:t xml:space="preserve">Data, Código ERP, Descrição, Fabricante, Lote, Validade, Quantidade</w:t>
      </w:r>
      <w:r>
        <w:t xml:space="preserve"> </w:t>
      </w:r>
      <w:r>
        <w:rPr>
          <w:b/>
          <w:bCs/>
        </w:rPr>
        <w:t xml:space="preserve">não são</w:t>
      </w:r>
      <w:r>
        <w:rPr>
          <w:b/>
          <w:bCs/>
        </w:rPr>
        <w:t xml:space="preserve"> </w:t>
      </w:r>
      <w:r>
        <w:rPr>
          <w:b/>
          <w:bCs/>
        </w:rPr>
        <w:t xml:space="preserve">colunas próprias</w:t>
      </w:r>
      <w:r>
        <w:t xml:space="preserve"> </w:t>
      </w:r>
      <w:r>
        <w:t xml:space="preserve">— vêm por JOIN até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oco_ocorrencia</w:t>
      </w:r>
      <w:r>
        <w:t xml:space="preserve"> </w:t>
      </w:r>
      <w:r>
        <w:t xml:space="preserve">(read-only, não duplicar dado).</w:t>
      </w:r>
    </w:p>
    <w:bookmarkEnd w:id="19"/>
    <w:bookmarkStart w:id="20" w:name="X65671e7722e1f69a8a86a422d4aeebb82825d23"/>
    <w:p>
      <w:pPr>
        <w:pStyle w:val="Heading4"/>
      </w:pPr>
      <w:r>
        <w:rPr>
          <w:rStyle w:val="VerbatimChar"/>
        </w:rPr>
        <w:t xml:space="preserve">oco_notif_evento_anexo</w:t>
      </w:r>
      <w:r>
        <w:t xml:space="preserve"> </w:t>
      </w:r>
      <w:r>
        <w:t xml:space="preserve">(aba Providências RN03.16 + aba Parecer Final RN03.20 — upload múltiplo, mesmo padrão compartilhado pelas duas abas)</w:t>
      </w:r>
    </w:p>
    <w:p>
      <w:pPr>
        <w:pStyle w:val="FirstParagraph"/>
      </w:pPr>
      <w:r>
        <w:t xml:space="preserve">Prefixo:</w:t>
      </w:r>
      <w:r>
        <w:t xml:space="preserve"> </w:t>
      </w:r>
      <w:r>
        <w:rPr>
          <w:rStyle w:val="VerbatimChar"/>
        </w:rPr>
        <w:t xml:space="preserve">nva_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Tipo/Regra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nva_id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oco_notif_evento.nev_id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nva_origem</w:t>
            </w:r>
          </w:p>
        </w:tc>
        <w:tc>
          <w:tcPr/>
          <w:p>
            <w:pPr>
              <w:pStyle w:val="Compact"/>
            </w:pPr>
            <w:r>
              <w:t xml:space="preserve">indica</w:t>
            </w:r>
            <w:r>
              <w:t xml:space="preserve"> </w:t>
            </w:r>
            <w:r>
              <w:rPr>
                <w:rStyle w:val="VerbatimChar"/>
              </w:rPr>
              <w:t xml:space="preserve">'PROVID'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'PARECER'</w:t>
            </w:r>
          </w:p>
        </w:tc>
        <w:tc>
          <w:tcPr/>
          <w:p>
            <w:pPr>
              <w:pStyle w:val="Compact"/>
            </w:pPr>
            <w:r>
              <w:t xml:space="preserve">diferencia os dois blocos de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nva_arquivo</w:t>
            </w:r>
          </w:p>
        </w:tc>
        <w:tc>
          <w:tcPr/>
          <w:p>
            <w:pPr>
              <w:pStyle w:val="Compact"/>
            </w:pPr>
            <w:r>
              <w:t xml:space="preserve">caminho do arquivo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nva_nome_original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timestamps/usuário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Usar</w:t>
      </w:r>
      <w:r>
        <w:t xml:space="preserve"> </w:t>
      </w:r>
      <w:r>
        <w:rPr>
          <w:rStyle w:val="VerbatimChar"/>
        </w:rPr>
        <w:t xml:space="preserve">MyCampo::crArquivo()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setPasta()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setTipoArq('.pdf,.png,.jpeg,.jpg')</w:t>
      </w:r>
      <w:r>
        <w:t xml:space="preserve"> </w:t>
      </w:r>
      <w:r>
        <w:t xml:space="preserve">(conforme</w:t>
      </w:r>
      <w:r>
        <w:t xml:space="preserve"> </w:t>
      </w:r>
      <w:r>
        <w:rPr>
          <w:rStyle w:val="VerbatimChar"/>
        </w:rPr>
        <w:t xml:space="preserve">rascunho-MyCampo.md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PENDÊNCIA NÃO BLOQUEANTE:</w:t>
      </w:r>
      <w:r>
        <w:t xml:space="preserve"> </w:t>
      </w:r>
      <w:r>
        <w:t xml:space="preserve">não foi localizado no código um padrão pronto de</w:t>
      </w:r>
      <w:r>
        <w:t xml:space="preserve"> </w:t>
      </w:r>
      <w:r>
        <w:t xml:space="preserve">“lista de anexos com botão + e excluir linha”</w:t>
      </w:r>
      <w:r>
        <w:t xml:space="preserve">.</w:t>
      </w:r>
      <w:r>
        <w:t xml:space="preserve"> </w:t>
      </w:r>
      <w:r>
        <w:rPr>
          <w:rStyle w:val="VerbatimChar"/>
        </w:rPr>
        <w:t xml:space="preserve">bydsgn</w:t>
      </w:r>
      <w:r>
        <w:t xml:space="preserve"> </w:t>
      </w:r>
      <w:r>
        <w:t xml:space="preserve">deve validar/desenhar</w:t>
      </w:r>
      <w:r>
        <w:t xml:space="preserve"> </w:t>
      </w:r>
      <w:r>
        <w:t xml:space="preserve">esse padrão de UX durante a codificação —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aciona</w:t>
      </w:r>
      <w:r>
        <w:t xml:space="preserve"> </w:t>
      </w:r>
      <w:r>
        <w:rPr>
          <w:rStyle w:val="VerbatimChar"/>
        </w:rPr>
        <w:t xml:space="preserve">bydsgn</w:t>
      </w:r>
      <w:r>
        <w:t xml:space="preserve"> </w:t>
      </w:r>
      <w:r>
        <w:t xml:space="preserve">quando chegar</w:t>
      </w:r>
      <w:r>
        <w:t xml:space="preserve"> </w:t>
      </w:r>
      <w:r>
        <w:t xml:space="preserve">nessa parte.</w:t>
      </w:r>
    </w:p>
    <w:bookmarkEnd w:id="20"/>
    <w:bookmarkStart w:id="21" w:name="Xee9a4ee84f34af7d1057340b38eb8e27c66abd7"/>
    <w:p>
      <w:pPr>
        <w:pStyle w:val="Heading4"/>
      </w:pPr>
      <w:r>
        <w:rPr>
          <w:rStyle w:val="VerbatimChar"/>
        </w:rPr>
        <w:t xml:space="preserve">oco_notif_evento_acao</w:t>
      </w:r>
      <w:r>
        <w:t xml:space="preserve"> </w:t>
      </w:r>
      <w:r>
        <w:t xml:space="preserve">(aba Ações, RN03.21/RN03.22, 1:N)</w:t>
      </w:r>
    </w:p>
    <w:p>
      <w:pPr>
        <w:pStyle w:val="FirstParagraph"/>
      </w:pPr>
      <w:r>
        <w:t xml:space="preserve">Prefixo:</w:t>
      </w:r>
      <w:r>
        <w:t xml:space="preserve"> </w:t>
      </w:r>
      <w:r>
        <w:rPr>
          <w:rStyle w:val="VerbatimChar"/>
        </w:rPr>
        <w:t xml:space="preserve">nac_</w:t>
      </w:r>
      <w:r>
        <w:t xml:space="preserve">. Reaproveita diretamente o padrão de campo condicional por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já usado em T9/T12 via</w:t>
      </w:r>
      <w:r>
        <w:t xml:space="preserve"> </w:t>
      </w:r>
      <w:r>
        <w:rPr>
          <w:rStyle w:val="VerbatimChar"/>
        </w:rPr>
        <w:t xml:space="preserve">verificaTipoAcao()</w:t>
      </w:r>
      <w:r>
        <w:t xml:space="preserve"> </w:t>
      </w:r>
      <w:r>
        <w:t xml:space="preserve">(</w:t>
      </w:r>
      <w:r>
        <w:rPr>
          <w:rStyle w:val="VerbatimChar"/>
        </w:rPr>
        <w:t xml:space="preserve">my_fields.js</w:t>
      </w:r>
      <w:r>
        <w:t xml:space="preserve">) —</w:t>
      </w:r>
      <w:r>
        <w:t xml:space="preserve"> </w:t>
      </w:r>
      <w:r>
        <w:rPr>
          <w:b/>
          <w:bCs/>
        </w:rPr>
        <w:t xml:space="preserve">não</w:t>
      </w:r>
      <w:r>
        <w:rPr>
          <w:b/>
          <w:bCs/>
        </w:rPr>
        <w:t xml:space="preserve"> </w:t>
      </w:r>
      <w:r>
        <w:rPr>
          <w:b/>
          <w:bCs/>
        </w:rPr>
        <w:t xml:space="preserve">recriar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Tipo/Regra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nac_id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oco_notif_evento.nev_id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tpa_id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oco_tipo_acao</w:t>
            </w:r>
            <w:r>
              <w:t xml:space="preserve"> </w:t>
            </w:r>
            <w:r>
              <w:t xml:space="preserve">(T8)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nac_ordem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Define ordem de execução (RN03.22).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</w:t>
            </w:r>
          </w:p>
        </w:tc>
        <w:tc>
          <w:tcPr/>
          <w:p>
            <w:pPr>
              <w:pStyle w:val="Compact"/>
            </w:pPr>
            <w:r>
              <w:t xml:space="preserve">condicional — presente quando</w:t>
            </w:r>
            <w:r>
              <w:t xml:space="preserve"> </w:t>
            </w:r>
            <w:r>
              <w:rPr>
                <w:rStyle w:val="VerbatimChar"/>
              </w:rPr>
              <w:t xml:space="preserve">tpa_tipo = 4</w:t>
            </w:r>
            <w:r>
              <w:t xml:space="preserve"> </w:t>
            </w:r>
            <w:r>
              <w:t xml:space="preserve">(Alterar Status)</w:t>
            </w:r>
          </w:p>
        </w:tc>
        <w:tc>
          <w:tcPr/>
          <w:p>
            <w:pPr>
              <w:pStyle w:val="Compact"/>
            </w:pPr>
            <w:r>
              <w:t xml:space="preserve">Espelha</w:t>
            </w:r>
            <w:r>
              <w:t xml:space="preserve"> </w:t>
            </w:r>
            <w:r>
              <w:rPr>
                <w:rStyle w:val="VerbatimChar"/>
              </w:rPr>
              <w:t xml:space="preserve">EntOcoSubtOcorrencia</w:t>
            </w:r>
            <w:r>
              <w:t xml:space="preserve">/</w:t>
            </w:r>
            <w:r>
              <w:rPr>
                <w:rStyle w:val="VerbatimChar"/>
              </w:rPr>
              <w:t xml:space="preserve">EntOcoTratativa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tmo_id</w:t>
            </w:r>
          </w:p>
        </w:tc>
        <w:tc>
          <w:tcPr/>
          <w:p>
            <w:pPr>
              <w:pStyle w:val="Compact"/>
            </w:pPr>
            <w:r>
              <w:t xml:space="preserve">condicional — presente quando</w:t>
            </w:r>
            <w:r>
              <w:t xml:space="preserve"> </w:t>
            </w:r>
            <w:r>
              <w:rPr>
                <w:rStyle w:val="VerbatimChar"/>
              </w:rPr>
              <w:t xml:space="preserve">tpa_tipo = 3</w:t>
            </w:r>
            <w:r>
              <w:t xml:space="preserve"> </w:t>
            </w:r>
            <w:r>
              <w:t xml:space="preserve">(Gerar Movimentação)</w:t>
            </w:r>
          </w:p>
        </w:tc>
        <w:tc>
          <w:tcPr/>
          <w:p>
            <w:pPr>
              <w:pStyle w:val="Compact"/>
            </w:pPr>
            <w:r>
              <w:t xml:space="preserve">Espelha</w:t>
            </w:r>
            <w:r>
              <w:t xml:space="preserve"> </w:t>
            </w:r>
            <w:r>
              <w:rPr>
                <w:rStyle w:val="VerbatimChar"/>
              </w:rPr>
              <w:t xml:space="preserve">EntOcoSubtOcorrencia</w:t>
            </w:r>
            <w:r>
              <w:t xml:space="preserve">/</w:t>
            </w:r>
            <w:r>
              <w:rPr>
                <w:rStyle w:val="VerbatimChar"/>
              </w:rPr>
              <w:t xml:space="preserve">EntOcoTratativa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RN03.22 — execução sequencial:</w:t>
      </w:r>
      <w:r>
        <w:t xml:space="preserve"> </w:t>
      </w:r>
      <w:r>
        <w:t xml:space="preserve">ao Salvar, executar as ações cadastradas</w:t>
      </w:r>
      <w:r>
        <w:t xml:space="preserve"> </w:t>
      </w:r>
      <w:r>
        <w:rPr>
          <w:b/>
          <w:bCs/>
        </w:rPr>
        <w:t xml:space="preserve">na</w:t>
      </w:r>
      <w:r>
        <w:rPr>
          <w:b/>
          <w:bCs/>
        </w:rPr>
        <w:t xml:space="preserve"> </w:t>
      </w:r>
      <w:r>
        <w:rPr>
          <w:b/>
          <w:bCs/>
        </w:rPr>
        <w:t xml:space="preserve">sequência de cadastro</w:t>
      </w:r>
      <w:r>
        <w:t xml:space="preserve"> </w:t>
      </w:r>
      <w:r>
        <w:t xml:space="preserve">(</w:t>
      </w:r>
      <w:r>
        <w:rPr>
          <w:rStyle w:val="VerbatimChar"/>
        </w:rPr>
        <w:t xml:space="preserve">nac_ordem</w:t>
      </w:r>
      <w:r>
        <w:t xml:space="preserve">). Se a ação for</w:t>
      </w:r>
      <w:r>
        <w:t xml:space="preserve"> </w:t>
      </w:r>
      <w:r>
        <w:t xml:space="preserve">“gerar movimentação”</w:t>
      </w:r>
      <w:r>
        <w:t xml:space="preserve">, o</w:t>
      </w:r>
      <w:r>
        <w:t xml:space="preserve"> </w:t>
      </w:r>
      <w:r>
        <w:t xml:space="preserve">saldo movimentado é a Quantidade (RN03.8) de</w:t>
      </w:r>
      <w:r>
        <w:t xml:space="preserve"> </w:t>
      </w:r>
      <w:r>
        <w:rPr>
          <w:b/>
          <w:bCs/>
        </w:rPr>
        <w:t xml:space="preserve">cada produto/lote selecionado</w:t>
      </w:r>
      <w:r>
        <w:t xml:space="preserve"> </w:t>
      </w:r>
      <w:r>
        <w:t xml:space="preserve">(iterar por linha de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) — generalização do que</w:t>
      </w:r>
      <w:r>
        <w:t xml:space="preserve"> </w:t>
      </w:r>
      <w:r>
        <w:rPr>
          <w:rStyle w:val="VerbatimChar"/>
        </w:rPr>
        <w:t xml:space="preserve">OcoTrataOcorrencia::gerarMovimentacao()</w:t>
      </w:r>
      <w:r>
        <w:t xml:space="preserve"> </w:t>
      </w:r>
      <w:r>
        <w:t xml:space="preserve">faz hoje para 1 produto único:</w:t>
      </w:r>
      <w:r>
        <w:t xml:space="preserve"> </w:t>
      </w:r>
      <w:r>
        <w:t xml:space="preserve">replicar a lógica, mas iterando por N produtos.</w:t>
      </w:r>
    </w:p>
    <w:bookmarkEnd w:id="21"/>
    <w:bookmarkEnd w:id="22"/>
    <w:bookmarkStart w:id="23" w:name="Xa4be3ccde91170d72693c83a116821dc0f24176"/>
    <w:p>
      <w:pPr>
        <w:pStyle w:val="Heading3"/>
      </w:pPr>
      <w:r>
        <w:t xml:space="preserve">4.4 Diagrama de relacionamento (resumo textual)</w:t>
      </w:r>
    </w:p>
    <w:p>
      <w:pPr>
        <w:pStyle w:val="SourceCode"/>
      </w:pPr>
      <w:r>
        <w:rPr>
          <w:rStyle w:val="VerbatimChar"/>
        </w:rPr>
        <w:t xml:space="preserve">oco_ocorrencia (T11, existente)</w:t>
      </w:r>
      <w:r>
        <w:br/>
      </w:r>
      <w:r>
        <w:rPr>
          <w:rStyle w:val="VerbatimChar"/>
        </w:rPr>
        <w:t xml:space="preserve">   └─&lt; oco_notif_desvio (T42)                                 [stt_id → cfg_status T42]</w:t>
      </w:r>
      <w:r>
        <w:br/>
      </w:r>
      <w:r>
        <w:rPr>
          <w:rStyle w:val="VerbatimChar"/>
        </w:rPr>
        <w:t xml:space="preserve">          └─&lt; oco_notif_evento_produto (T43) &gt;──── oco_notif_evento (T43)</w:t>
      </w:r>
      <w:r>
        <w:br/>
      </w:r>
      <w:r>
        <w:rPr>
          <w:rStyle w:val="VerbatimChar"/>
        </w:rPr>
        <w:t xml:space="preserve">                                                        ├─&lt; oco_notif_evento_anexo</w:t>
      </w:r>
      <w:r>
        <w:br/>
      </w:r>
      <w:r>
        <w:rPr>
          <w:rStyle w:val="VerbatimChar"/>
        </w:rPr>
        <w:t xml:space="preserve">                                                        └─&lt; oco_notif_evento_acao ──&gt; oco_tipo_acao (T8)</w:t>
      </w:r>
      <w:r>
        <w:br/>
      </w:r>
      <w:r>
        <w:rPr>
          <w:rStyle w:val="VerbatimChar"/>
        </w:rPr>
        <w:t xml:space="preserve">                                                              [stt_id → cfg_status T43]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especificação-funcional-por-telaaba"/>
    <w:p>
      <w:pPr>
        <w:pStyle w:val="Heading2"/>
      </w:pPr>
      <w:r>
        <w:t xml:space="preserve">5. Especificação Funcional por Tela/Aba</w:t>
      </w:r>
    </w:p>
    <w:bookmarkStart w:id="28" w:name="t42-desvio-de-qualidade"/>
    <w:p>
      <w:pPr>
        <w:pStyle w:val="Heading3"/>
      </w:pPr>
      <w:r>
        <w:t xml:space="preserve">5.1 T42 — Desvio de Qualidade</w:t>
      </w:r>
    </w:p>
    <w:bookmarkStart w:id="25" w:name="listagem"/>
    <w:p>
      <w:pPr>
        <w:pStyle w:val="Heading4"/>
      </w:pPr>
      <w:r>
        <w:t xml:space="preserve">Listagem</w:t>
      </w:r>
    </w:p>
    <w:p>
      <w:pPr>
        <w:pStyle w:val="Compact"/>
        <w:numPr>
          <w:ilvl w:val="0"/>
          <w:numId w:val="1004"/>
        </w:numPr>
      </w:pPr>
      <w:r>
        <w:t xml:space="preserve">Colunas: N°, Data, Produto, Fabricante, Lote, Usuário, Status, Ação.</w:t>
      </w:r>
    </w:p>
    <w:p>
      <w:pPr>
        <w:pStyle w:val="Compact"/>
        <w:numPr>
          <w:ilvl w:val="0"/>
          <w:numId w:val="1004"/>
        </w:numPr>
      </w:pPr>
      <w:r>
        <w:t xml:space="preserve">Botões por linha (visualizar/alterar/excluir/imprimir) conforme status —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montaListaDados()</w:t>
      </w:r>
      <w:r>
        <w:t xml:space="preserve"> </w:t>
      </w:r>
      <w:r>
        <w:t xml:space="preserve">(padrão de grid do projeto, conforme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), última coluna</w:t>
      </w:r>
      <w:r>
        <w:t xml:space="preserve"> </w:t>
      </w:r>
      <w:r>
        <w:t xml:space="preserve">“Ação”</w:t>
      </w:r>
      <w:r>
        <w:t xml:space="preserve"> </w:t>
      </w:r>
      <w:r>
        <w:t xml:space="preserve">automaticamente não</w:t>
      </w:r>
      <w:r>
        <w:t xml:space="preserve"> </w:t>
      </w:r>
      <w:r>
        <w:t xml:space="preserve">ordenável/pesquisável.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Integração automática de origem:</w:t>
      </w:r>
      <w:r>
        <w:t xml:space="preserve"> </w:t>
      </w:r>
      <w:r>
        <w:t xml:space="preserve">produtos de T11 associados à nova ação</w:t>
      </w:r>
      <w:r>
        <w:t xml:space="preserve"> </w:t>
      </w:r>
      <w:r>
        <w:t xml:space="preserve">de T8 (</w:t>
      </w:r>
      <w:r>
        <w:t xml:space="preserve">“Notificação do Fornecedor”</w:t>
      </w:r>
      <w:r>
        <w:t xml:space="preserve">) geram automaticamente um registro em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com status Pendente, disparada a partir da execução da</w:t>
      </w:r>
      <w:r>
        <w:t xml:space="preserve"> </w:t>
      </w:r>
      <w:r>
        <w:t xml:space="preserve">ação em T11 (</w:t>
      </w:r>
      <w:r>
        <w:rPr>
          <w:rStyle w:val="VerbatimChar"/>
        </w:rPr>
        <w:t xml:space="preserve">stt_id = 28</w:t>
      </w:r>
      <w:r>
        <w:t xml:space="preserve"> </w:t>
      </w:r>
      <w:r>
        <w:t xml:space="preserve">em T11, conforme convenção do módulo Ocorrências).</w:t>
      </w:r>
    </w:p>
    <w:p>
      <w:pPr>
        <w:pStyle w:val="Compact"/>
        <w:numPr>
          <w:ilvl w:val="0"/>
          <w:numId w:val="1004"/>
        </w:numPr>
      </w:pPr>
      <w:r>
        <w:t xml:space="preserve">Coloração/ordenação de status seguindo padrão já usado em T1 (referência</w:t>
      </w:r>
      <w:r>
        <w:t xml:space="preserve"> </w:t>
      </w:r>
      <w:r>
        <w:t xml:space="preserve">visual existente no sistema — badge de status via</w:t>
      </w:r>
      <w:r>
        <w:t xml:space="preserve"> </w:t>
      </w:r>
      <w:r>
        <w:rPr>
          <w:rStyle w:val="VerbatimChar"/>
        </w:rPr>
        <w:t xml:space="preserve">fmtEtiquetaCor</w:t>
      </w:r>
      <w:r>
        <w:t xml:space="preserve">/</w:t>
      </w:r>
      <w:r>
        <w:t xml:space="preserve"> </w:t>
      </w:r>
      <w:r>
        <w:rPr>
          <w:rStyle w:val="VerbatimChar"/>
        </w:rPr>
        <w:t xml:space="preserve">fmtEtiquetaCorBst</w:t>
      </w:r>
      <w:r>
        <w:t xml:space="preserve">, 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).</w:t>
      </w:r>
    </w:p>
    <w:bookmarkEnd w:id="25"/>
    <w:bookmarkStart w:id="26" w:name="aba-única-dados-gerais"/>
    <w:p>
      <w:pPr>
        <w:pStyle w:val="Heading4"/>
      </w:pPr>
      <w:r>
        <w:t xml:space="preserve">Aba única — Dados Gerais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Editável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Desvio n°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Exibição (</w:t>
            </w:r>
            <w:r>
              <w:rPr>
                <w:rStyle w:val="VerbatimChar"/>
              </w:rPr>
              <w:t xml:space="preserve">setLeitura(true)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crShow()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via T11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JOIN até</w:t>
            </w:r>
            <w:r>
              <w:t xml:space="preserve"> </w:t>
            </w:r>
            <w:r>
              <w:rPr>
                <w:rStyle w:val="VerbatimChar"/>
              </w:rPr>
              <w:t xml:space="preserve">oco_ocorrencia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Subtipo</w:t>
            </w:r>
          </w:p>
        </w:tc>
        <w:tc>
          <w:tcPr/>
          <w:p>
            <w:pPr>
              <w:pStyle w:val="Compact"/>
            </w:pPr>
            <w:r>
              <w:t xml:space="preserve">via T11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JOIN até</w:t>
            </w:r>
            <w:r>
              <w:t xml:space="preserve"> </w:t>
            </w:r>
            <w:r>
              <w:rPr>
                <w:rStyle w:val="VerbatimChar"/>
              </w:rPr>
              <w:t xml:space="preserve">oco_ocorrencia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da Ocorrência</w:t>
            </w:r>
          </w:p>
        </w:tc>
        <w:tc>
          <w:tcPr/>
          <w:p>
            <w:pPr>
              <w:pStyle w:val="Compact"/>
            </w:pPr>
            <w:r>
              <w:t xml:space="preserve">via T11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JOIN até</w:t>
            </w:r>
            <w:r>
              <w:t xml:space="preserve"> </w:t>
            </w:r>
            <w:r>
              <w:rPr>
                <w:rStyle w:val="VerbatimChar"/>
              </w:rPr>
              <w:t xml:space="preserve">oco_ocorrencia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</w:t>
            </w:r>
          </w:p>
        </w:tc>
        <w:tc>
          <w:tcPr/>
          <w:p>
            <w:pPr>
              <w:pStyle w:val="Compact"/>
            </w:pPr>
            <w:r>
              <w:t xml:space="preserve">via T11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JOIN até</w:t>
            </w:r>
            <w:r>
              <w:t xml:space="preserve"> </w:t>
            </w:r>
            <w:r>
              <w:rPr>
                <w:rStyle w:val="VerbatimChar"/>
              </w:rPr>
              <w:t xml:space="preserve">oco_ocorrencia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Tela Geradora</w:t>
            </w:r>
          </w:p>
        </w:tc>
        <w:tc>
          <w:tcPr/>
          <w:p>
            <w:pPr>
              <w:pStyle w:val="Compact"/>
            </w:pPr>
            <w:r>
              <w:t xml:space="preserve">via T11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JOIN até</w:t>
            </w:r>
            <w:r>
              <w:t xml:space="preserve"> </w:t>
            </w:r>
            <w:r>
              <w:rPr>
                <w:rStyle w:val="VerbatimChar"/>
              </w:rPr>
              <w:t xml:space="preserve">oco_ocorrencia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RN03.7 — texto livre, min 5 / max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de produto (Código ERP, Descrição, Fabricante, Lote, Validade, Quantidade)</w:t>
            </w:r>
          </w:p>
        </w:tc>
        <w:tc>
          <w:tcPr/>
          <w:p>
            <w:pPr>
              <w:pStyle w:val="Compact"/>
            </w:pPr>
            <w:r>
              <w:t xml:space="preserve">via T11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Todos não-editáveis, vindos de T11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Descreva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ndv_descreva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RN03.14 — texto livre, min 5 / max 200</w:t>
            </w:r>
          </w:p>
        </w:tc>
      </w:tr>
    </w:tbl>
    <w:p>
      <w:pPr>
        <w:pStyle w:val="BodyText"/>
      </w:pPr>
      <w:r>
        <w:t xml:space="preserve">Campos não-editáveis devem usar</w:t>
      </w:r>
      <w:r>
        <w:t xml:space="preserve"> </w:t>
      </w:r>
      <w:r>
        <w:rPr>
          <w:rStyle w:val="VerbatimChar"/>
        </w:rPr>
        <w:t xml:space="preserve">MyCampo::setLeitura(true)</w:t>
      </w:r>
      <w:r>
        <w:t xml:space="preserve"> </w:t>
      </w:r>
      <w:r>
        <w:t xml:space="preserve">(nunca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manual, conforme</w:t>
      </w:r>
      <w:r>
        <w:t xml:space="preserve"> </w:t>
      </w:r>
      <w:r>
        <w:rPr>
          <w:rStyle w:val="VerbatimChar"/>
        </w:rPr>
        <w:t xml:space="preserve">rascunho-MyCampo.md</w:t>
      </w:r>
      <w:r>
        <w:t xml:space="preserve">).</w:t>
      </w:r>
    </w:p>
    <w:bookmarkEnd w:id="26"/>
    <w:bookmarkStart w:id="27" w:name="salvar-cancelar"/>
    <w:p>
      <w:pPr>
        <w:pStyle w:val="Heading4"/>
      </w:pPr>
      <w:r>
        <w:t xml:space="preserve">Salvar / Cancelar</w:t>
      </w:r>
    </w:p>
    <w:p>
      <w:pPr>
        <w:pStyle w:val="Compact"/>
        <w:numPr>
          <w:ilvl w:val="0"/>
          <w:numId w:val="1005"/>
        </w:numPr>
      </w:pPr>
      <w:r>
        <w:t xml:space="preserve">Ao Salvar: grava e já conclui (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= Concluída da T42), conforme decisão</w:t>
      </w:r>
      <w:r>
        <w:t xml:space="preserve"> </w:t>
      </w:r>
      <w:r>
        <w:t xml:space="preserve">3.3. Oferece impressão de etiqueta em seguida (não bloqueante, ver 3.1).</w:t>
      </w:r>
    </w:p>
    <w:p>
      <w:pPr>
        <w:pStyle w:val="Compact"/>
        <w:numPr>
          <w:ilvl w:val="0"/>
          <w:numId w:val="1005"/>
        </w:numPr>
      </w:pPr>
      <w:r>
        <w:t xml:space="preserve">Validação de</w:t>
      </w:r>
      <w:r>
        <w:t xml:space="preserve"> </w:t>
      </w:r>
      <w:r>
        <w:t xml:space="preserve">“campo alterado”</w:t>
      </w:r>
      <w:r>
        <w:t xml:space="preserve">: comportamento genérico do runtime já</w:t>
      </w:r>
      <w:r>
        <w:t xml:space="preserve"> </w:t>
      </w:r>
      <w:r>
        <w:t xml:space="preserve">existente (</w:t>
      </w:r>
      <w:r>
        <w:rPr>
          <w:rStyle w:val="VerbatimChar"/>
        </w:rPr>
        <w:t xml:space="preserve">data-valid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) — sem necessidade de</w:t>
      </w:r>
      <w:r>
        <w:t xml:space="preserve"> </w:t>
      </w:r>
      <w:r>
        <w:t xml:space="preserve">código server-side extra.</w:t>
      </w:r>
    </w:p>
    <w:p>
      <w:pPr>
        <w:pStyle w:val="Compact"/>
        <w:numPr>
          <w:ilvl w:val="1"/>
          <w:numId w:val="1006"/>
        </w:numPr>
      </w:pPr>
      <w:r>
        <w:t xml:space="preserve">Cancelar com alteração pendente → confirmação</w:t>
      </w:r>
      <w:r>
        <w:t xml:space="preserve"> </w:t>
      </w:r>
      <w:r>
        <w:rPr>
          <w:b/>
          <w:bCs/>
        </w:rPr>
        <w:t xml:space="preserve">MSG ID 2</w:t>
      </w:r>
      <w:r>
        <w:t xml:space="preserve"> </w:t>
      </w:r>
      <w:r>
        <w:t xml:space="preserve">(T2).</w:t>
      </w:r>
    </w:p>
    <w:p>
      <w:pPr>
        <w:pStyle w:val="Compact"/>
        <w:numPr>
          <w:ilvl w:val="1"/>
          <w:numId w:val="1006"/>
        </w:numPr>
      </w:pPr>
      <w:r>
        <w:t xml:space="preserve">Salvar sem alteração real →</w:t>
      </w:r>
      <w:r>
        <w:t xml:space="preserve"> </w:t>
      </w:r>
      <w:r>
        <w:rPr>
          <w:b/>
          <w:bCs/>
        </w:rPr>
        <w:t xml:space="preserve">MSG ID 7</w:t>
      </w:r>
      <w:r>
        <w:t xml:space="preserve"> </w:t>
      </w:r>
      <w:r>
        <w:t xml:space="preserve">(T2).</w:t>
      </w:r>
    </w:p>
    <w:bookmarkEnd w:id="27"/>
    <w:bookmarkEnd w:id="28"/>
    <w:bookmarkStart w:id="36" w:name="t43-notificação-de-evento"/>
    <w:p>
      <w:pPr>
        <w:pStyle w:val="Heading3"/>
      </w:pPr>
      <w:r>
        <w:t xml:space="preserve">5.2 T43 — Notificação de Evento</w:t>
      </w:r>
    </w:p>
    <w:bookmarkStart w:id="29" w:name="listagem-1"/>
    <w:p>
      <w:pPr>
        <w:pStyle w:val="Heading4"/>
      </w:pPr>
      <w:r>
        <w:t xml:space="preserve">Listagem</w:t>
      </w:r>
    </w:p>
    <w:p>
      <w:pPr>
        <w:pStyle w:val="Compact"/>
        <w:numPr>
          <w:ilvl w:val="0"/>
          <w:numId w:val="1007"/>
        </w:numPr>
      </w:pPr>
      <w:r>
        <w:t xml:space="preserve">Mesmas colunas de T42 (N°, Data, Produto, Fabricante, Lote, Usuário, Status,</w:t>
      </w:r>
      <w:r>
        <w:t xml:space="preserve"> </w:t>
      </w:r>
      <w:r>
        <w:t xml:space="preserve">Ação) + botão</w:t>
      </w:r>
      <w:r>
        <w:t xml:space="preserve"> </w:t>
      </w:r>
      <w:r>
        <w:t xml:space="preserve">“+”</w:t>
      </w:r>
      <w:r>
        <w:t xml:space="preserve"> </w:t>
      </w:r>
      <w:r>
        <w:t xml:space="preserve">para nova notificação (mecanismo nativo de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/</w:t>
      </w:r>
      <w:r>
        <w:rPr>
          <w:rStyle w:val="VerbatimChar"/>
        </w:rPr>
        <w:t xml:space="preserve">vw_lista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tel_texto_botao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Integração automática de origem:</w:t>
      </w:r>
      <w:r>
        <w:t xml:space="preserve"> </w:t>
      </w:r>
      <w:r>
        <w:t xml:space="preserve">registros</w:t>
      </w:r>
      <w:r>
        <w:t xml:space="preserve"> </w:t>
      </w:r>
      <w:r>
        <w:rPr>
          <w:b/>
          <w:bCs/>
        </w:rPr>
        <w:t xml:space="preserve">Concluídos</w:t>
      </w:r>
      <w:r>
        <w:t xml:space="preserve"> </w:t>
      </w:r>
      <w:r>
        <w:t xml:space="preserve">de T42</w:t>
      </w:r>
      <w:r>
        <w:t xml:space="preserve"> </w:t>
      </w:r>
      <w:r>
        <w:t xml:space="preserve">alimentam a base de seleção de produtos disponível para nova notificação.</w:t>
      </w:r>
    </w:p>
    <w:p>
      <w:pPr>
        <w:pStyle w:val="Compact"/>
        <w:numPr>
          <w:ilvl w:val="0"/>
          <w:numId w:val="1007"/>
        </w:numPr>
      </w:pPr>
      <w:r>
        <w:t xml:space="preserve">Botão</w:t>
      </w:r>
      <w:r>
        <w:t xml:space="preserve"> </w:t>
      </w:r>
      <w:r>
        <w:t xml:space="preserve">“Imprimir”</w:t>
      </w:r>
      <w:r>
        <w:t xml:space="preserve"> </w:t>
      </w:r>
      <w:r>
        <w:t xml:space="preserve">na listagem (gatilho de impressão de etiqueta, ver 3.1).</w:t>
      </w:r>
    </w:p>
    <w:bookmarkEnd w:id="29"/>
    <w:bookmarkStart w:id="30" w:name="X6b82f28828908be533e9f0d855e5d1845b92d0c"/>
    <w:p>
      <w:pPr>
        <w:pStyle w:val="Heading4"/>
      </w:pPr>
      <w:r>
        <w:t xml:space="preserve">Tela intermediária — Seleção de produtos (RN03.1)</w:t>
      </w:r>
    </w:p>
    <w:p>
      <w:pPr>
        <w:pStyle w:val="Compact"/>
        <w:numPr>
          <w:ilvl w:val="0"/>
          <w:numId w:val="1008"/>
        </w:numPr>
      </w:pPr>
      <w:r>
        <w:t xml:space="preserve">Grid: N°, Data, Produto, Fabricante, Lote, Usuário, Selecione (checkbox).</w:t>
      </w:r>
    </w:p>
    <w:p>
      <w:pPr>
        <w:pStyle w:val="Compact"/>
        <w:numPr>
          <w:ilvl w:val="0"/>
          <w:numId w:val="1008"/>
        </w:numPr>
      </w:pPr>
      <w:r>
        <w:t xml:space="preserve">Seleção inicial: todos os produtos do</w:t>
      </w:r>
      <w:r>
        <w:t xml:space="preserve"> </w:t>
      </w:r>
      <w:r>
        <w:rPr>
          <w:b/>
          <w:bCs/>
        </w:rPr>
        <w:t xml:space="preserve">mesmo fabricante</w:t>
      </w:r>
      <w:r>
        <w:t xml:space="preserve"> </w:t>
      </w:r>
      <w:r>
        <w:t xml:space="preserve">com status</w:t>
      </w:r>
      <w:r>
        <w:t xml:space="preserve"> </w:t>
      </w:r>
      <w:r>
        <w:t xml:space="preserve">Pendente em T42 (nota: leia-se</w:t>
      </w:r>
      <w:r>
        <w:t xml:space="preserve"> </w:t>
      </w:r>
      <w:r>
        <w:t xml:space="preserve">“Pendente em T42”</w:t>
      </w:r>
      <w:r>
        <w:t xml:space="preserve"> </w:t>
      </w:r>
      <w:r>
        <w:t xml:space="preserve">no sentido de registros de</w:t>
      </w:r>
      <w:r>
        <w:t xml:space="preserve"> </w:t>
      </w:r>
      <w:r>
        <w:t xml:space="preserve">T42 já Concluídos disponíveis para notificação, cujos produtos ainda não</w:t>
      </w:r>
      <w:r>
        <w:t xml:space="preserve"> </w:t>
      </w:r>
      <w:r>
        <w:t xml:space="preserve">foram vinculados a uma notificação de evento — usar</w:t>
      </w:r>
      <w:r>
        <w:t xml:space="preserve"> </w:t>
      </w:r>
      <w:r>
        <w:rPr>
          <w:rStyle w:val="VerbatimChar"/>
        </w:rPr>
        <w:t xml:space="preserve">ndv_id</w:t>
      </w:r>
      <w:r>
        <w:t xml:space="preserve">/status conforme</w:t>
      </w:r>
      <w:r>
        <w:t xml:space="preserve"> </w:t>
      </w:r>
      <w:r>
        <w:t xml:space="preserve">fluxo de integração acima).</w:t>
      </w:r>
    </w:p>
    <w:p>
      <w:pPr>
        <w:pStyle w:val="Compact"/>
        <w:numPr>
          <w:ilvl w:val="0"/>
          <w:numId w:val="1008"/>
        </w:numPr>
      </w:pPr>
      <w:r>
        <w:t xml:space="preserve">Abre o cadastro (4 abas) somente após confirmação da seleção.</w:t>
      </w:r>
    </w:p>
    <w:bookmarkEnd w:id="30"/>
    <w:bookmarkStart w:id="31" w:name="aba-1-dados-gerais"/>
    <w:p>
      <w:pPr>
        <w:pStyle w:val="Heading4"/>
      </w:pPr>
      <w:r>
        <w:t xml:space="preserve">Aba 1 — Dados Gerais</w:t>
      </w:r>
    </w:p>
    <w:p>
      <w:pPr>
        <w:pStyle w:val="Compact"/>
        <w:numPr>
          <w:ilvl w:val="0"/>
          <w:numId w:val="1009"/>
        </w:numPr>
      </w:pPr>
      <w:r>
        <w:t xml:space="preserve">Grid multi-linha dos produtos selecionados (</w:t>
      </w:r>
      <w:r>
        <w:rPr>
          <w:rStyle w:val="VerbatimChar"/>
        </w:rPr>
        <w:t xml:space="preserve">oco_notif_evento_produto</w:t>
      </w:r>
      <w:r>
        <w:t xml:space="preserve">):</w:t>
      </w:r>
      <w:r>
        <w:t xml:space="preserve"> </w:t>
      </w:r>
      <w:r>
        <w:t xml:space="preserve">Código ERP, Descrição, Fabricante, Lote, Validade, Quantidade (read-only,</w:t>
      </w:r>
      <w:r>
        <w:t xml:space="preserve"> </w:t>
      </w:r>
      <w:r>
        <w:t xml:space="preserve">via JOIN) +</w:t>
      </w:r>
      <w:r>
        <w:t xml:space="preserve"> </w:t>
      </w:r>
      <w:r>
        <w:rPr>
          <w:b/>
          <w:bCs/>
        </w:rPr>
        <w:t xml:space="preserve">Defeito</w:t>
      </w:r>
      <w:r>
        <w:t xml:space="preserve"> </w:t>
      </w:r>
      <w:r>
        <w:t xml:space="preserve">(</w:t>
      </w:r>
      <w:r>
        <w:rPr>
          <w:rStyle w:val="VerbatimChar"/>
        </w:rPr>
        <w:t xml:space="preserve">nvp_defeito</w:t>
      </w:r>
      <w:r>
        <w:t xml:space="preserve">, editável, RN03.9, valor inicial</w:t>
      </w:r>
      <w:r>
        <w:t xml:space="preserve"> </w:t>
      </w:r>
      <w:r>
        <w:t xml:space="preserve">copiado de</w:t>
      </w:r>
      <w:r>
        <w:t xml:space="preserve"> </w:t>
      </w:r>
      <w:r>
        <w:rPr>
          <w:rStyle w:val="VerbatimChar"/>
        </w:rPr>
        <w:t xml:space="preserve">ndv_descreva</w:t>
      </w:r>
      <w:r>
        <w:t xml:space="preserve"> </w:t>
      </w:r>
      <w:r>
        <w:t xml:space="preserve">de T42).</w:t>
      </w:r>
    </w:p>
    <w:p>
      <w:pPr>
        <w:pStyle w:val="Compact"/>
        <w:numPr>
          <w:ilvl w:val="0"/>
          <w:numId w:val="1009"/>
        </w:numPr>
      </w:pPr>
      <w:r>
        <w:t xml:space="preserve">Campos de cabeçalho: Quantidade adquirida (</w:t>
      </w:r>
      <w:r>
        <w:rPr>
          <w:rStyle w:val="VerbatimChar"/>
        </w:rPr>
        <w:t xml:space="preserve">nev_qtd_adquirida</w:t>
      </w:r>
      <w:r>
        <w:t xml:space="preserve">, RN03.10),</w:t>
      </w:r>
      <w:r>
        <w:t xml:space="preserve"> </w:t>
      </w:r>
      <w:r>
        <w:t xml:space="preserve">Número NF (</w:t>
      </w:r>
      <w:r>
        <w:rPr>
          <w:rStyle w:val="VerbatimChar"/>
        </w:rPr>
        <w:t xml:space="preserve">nev_numero_nf</w:t>
      </w:r>
      <w:r>
        <w:t xml:space="preserve">, RN03.11), Fornecedor (</w:t>
      </w:r>
      <w:r>
        <w:rPr>
          <w:rStyle w:val="VerbatimChar"/>
        </w:rPr>
        <w:t xml:space="preserve">nev_fornecedor</w:t>
      </w:r>
      <w:r>
        <w:t xml:space="preserve">, RN03.12,</w:t>
      </w:r>
      <w:r>
        <w:t xml:space="preserve"> </w:t>
      </w:r>
      <w:r>
        <w:t xml:space="preserve">texto livre), Fabricação (</w:t>
      </w:r>
      <w:r>
        <w:rPr>
          <w:rStyle w:val="VerbatimChar"/>
        </w:rPr>
        <w:t xml:space="preserve">nev_fabricacao</w:t>
      </w:r>
      <w:r>
        <w:t xml:space="preserve">, RN03.13, data).</w:t>
      </w:r>
    </w:p>
    <w:bookmarkEnd w:id="31"/>
    <w:bookmarkStart w:id="32" w:name="aba-2-providências"/>
    <w:p>
      <w:pPr>
        <w:pStyle w:val="Heading4"/>
      </w:pPr>
      <w:r>
        <w:t xml:space="preserve">Aba 2 — Providências</w:t>
      </w:r>
    </w:p>
    <w:p>
      <w:pPr>
        <w:pStyle w:val="Compact"/>
        <w:numPr>
          <w:ilvl w:val="0"/>
          <w:numId w:val="1010"/>
        </w:numPr>
      </w:pPr>
      <w:r>
        <w:t xml:space="preserve">Textarea Providências (</w:t>
      </w:r>
      <w:r>
        <w:rPr>
          <w:rStyle w:val="VerbatimChar"/>
        </w:rPr>
        <w:t xml:space="preserve">nev_providencias</w:t>
      </w:r>
      <w:r>
        <w:t xml:space="preserve">, RN03.14,</w:t>
      </w:r>
      <w:r>
        <w:t xml:space="preserve"> </w:t>
      </w:r>
      <w:r>
        <w:rPr>
          <w:rStyle w:val="VerbatimChar"/>
        </w:rPr>
        <w:t xml:space="preserve">MyCampo::crTexto()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Campo Notificado (</w:t>
      </w:r>
      <w:r>
        <w:rPr>
          <w:rStyle w:val="VerbatimChar"/>
        </w:rPr>
        <w:t xml:space="preserve">nev_notificado</w:t>
      </w:r>
      <w:r>
        <w:t xml:space="preserve">, RN03.15).</w:t>
      </w:r>
    </w:p>
    <w:p>
      <w:pPr>
        <w:pStyle w:val="Compact"/>
        <w:numPr>
          <w:ilvl w:val="0"/>
          <w:numId w:val="1010"/>
        </w:numPr>
      </w:pPr>
      <w:r>
        <w:t xml:space="preserve">Upload múltiplo de anexos (RN03.16) —</w:t>
      </w:r>
      <w:r>
        <w:t xml:space="preserve"> </w:t>
      </w:r>
      <w:r>
        <w:rPr>
          <w:rStyle w:val="VerbatimChar"/>
        </w:rPr>
        <w:t xml:space="preserve">oco_notif_evento_anexo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nva_origem = 'PROVID'</w:t>
      </w:r>
      <w:r>
        <w:t xml:space="preserve">. Ver pendência de UX na seção 4.3.</w:t>
      </w:r>
    </w:p>
    <w:bookmarkEnd w:id="32"/>
    <w:bookmarkStart w:id="33" w:name="aba-3-parecer-final"/>
    <w:p>
      <w:pPr>
        <w:pStyle w:val="Heading4"/>
      </w:pPr>
      <w:r>
        <w:t xml:space="preserve">Aba 3 — Parecer Final</w:t>
      </w:r>
    </w:p>
    <w:p>
      <w:pPr>
        <w:pStyle w:val="Compact"/>
        <w:numPr>
          <w:ilvl w:val="0"/>
          <w:numId w:val="1011"/>
        </w:numPr>
      </w:pPr>
      <w:r>
        <w:t xml:space="preserve">Textarea Parecer (</w:t>
      </w:r>
      <w:r>
        <w:rPr>
          <w:rStyle w:val="VerbatimChar"/>
        </w:rPr>
        <w:t xml:space="preserve">nev_parecer</w:t>
      </w:r>
      <w:r>
        <w:t xml:space="preserve">, RN03.17).</w:t>
      </w:r>
    </w:p>
    <w:p>
      <w:pPr>
        <w:pStyle w:val="Compact"/>
        <w:numPr>
          <w:ilvl w:val="0"/>
          <w:numId w:val="1011"/>
        </w:numPr>
      </w:pPr>
      <w:r>
        <w:t xml:space="preserve">Toggle Notivisa (</w:t>
      </w:r>
      <w:r>
        <w:rPr>
          <w:rStyle w:val="VerbatimChar"/>
        </w:rPr>
        <w:t xml:space="preserve">nev_notivisa</w:t>
      </w:r>
      <w:r>
        <w:t xml:space="preserve">, RN03.18,</w:t>
      </w:r>
      <w:r>
        <w:t xml:space="preserve"> </w:t>
      </w:r>
      <w:r>
        <w:rPr>
          <w:rStyle w:val="VerbatimChar"/>
        </w:rPr>
        <w:t xml:space="preserve">MyCampo::crCheckbox()</w:t>
      </w:r>
      <w:r>
        <w:t xml:space="preserve"> </w:t>
      </w:r>
      <w:r>
        <w:t xml:space="preserve">estilo switch/toggle) com campo n° condicional (</w:t>
      </w:r>
      <w:r>
        <w:rPr>
          <w:rStyle w:val="VerbatimChar"/>
        </w:rPr>
        <w:t xml:space="preserve">nev_notivisa_num</w:t>
      </w:r>
      <w:r>
        <w:t xml:space="preserve">, RN03.19,</w:t>
      </w:r>
      <w:r>
        <w:t xml:space="preserve"> </w:t>
      </w:r>
      <w:r>
        <w:t xml:space="preserve">obrigatório somente se</w:t>
      </w:r>
      <w:r>
        <w:t xml:space="preserve"> </w:t>
      </w:r>
      <w:r>
        <w:rPr>
          <w:rStyle w:val="VerbatimChar"/>
        </w:rPr>
        <w:t xml:space="preserve">nev_notivisa = 'S'</w:t>
      </w:r>
      <w:r>
        <w:t xml:space="preserve"> </w:t>
      </w:r>
      <w:r>
        <w:t xml:space="preserve">— exibição condicional via</w:t>
      </w:r>
      <w:r>
        <w:t xml:space="preserve"> </w:t>
      </w:r>
      <w:r>
        <w:rPr>
          <w:rStyle w:val="VerbatimChar"/>
        </w:rPr>
        <w:t xml:space="preserve">verificaTipoAcao()</w:t>
      </w:r>
      <w:r>
        <w:t xml:space="preserve">/padrão equivalente de campo condicional já usado no</w:t>
      </w:r>
      <w:r>
        <w:t xml:space="preserve"> </w:t>
      </w:r>
      <w:r>
        <w:t xml:space="preserve">projeto).</w:t>
      </w:r>
    </w:p>
    <w:p>
      <w:pPr>
        <w:pStyle w:val="Compact"/>
        <w:numPr>
          <w:ilvl w:val="0"/>
          <w:numId w:val="1011"/>
        </w:numPr>
      </w:pPr>
      <w:r>
        <w:t xml:space="preserve">Upload múltiplo de anexos (RN03.20) —</w:t>
      </w:r>
      <w:r>
        <w:t xml:space="preserve"> </w:t>
      </w:r>
      <w:r>
        <w:rPr>
          <w:rStyle w:val="VerbatimChar"/>
        </w:rPr>
        <w:t xml:space="preserve">oco_notif_evento_anexo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nva_origem = 'PARECER'</w:t>
      </w:r>
      <w:r>
        <w:t xml:space="preserve">.</w:t>
      </w:r>
    </w:p>
    <w:bookmarkEnd w:id="33"/>
    <w:bookmarkStart w:id="34" w:name="aba-4-ações-rn03.21rn03.22"/>
    <w:p>
      <w:pPr>
        <w:pStyle w:val="Heading4"/>
      </w:pPr>
      <w:r>
        <w:t xml:space="preserve">Aba 4 — Ações (RN03.21/RN03.22)</w:t>
      </w:r>
    </w:p>
    <w:p>
      <w:pPr>
        <w:pStyle w:val="Compact"/>
        <w:numPr>
          <w:ilvl w:val="0"/>
          <w:numId w:val="1012"/>
        </w:numPr>
      </w:pPr>
      <w:r>
        <w:t xml:space="preserve">Dropdown de ações T8 (</w:t>
      </w:r>
      <w:r>
        <w:rPr>
          <w:rStyle w:val="VerbatimChar"/>
        </w:rPr>
        <w:t xml:space="preserve">criaSelectRelativo('oco_tipo_acao', 'tpa_id', 'tpa_nome', ...)</w:t>
      </w:r>
      <w:r>
        <w:t xml:space="preserve">, 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) com sub-campos</w:t>
      </w:r>
      <w:r>
        <w:t xml:space="preserve"> </w:t>
      </w:r>
      <w:r>
        <w:t xml:space="preserve">condicionais por</w:t>
      </w:r>
      <w:r>
        <w:t xml:space="preserve"> </w:t>
      </w:r>
      <w:r>
        <w:rPr>
          <w:rStyle w:val="VerbatimChar"/>
        </w:rPr>
        <w:t xml:space="preserve">tpa_tipo</w:t>
      </w:r>
      <w:r>
        <w:t xml:space="preserve"> </w:t>
      </w:r>
      <w:r>
        <w:t xml:space="preserve">(reaproveitando</w:t>
      </w:r>
      <w:r>
        <w:t xml:space="preserve"> </w:t>
      </w:r>
      <w:r>
        <w:rPr>
          <w:rStyle w:val="VerbatimChar"/>
        </w:rPr>
        <w:t xml:space="preserve">verificaTipoAcao()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my_fields.js</w:t>
      </w:r>
      <w:r>
        <w:t xml:space="preserve"> </w:t>
      </w:r>
      <w:r>
        <w:t xml:space="preserve">— não recriar, mesmo padrão de T9/T12).</w:t>
      </w:r>
    </w:p>
    <w:p>
      <w:pPr>
        <w:pStyle w:val="Compact"/>
        <w:numPr>
          <w:ilvl w:val="0"/>
          <w:numId w:val="1012"/>
        </w:numPr>
      </w:pPr>
      <w:r>
        <w:t xml:space="preserve">Múltiplas linhas com adicionar/excluir (padrão</w:t>
      </w:r>
      <w:r>
        <w:t xml:space="preserve"> </w:t>
      </w:r>
      <w:r>
        <w:rPr>
          <w:rStyle w:val="VerbatimChar"/>
        </w:rPr>
        <w:t xml:space="preserve">bt-repete</w:t>
      </w:r>
      <w:r>
        <w:t xml:space="preserve">/</w:t>
      </w:r>
      <w:r>
        <w:rPr>
          <w:rStyle w:val="VerbatimChar"/>
        </w:rPr>
        <w:t xml:space="preserve">addCampo</w:t>
      </w:r>
      <w:r>
        <w:t xml:space="preserve"> </w:t>
      </w:r>
      <w:r>
        <w:t xml:space="preserve">já</w:t>
      </w:r>
      <w:r>
        <w:t xml:space="preserve"> </w:t>
      </w:r>
      <w:r>
        <w:t xml:space="preserve">usado em T9/T10).</w:t>
      </w:r>
    </w:p>
    <w:p>
      <w:pPr>
        <w:pStyle w:val="Compact"/>
        <w:numPr>
          <w:ilvl w:val="0"/>
          <w:numId w:val="1012"/>
        </w:numPr>
      </w:pPr>
      <w:r>
        <w:t xml:space="preserve">Ao Salvar: execução sequencial das ações por</w:t>
      </w:r>
      <w:r>
        <w:t xml:space="preserve"> </w:t>
      </w:r>
      <w:r>
        <w:rPr>
          <w:rStyle w:val="VerbatimChar"/>
        </w:rPr>
        <w:t xml:space="preserve">nac_ordem</w:t>
      </w:r>
      <w:r>
        <w:t xml:space="preserve"> </w:t>
      </w:r>
      <w:r>
        <w:t xml:space="preserve">(ver 4.3, RN03.22).</w:t>
      </w:r>
    </w:p>
    <w:bookmarkEnd w:id="34"/>
    <w:bookmarkStart w:id="35" w:name="salvar-cancelar-1"/>
    <w:p>
      <w:pPr>
        <w:pStyle w:val="Heading4"/>
      </w:pPr>
      <w:r>
        <w:t xml:space="preserve">Salvar / Cancelar</w:t>
      </w:r>
    </w:p>
    <w:p>
      <w:pPr>
        <w:pStyle w:val="Compact"/>
        <w:numPr>
          <w:ilvl w:val="0"/>
          <w:numId w:val="1013"/>
        </w:numPr>
      </w:pPr>
      <w:r>
        <w:t xml:space="preserve">Mesma regra de T42: Salvar já grava e conclui (</w:t>
      </w:r>
      <w:r>
        <w:rPr>
          <w:rStyle w:val="VerbatimChar"/>
        </w:rPr>
        <w:t xml:space="preserve">stt_id</w:t>
      </w:r>
      <w:r>
        <w:t xml:space="preserve"> </w:t>
      </w:r>
      <w:r>
        <w:t xml:space="preserve">= Concluída da</w:t>
      </w:r>
      <w:r>
        <w:t xml:space="preserve"> </w:t>
      </w:r>
      <w:r>
        <w:t xml:space="preserve">T43), impressão de etiqueta oferecida em seguida via botão Imprimir na</w:t>
      </w:r>
      <w:r>
        <w:t xml:space="preserve"> </w:t>
      </w:r>
      <w:r>
        <w:t xml:space="preserve">listagem (não no fluxo de salvar, diferente de T42).</w:t>
      </w:r>
    </w:p>
    <w:p>
      <w:pPr>
        <w:pStyle w:val="Compact"/>
        <w:numPr>
          <w:ilvl w:val="0"/>
          <w:numId w:val="1013"/>
        </w:numPr>
      </w:pPr>
      <w:r>
        <w:t xml:space="preserve">Validação de campo alterado (Salvar/Cancelar) via runtime genérico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data-valid</w:t>
      </w:r>
      <w:r>
        <w:t xml:space="preserve">), mesmas mensagens MSG 2 / MSG 7 de T2.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regras-de-validação-resumo-consolidado"/>
    <w:p>
      <w:pPr>
        <w:pStyle w:val="Heading2"/>
      </w:pPr>
      <w:r>
        <w:t xml:space="preserve">6. Regras de Validação (resumo consolidado)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Tela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RN03.7</w:t>
            </w:r>
          </w:p>
        </w:tc>
        <w:tc>
          <w:tcPr/>
          <w:p>
            <w:pPr>
              <w:pStyle w:val="Compact"/>
            </w:pPr>
            <w:r>
              <w:t xml:space="preserve">T42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ndv_local</w:t>
            </w:r>
          </w:p>
        </w:tc>
        <w:tc>
          <w:tcPr/>
          <w:p>
            <w:pPr>
              <w:pStyle w:val="Compact"/>
            </w:pPr>
            <w:r>
              <w:t xml:space="preserve">Obrigatório, 5–50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RN03.14</w:t>
            </w:r>
          </w:p>
        </w:tc>
        <w:tc>
          <w:tcPr/>
          <w:p>
            <w:pPr>
              <w:pStyle w:val="Compact"/>
            </w:pPr>
            <w:r>
              <w:t xml:space="preserve">T42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ndv_descreva</w:t>
            </w:r>
          </w:p>
        </w:tc>
        <w:tc>
          <w:tcPr/>
          <w:p>
            <w:pPr>
              <w:pStyle w:val="Compact"/>
            </w:pPr>
            <w:r>
              <w:t xml:space="preserve">Obrigatório, 5–200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RN03.9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nvp_defeito</w:t>
            </w:r>
          </w:p>
        </w:tc>
        <w:tc>
          <w:tcPr/>
          <w:p>
            <w:pPr>
              <w:pStyle w:val="Compact"/>
            </w:pPr>
            <w:r>
              <w:t xml:space="preserve">Obrigatório, 5–200 caracteres, valor inicial copiado de</w:t>
            </w:r>
            <w:r>
              <w:t xml:space="preserve"> </w:t>
            </w:r>
            <w:r>
              <w:rPr>
                <w:rStyle w:val="VerbatimChar"/>
              </w:rPr>
              <w:t xml:space="preserve">ndv_descreva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RN03.10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nev_qtd_adquirida</w:t>
            </w:r>
          </w:p>
        </w:tc>
        <w:tc>
          <w:tcPr/>
          <w:p>
            <w:pPr>
              <w:pStyle w:val="Compact"/>
            </w:pPr>
            <w:r>
              <w:t xml:space="preserve">Obrigatório, numérico, até 5 dígitos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RN03.11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nev_numero_nf</w:t>
            </w:r>
          </w:p>
        </w:tc>
        <w:tc>
          <w:tcPr/>
          <w:p>
            <w:pPr>
              <w:pStyle w:val="Compact"/>
            </w:pPr>
            <w:r>
              <w:t xml:space="preserve">Obrigatório, numérico, até 20 dígitos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RN03.12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nev_fornecedor</w:t>
            </w:r>
          </w:p>
        </w:tc>
        <w:tc>
          <w:tcPr/>
          <w:p>
            <w:pPr>
              <w:pStyle w:val="Compact"/>
            </w:pPr>
            <w:r>
              <w:t xml:space="preserve">Obrigatório, texto livre, 5–200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RN03.13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nev_fabricacao</w:t>
            </w:r>
          </w:p>
        </w:tc>
        <w:tc>
          <w:tcPr/>
          <w:p>
            <w:pPr>
              <w:pStyle w:val="Compact"/>
            </w:pPr>
            <w:r>
              <w:t xml:space="preserve">Obrigatório,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RN03.14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nev_providencias</w:t>
            </w:r>
          </w:p>
        </w:tc>
        <w:tc>
          <w:tcPr/>
          <w:p>
            <w:pPr>
              <w:pStyle w:val="Compact"/>
            </w:pPr>
            <w:r>
              <w:t xml:space="preserve">Obrigatório, 5–500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RN03.15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nev_notificado</w:t>
            </w:r>
          </w:p>
        </w:tc>
        <w:tc>
          <w:tcPr/>
          <w:p>
            <w:pPr>
              <w:pStyle w:val="Compact"/>
            </w:pPr>
            <w:r>
              <w:t xml:space="preserve">Obrigatório, 5–200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RN03.16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t xml:space="preserve">anexos Providências</w:t>
            </w:r>
          </w:p>
        </w:tc>
        <w:tc>
          <w:tcPr/>
          <w:p>
            <w:pPr>
              <w:pStyle w:val="Compact"/>
            </w:pPr>
            <w:r>
              <w:t xml:space="preserve">Upload múltiplo,</w:t>
            </w:r>
            <w:r>
              <w:t xml:space="preserve"> </w:t>
            </w:r>
            <w:r>
              <w:rPr>
                <w:rStyle w:val="VerbatimChar"/>
              </w:rPr>
              <w:t xml:space="preserve">.pdf,.png,.jpeg,.jpg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RN03.17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nev_parecer</w:t>
            </w:r>
          </w:p>
        </w:tc>
        <w:tc>
          <w:tcPr/>
          <w:p>
            <w:pPr>
              <w:pStyle w:val="Compact"/>
            </w:pPr>
            <w:r>
              <w:t xml:space="preserve">Obrigatório, 5–500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RN03.18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nev_notivisa</w:t>
            </w:r>
          </w:p>
        </w:tc>
        <w:tc>
          <w:tcPr/>
          <w:p>
            <w:pPr>
              <w:pStyle w:val="Compact"/>
            </w:pPr>
            <w:r>
              <w:t xml:space="preserve">S/N, default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RN03.19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nev_notivisa_num</w:t>
            </w:r>
          </w:p>
        </w:tc>
        <w:tc>
          <w:tcPr/>
          <w:p>
            <w:pPr>
              <w:pStyle w:val="Compact"/>
            </w:pPr>
            <w:r>
              <w:t xml:space="preserve">Obrigatório somente se</w:t>
            </w:r>
            <w:r>
              <w:t xml:space="preserve"> </w:t>
            </w:r>
            <w:r>
              <w:rPr>
                <w:rStyle w:val="VerbatimChar"/>
              </w:rPr>
              <w:t xml:space="preserve">nev_notivisa = 'S'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RN03.20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t xml:space="preserve">anexos Parecer Final</w:t>
            </w:r>
          </w:p>
        </w:tc>
        <w:tc>
          <w:tcPr/>
          <w:p>
            <w:pPr>
              <w:pStyle w:val="Compact"/>
            </w:pPr>
            <w:r>
              <w:t xml:space="preserve">Upload múltiplo,</w:t>
            </w:r>
            <w:r>
              <w:t xml:space="preserve"> </w:t>
            </w:r>
            <w:r>
              <w:rPr>
                <w:rStyle w:val="VerbatimChar"/>
              </w:rPr>
              <w:t xml:space="preserve">.pdf,.png,.jpeg,.jpg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RN03.21/22</w:t>
            </w:r>
          </w:p>
        </w:tc>
        <w:tc>
          <w:tcPr/>
          <w:p>
            <w:pPr>
              <w:pStyle w:val="Compact"/>
            </w:pPr>
            <w:r>
              <w:t xml:space="preserve">T43</w:t>
            </w:r>
          </w:p>
        </w:tc>
        <w:tc>
          <w:tcPr/>
          <w:p>
            <w:pPr>
              <w:pStyle w:val="Compact"/>
            </w:pPr>
            <w:r>
              <w:t xml:space="preserve">Ações</w:t>
            </w:r>
          </w:p>
        </w:tc>
        <w:tc>
          <w:tcPr/>
          <w:p>
            <w:pPr>
              <w:pStyle w:val="Compact"/>
            </w:pPr>
            <w:r>
              <w:t xml:space="preserve">Execução sequencial por</w:t>
            </w:r>
            <w:r>
              <w:t xml:space="preserve"> </w:t>
            </w:r>
            <w:r>
              <w:rPr>
                <w:rStyle w:val="VerbatimChar"/>
              </w:rPr>
              <w:t xml:space="preserve">nac_ordem</w:t>
            </w:r>
            <w:r>
              <w:t xml:space="preserve">, movimentação iterada por produto/lote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RN04.3 (T2)</w:t>
            </w:r>
          </w:p>
        </w:tc>
        <w:tc>
          <w:tcPr/>
          <w:p>
            <w:pPr>
              <w:pStyle w:val="Compact"/>
            </w:pPr>
            <w:r>
              <w:t xml:space="preserve">T42/T43</w:t>
            </w:r>
          </w:p>
        </w:tc>
        <w:tc>
          <w:tcPr/>
          <w:p>
            <w:pPr>
              <w:pStyle w:val="Compact"/>
            </w:pPr>
            <w:r>
              <w:t xml:space="preserve">Salvar sem alteração</w:t>
            </w:r>
          </w:p>
        </w:tc>
        <w:tc>
          <w:tcPr/>
          <w:p>
            <w:pPr>
              <w:pStyle w:val="Compact"/>
            </w:pPr>
            <w:r>
              <w:t xml:space="preserve">MSG ID 7, via</w:t>
            </w:r>
            <w:r>
              <w:t xml:space="preserve"> </w:t>
            </w:r>
            <w:r>
              <w:rPr>
                <w:rStyle w:val="VerbatimChar"/>
              </w:rPr>
              <w:t xml:space="preserve">data-valid</w:t>
            </w:r>
            <w:r>
              <w:t xml:space="preserve"> </w:t>
            </w:r>
            <w:r>
              <w:t xml:space="preserve">(runtime)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RN04.2 (T2)</w:t>
            </w:r>
          </w:p>
        </w:tc>
        <w:tc>
          <w:tcPr/>
          <w:p>
            <w:pPr>
              <w:pStyle w:val="Compact"/>
            </w:pPr>
            <w:r>
              <w:t xml:space="preserve">T42/T43</w:t>
            </w:r>
          </w:p>
        </w:tc>
        <w:tc>
          <w:tcPr/>
          <w:p>
            <w:pPr>
              <w:pStyle w:val="Compact"/>
            </w:pPr>
            <w:r>
              <w:t xml:space="preserve">Cancelar com alteração</w:t>
            </w:r>
          </w:p>
        </w:tc>
        <w:tc>
          <w:tcPr/>
          <w:p>
            <w:pPr>
              <w:pStyle w:val="Compact"/>
            </w:pPr>
            <w:r>
              <w:t xml:space="preserve">MSG ID 2, via</w:t>
            </w:r>
            <w:r>
              <w:t xml:space="preserve"> </w:t>
            </w:r>
            <w:r>
              <w:rPr>
                <w:rStyle w:val="VerbatimChar"/>
              </w:rPr>
              <w:t xml:space="preserve">data-valid</w:t>
            </w:r>
            <w:r>
              <w:t xml:space="preserve"> </w:t>
            </w:r>
            <w:r>
              <w:t xml:space="preserve">(runtime)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Segurança server-side (obrigatório desde o primeiro commit — não deixar para</w:t>
      </w:r>
      <w:r>
        <w:rPr>
          <w:b/>
          <w:bCs/>
        </w:rPr>
        <w:t xml:space="preserve"> </w:t>
      </w:r>
      <w:r>
        <w:rPr>
          <w:b/>
          <w:bCs/>
        </w:rPr>
        <w:t xml:space="preserve">depois):</w:t>
      </w:r>
      <w:r>
        <w:t xml:space="preserve"> </w:t>
      </w:r>
      <w:r>
        <w:t xml:space="preserve">bloqueio de edição/exclusão fora de status permitido em T42/T43,</w:t>
      </w:r>
      <w:r>
        <w:t xml:space="preserve"> </w:t>
      </w:r>
      <w:r>
        <w:t xml:space="preserve">mesmo tipo de gap já corrigido anteriormente em outra tela do projeto (ver</w:t>
      </w:r>
      <w:r>
        <w:t xml:space="preserve"> </w:t>
      </w:r>
      <w:r>
        <w:t xml:space="preserve">histórico do módulo Ocorrências, RN04.1/RN05.1 de T11 em</w:t>
      </w:r>
      <w:r>
        <w:t xml:space="preserve"> </w:t>
      </w:r>
      <w:r>
        <w:rPr>
          <w:rStyle w:val="VerbatimChar"/>
        </w:rPr>
        <w:t xml:space="preserve">ocorrencias-t9-t11-t12-dev.md</w:t>
      </w:r>
      <w:r>
        <w:t xml:space="preserve">) — validar no backend, não só ocultar botão no</w:t>
      </w:r>
      <w:r>
        <w:t xml:space="preserve"> </w:t>
      </w:r>
      <w:r>
        <w:t xml:space="preserve">front.</w:t>
      </w:r>
    </w:p>
    <w:p>
      <w:pPr>
        <w:pStyle w:val="BodyText"/>
      </w:pPr>
      <w:r>
        <w:rPr>
          <w:b/>
          <w:bCs/>
        </w:rPr>
        <w:t xml:space="preserve">Idempotência:</w:t>
      </w:r>
      <w:r>
        <w:t xml:space="preserve"> </w:t>
      </w:r>
      <w:r>
        <w:t xml:space="preserve">geração de movimentação por produto em T43 deve evitar</w:t>
      </w:r>
      <w:r>
        <w:t xml:space="preserve"> </w:t>
      </w:r>
      <w:r>
        <w:t xml:space="preserve">duplicidade (não gerar movimentação duas vezes para o mesmo produto/ação).</w:t>
      </w:r>
    </w:p>
    <w:p>
      <w:r>
        <w:pict>
          <v:rect style="width:0;height:1.5pt" o:hralign="center" o:hrstd="t" o:hr="t"/>
        </w:pict>
      </w:r>
    </w:p>
    <w:bookmarkEnd w:id="38"/>
    <w:bookmarkStart w:id="39" w:name="ordem-de-implementação"/>
    <w:p>
      <w:pPr>
        <w:pStyle w:val="Heading2"/>
      </w:pPr>
      <w:r>
        <w:t xml:space="preserve">7. Ordem de Implementação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Infraestrutura:</w:t>
      </w:r>
      <w:r>
        <w:t xml:space="preserve"> </w:t>
      </w:r>
      <w:r>
        <w:t xml:space="preserve">módulo Fornecedores, telas T42/T43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 status</w:t>
      </w:r>
      <w:r>
        <w:t xml:space="preserve"> </w:t>
      </w:r>
      <w:r>
        <w:t xml:space="preserve">Pendente/Concluída de cada uma, permissões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, ação nova em T8 +</w:t>
      </w:r>
      <w:r>
        <w:t xml:space="preserve"> </w:t>
      </w:r>
      <w:r>
        <w:t xml:space="preserve">associação em T9.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Migrations</w:t>
      </w:r>
      <w:r>
        <w:t xml:space="preserve"> </w:t>
      </w:r>
      <w:r>
        <w:t xml:space="preserve">das 5 tabelas novas (</w:t>
      </w:r>
      <w:r>
        <w:rPr>
          <w:rStyle w:val="VerbatimChar"/>
        </w:rPr>
        <w:t xml:space="preserve">oco_notif_desvio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oco_notif_evento_anexo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oco_notif_evento_acao</w:t>
      </w:r>
      <w:r>
        <w:t xml:space="preserve">)</w:t>
      </w:r>
      <w:r>
        <w:t xml:space="preserve"> </w:t>
      </w:r>
      <w:r>
        <w:t xml:space="preserve">com FKs para</w:t>
      </w:r>
      <w:r>
        <w:t xml:space="preserve"> </w:t>
      </w:r>
      <w:r>
        <w:rPr>
          <w:rStyle w:val="VerbatimChar"/>
        </w:rPr>
        <w:t xml:space="preserve">oco_ocorrencia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T42 completo</w:t>
      </w:r>
      <w:r>
        <w:t xml:space="preserve"> </w:t>
      </w:r>
      <w:r>
        <w:t xml:space="preserve">(listagem, integração com T11, cadastro Dados Gerais, salvar</w:t>
      </w:r>
      <w:r>
        <w:t xml:space="preserve"> </w:t>
      </w:r>
      <w:r>
        <w:t xml:space="preserve">com conclusão automática,</w:t>
      </w:r>
      <w:r>
        <w:t xml:space="preserve"> </w:t>
      </w:r>
      <w:r>
        <w:rPr>
          <w:rStyle w:val="VerbatimChar"/>
        </w:rPr>
        <w:t xml:space="preserve">GeraEtiqueta</w:t>
      </w:r>
      <w:r>
        <w:t xml:space="preserve">). T42 deve estar 100% funcional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iniciar T43, pois T43 depende de registros Concluídos de T42.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Etiqueta T42:</w:t>
      </w:r>
      <w:r>
        <w:t xml:space="preserve"> </w:t>
      </w:r>
      <w:r>
        <w:t xml:space="preserve">cadastro de</w:t>
      </w:r>
      <w:r>
        <w:t xml:space="preserve"> </w:t>
      </w:r>
      <w:r>
        <w:rPr>
          <w:rStyle w:val="VerbatimChar"/>
        </w:rPr>
        <w:t xml:space="preserve">cfg_etiqueta</w:t>
      </w:r>
      <w:r>
        <w:t xml:space="preserve">/</w:t>
      </w:r>
      <w:r>
        <w:rPr>
          <w:rStyle w:val="VerbatimChar"/>
        </w:rPr>
        <w:t xml:space="preserve">cfg_layout_etiqueta</w:t>
      </w:r>
      <w:r>
        <w:t xml:space="preserve">/</w:t>
      </w:r>
      <w:r>
        <w:t xml:space="preserve"> </w:t>
      </w:r>
      <w:r>
        <w:rPr>
          <w:rStyle w:val="VerbatimChar"/>
        </w:rPr>
        <w:t xml:space="preserve">cfg_etiqueta_campo</w:t>
      </w:r>
      <w:r>
        <w:t xml:space="preserve"> </w:t>
      </w:r>
      <w:r>
        <w:t xml:space="preserve">para T42, validação end-to-end da impressão.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T43:</w:t>
      </w:r>
      <w:r>
        <w:t xml:space="preserve"> </w:t>
      </w:r>
      <w:r>
        <w:t xml:space="preserve">seleção de produtos → cadastro 4 abas → upload de anexos (</w:t>
      </w:r>
      <w:r>
        <w:rPr>
          <w:rStyle w:val="VerbatimChar"/>
        </w:rPr>
        <w:t xml:space="preserve">bydsgn</w:t>
      </w:r>
      <w:r>
        <w:t xml:space="preserve"> </w:t>
      </w:r>
      <w:r>
        <w:t xml:space="preserve">valida UX) → aba Ações (reaproveitando</w:t>
      </w:r>
      <w:r>
        <w:t xml:space="preserve"> </w:t>
      </w:r>
      <w:r>
        <w:rPr>
          <w:rStyle w:val="VerbatimChar"/>
        </w:rPr>
        <w:t xml:space="preserve">verificaTipoAcao()</w:t>
      </w:r>
      <w:r>
        <w:t xml:space="preserve">) → salvar com</w:t>
      </w:r>
      <w:r>
        <w:t xml:space="preserve"> </w:t>
      </w:r>
      <w:r>
        <w:t xml:space="preserve">execução sequencial de ações →</w:t>
      </w:r>
      <w:r>
        <w:t xml:space="preserve"> </w:t>
      </w:r>
      <w:r>
        <w:rPr>
          <w:rStyle w:val="VerbatimChar"/>
        </w:rPr>
        <w:t xml:space="preserve">GeraEtiqueta</w:t>
      </w:r>
      <w:r>
        <w:t xml:space="preserve"> </w:t>
      </w:r>
      <w:r>
        <w:t xml:space="preserve">→ botão</w:t>
      </w:r>
      <w:r>
        <w:t xml:space="preserve"> </w:t>
      </w:r>
      <w:r>
        <w:t xml:space="preserve">“+”</w:t>
      </w:r>
      <w:r>
        <w:t xml:space="preserve"> </w:t>
      </w:r>
      <w:r>
        <w:t xml:space="preserve">na listagem.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Revisão de segurança:</w:t>
      </w:r>
      <w:r>
        <w:t xml:space="preserve"> </w:t>
      </w:r>
      <w:r>
        <w:t xml:space="preserve">bloqueio server-side de edição/exclusão fora de</w:t>
      </w:r>
      <w:r>
        <w:t xml:space="preserve"> </w:t>
      </w:r>
      <w:r>
        <w:t xml:space="preserve">status permitido em T42/T43 desde o primeiro commit; idempotência da geração</w:t>
      </w:r>
      <w:r>
        <w:t xml:space="preserve"> </w:t>
      </w:r>
      <w:r>
        <w:t xml:space="preserve">de movimentação por produto em T43.</w:t>
      </w:r>
    </w:p>
    <w:p>
      <w:r>
        <w:pict>
          <v:rect style="width:0;height:1.5pt" o:hralign="center" o:hrstd="t" o:hr="t"/>
        </w:pict>
      </w:r>
    </w:p>
    <w:bookmarkEnd w:id="39"/>
    <w:bookmarkStart w:id="40" w:name="pendências-não-bloqueantes"/>
    <w:p>
      <w:pPr>
        <w:pStyle w:val="Heading2"/>
      </w:pPr>
      <w:r>
        <w:t xml:space="preserve">8. Pendências Não-Bloqueantes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Padrão de UX de lista de anexos (upload múltiplo com adicionar/excluir</w:t>
      </w:r>
      <w:r>
        <w:rPr>
          <w:b/>
          <w:bCs/>
        </w:rPr>
        <w:t xml:space="preserve"> </w:t>
      </w:r>
      <w:r>
        <w:rPr>
          <w:b/>
          <w:bCs/>
        </w:rPr>
        <w:t xml:space="preserve">linha)</w:t>
      </w:r>
      <w:r>
        <w:t xml:space="preserve"> </w:t>
      </w:r>
      <w:r>
        <w:t xml:space="preserve">— não foi localizado padrão pronto equivalente no código existente.</w:t>
      </w:r>
      <w:r>
        <w:t xml:space="preserve"> </w:t>
      </w:r>
      <w:r>
        <w:rPr>
          <w:rStyle w:val="VerbatimChar"/>
        </w:rPr>
        <w:t xml:space="preserve">bydsgn</w:t>
      </w:r>
      <w:r>
        <w:t xml:space="preserve"> </w:t>
      </w:r>
      <w:r>
        <w:t xml:space="preserve">deve validar/desenhar esse padrão durante a codificação de T43</w:t>
      </w:r>
      <w:r>
        <w:t xml:space="preserve"> </w:t>
      </w:r>
      <w:r>
        <w:t xml:space="preserve">(aba Providências e aba Parecer Final), acionado 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ao chegar</w:t>
      </w:r>
      <w:r>
        <w:t xml:space="preserve"> </w:t>
      </w:r>
      <w:r>
        <w:t xml:space="preserve">nessa etapa.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Nome definitivo da ação nova de T8</w:t>
      </w:r>
      <w:r>
        <w:t xml:space="preserve"> </w:t>
      </w:r>
      <w:r>
        <w:t xml:space="preserve">(</w:t>
      </w:r>
      <w:r>
        <w:t xml:space="preserve">“Notificação do Fornecedor”</w:t>
      </w:r>
      <w:r>
        <w:t xml:space="preserve">) — a</w:t>
      </w:r>
      <w:r>
        <w:t xml:space="preserve"> </w:t>
      </w:r>
      <w:r>
        <w:t xml:space="preserve">confirmar com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durante a codificação (nome provisório definido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Start w:id="41" w:name="critérios-de-pronto"/>
    <w:p>
      <w:pPr>
        <w:pStyle w:val="Heading2"/>
      </w:pPr>
      <w:r>
        <w:t xml:space="preserve">9. Critérios de Pronto</w:t>
      </w:r>
    </w:p>
    <w:p>
      <w:pPr>
        <w:pStyle w:val="Compact"/>
        <w:numPr>
          <w:ilvl w:val="0"/>
          <w:numId w:val="1016"/>
        </w:numPr>
      </w:pPr>
      <w:r>
        <w:t xml:space="preserve">Módulo Fornecedores cadastrado em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; T42 e T43 cadastradas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 </w:t>
      </w:r>
      <w:r>
        <w:t xml:space="preserve">com permissões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configuradas para os perfis relevantes.</w:t>
      </w:r>
    </w:p>
    <w:p>
      <w:pPr>
        <w:pStyle w:val="Compact"/>
        <w:numPr>
          <w:ilvl w:val="0"/>
          <w:numId w:val="1016"/>
        </w:numPr>
      </w:pPr>
      <w:r>
        <w:t xml:space="preserve">Status Pendente/Concluída cadastrados em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 </w:t>
      </w:r>
      <w:r>
        <w:t xml:space="preserve">para cada tela nova.</w:t>
      </w:r>
    </w:p>
    <w:p>
      <w:pPr>
        <w:pStyle w:val="Compact"/>
        <w:numPr>
          <w:ilvl w:val="0"/>
          <w:numId w:val="1016"/>
        </w:numPr>
      </w:pPr>
      <w:r>
        <w:t xml:space="preserve">Ação nova</w:t>
      </w:r>
      <w:r>
        <w:t xml:space="preserve"> </w:t>
      </w:r>
      <w:r>
        <w:t xml:space="preserve">“Notificação do Fornecedor”</w:t>
      </w:r>
      <w:r>
        <w:t xml:space="preserve"> </w:t>
      </w:r>
      <w:r>
        <w:t xml:space="preserve">cadastrada em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 </w:t>
      </w:r>
      <w:r>
        <w:t xml:space="preserve">(T8) e</w:t>
      </w:r>
      <w:r>
        <w:t xml:space="preserve"> </w:t>
      </w:r>
      <w:r>
        <w:t xml:space="preserve">associável por subtipo em T9, sem alteração de schema em T9.</w:t>
      </w:r>
    </w:p>
    <w:p>
      <w:pPr>
        <w:pStyle w:val="Compact"/>
        <w:numPr>
          <w:ilvl w:val="0"/>
          <w:numId w:val="1016"/>
        </w:numPr>
      </w:pPr>
      <w:r>
        <w:t xml:space="preserve">5 tabelas novas criadas com FKs corretas para</w:t>
      </w:r>
      <w:r>
        <w:t xml:space="preserve"> </w:t>
      </w:r>
      <w:r>
        <w:rPr>
          <w:rStyle w:val="VerbatimChar"/>
        </w:rPr>
        <w:t xml:space="preserve">oco_ocorrencia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oco_tipo_acao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T42: listagem funcional com integração automática de T11; cadastro Dados</w:t>
      </w:r>
      <w:r>
        <w:t xml:space="preserve"> </w:t>
      </w:r>
      <w:r>
        <w:t xml:space="preserve">Gerais com campos editáveis (</w:t>
      </w:r>
      <w:r>
        <w:rPr>
          <w:rStyle w:val="VerbatimChar"/>
        </w:rPr>
        <w:t xml:space="preserve">ndv_local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ndv_descreva</w:t>
      </w:r>
      <w:r>
        <w:t xml:space="preserve">) e não-editáveis</w:t>
      </w:r>
      <w:r>
        <w:t xml:space="preserve"> </w:t>
      </w:r>
      <w:r>
        <w:t xml:space="preserve">(via JOIN T11) corretos; Salvar grava e conclui na mesma transação;</w:t>
      </w:r>
      <w:r>
        <w:t xml:space="preserve"> </w:t>
      </w:r>
      <w:r>
        <w:rPr>
          <w:rStyle w:val="VerbatimChar"/>
        </w:rPr>
        <w:t xml:space="preserve">GeraEtiqueta()</w:t>
      </w:r>
      <w:r>
        <w:t xml:space="preserve"> </w:t>
      </w:r>
      <w:r>
        <w:t xml:space="preserve">funcional e oferecida após Salvar (não bloqueante).</w:t>
      </w:r>
    </w:p>
    <w:p>
      <w:pPr>
        <w:pStyle w:val="Compact"/>
        <w:numPr>
          <w:ilvl w:val="0"/>
          <w:numId w:val="1016"/>
        </w:numPr>
      </w:pPr>
      <w:r>
        <w:t xml:space="preserve">T43: listagem funcional com integração automática de T42 Concluídos; tela</w:t>
      </w:r>
      <w:r>
        <w:t xml:space="preserve"> </w:t>
      </w:r>
      <w:r>
        <w:t xml:space="preserve">de seleção de produtos por fabricante/Pendente; 4 abas completas (Dados</w:t>
      </w:r>
      <w:r>
        <w:t xml:space="preserve"> </w:t>
      </w:r>
      <w:r>
        <w:t xml:space="preserve">Gerais, Providências, Parecer Final, Ações) com todos os campos e uploads;</w:t>
      </w:r>
      <w:r>
        <w:t xml:space="preserve"> </w:t>
      </w:r>
      <w:r>
        <w:t xml:space="preserve">execução sequencial de ações por</w:t>
      </w:r>
      <w:r>
        <w:t xml:space="preserve"> </w:t>
      </w:r>
      <w:r>
        <w:rPr>
          <w:rStyle w:val="VerbatimChar"/>
        </w:rPr>
        <w:t xml:space="preserve">nac_ordem</w:t>
      </w:r>
      <w:r>
        <w:t xml:space="preserve"> </w:t>
      </w:r>
      <w:r>
        <w:t xml:space="preserve">ao Salvar; movimentação</w:t>
      </w:r>
      <w:r>
        <w:t xml:space="preserve"> </w:t>
      </w:r>
      <w:r>
        <w:t xml:space="preserve">iterada corretamente por produto/lote, sem duplicidade;</w:t>
      </w:r>
      <w:r>
        <w:t xml:space="preserve"> </w:t>
      </w:r>
      <w:r>
        <w:rPr>
          <w:rStyle w:val="VerbatimChar"/>
        </w:rPr>
        <w:t xml:space="preserve">GeraEtiqueta()</w:t>
      </w:r>
      <w:r>
        <w:t xml:space="preserve"> </w:t>
      </w:r>
      <w:r>
        <w:t xml:space="preserve">funcional via botão Imprimir na listagem.</w:t>
      </w:r>
    </w:p>
    <w:p>
      <w:pPr>
        <w:pStyle w:val="Compact"/>
        <w:numPr>
          <w:ilvl w:val="0"/>
          <w:numId w:val="1016"/>
        </w:numPr>
      </w:pPr>
      <w:r>
        <w:t xml:space="preserve">Bloqueio server-side de edição/exclusão fora de status permitido</w:t>
      </w:r>
      <w:r>
        <w:t xml:space="preserve"> </w:t>
      </w:r>
      <w:r>
        <w:t xml:space="preserve">implementado em ambas as telas desde o primeiro commit.</w:t>
      </w:r>
    </w:p>
    <w:p>
      <w:pPr>
        <w:pStyle w:val="Compact"/>
        <w:numPr>
          <w:ilvl w:val="0"/>
          <w:numId w:val="1016"/>
        </w:numPr>
      </w:pPr>
      <w:r>
        <w:t xml:space="preserve">Validação de campo alterado (Salvar/Cancelar) funcionando via runtime</w:t>
      </w:r>
      <w:r>
        <w:t xml:space="preserve"> </w:t>
      </w:r>
      <w:r>
        <w:t xml:space="preserve">genérico (</w:t>
      </w:r>
      <w:r>
        <w:rPr>
          <w:rStyle w:val="VerbatimChar"/>
        </w:rPr>
        <w:t xml:space="preserve">data-valid</w:t>
      </w:r>
      <w:r>
        <w:t xml:space="preserve">), sem código server-side extra.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byrev</w:t>
      </w:r>
      <w:r>
        <w:t xml:space="preserve"> </w:t>
      </w:r>
      <w:r>
        <w:t xml:space="preserve">sem apontamentos pendentes;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com plano de testes cobrindo</w:t>
      </w:r>
      <w:r>
        <w:t xml:space="preserve"> </w:t>
      </w:r>
      <w:r>
        <w:t xml:space="preserve">todas as RNs deste documento.</w:t>
      </w:r>
    </w:p>
    <w:p>
      <w:r>
        <w:pict>
          <v:rect style="width:0;height:1.5pt" o:hralign="center" o:hrstd="t" o:hr="t"/>
        </w:pict>
      </w:r>
    </w:p>
    <w:bookmarkEnd w:id="41"/>
    <w:bookmarkStart w:id="42" w:name="rastreabilidade"/>
    <w:p>
      <w:pPr>
        <w:pStyle w:val="Heading2"/>
      </w:pPr>
      <w:r>
        <w:t xml:space="preserve">10. Rastreabilidade</w:t>
      </w:r>
    </w:p>
    <w:p>
      <w:pPr>
        <w:pStyle w:val="FirstParagraph"/>
      </w:pPr>
      <w:r>
        <w:t xml:space="preserve">Cada RN referenciada neste documento (RN02.x, RN03.x, RN04.x de T42 e T43,</w:t>
      </w:r>
      <w:r>
        <w:t xml:space="preserve"> </w:t>
      </w:r>
      <w:r>
        <w:t xml:space="preserve">conforme os documentos de requisito originais) deve ser citada pelo seu código</w:t>
      </w:r>
      <w:r>
        <w:t xml:space="preserve"> </w:t>
      </w:r>
      <w:r>
        <w:t xml:space="preserve">em commits, comentários de revisão (</w:t>
      </w:r>
      <w:r>
        <w:rPr>
          <w:rStyle w:val="VerbatimChar"/>
        </w:rPr>
        <w:t xml:space="preserve">byrev</w:t>
      </w:r>
      <w:r>
        <w:t xml:space="preserve">) e casos de teste (</w:t>
      </w:r>
      <w:r>
        <w:rPr>
          <w:rStyle w:val="VerbatimChar"/>
        </w:rPr>
        <w:t xml:space="preserve">bytest</w:t>
      </w:r>
      <w:r>
        <w:t xml:space="preserve">), para</w:t>
      </w:r>
      <w:r>
        <w:t xml:space="preserve"> </w:t>
      </w:r>
      <w:r>
        <w:t xml:space="preserve">permitir rastrear diretamente do requisito até a mudança de código</w:t>
      </w:r>
      <w:r>
        <w:t xml:space="preserve"> </w:t>
      </w:r>
      <w:r>
        <w:t xml:space="preserve">correspondente.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2026-07-12T02:46:14Z</dcterms:created>
  <dcterms:modified xsi:type="dcterms:W3CDTF">2026-07-12T02:46:14Z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