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000000"/>
          <w:sz w:val="22"/>
          <w:szCs w:val="22"/>
        </w:rPr>
        <w:t xml:space="preserve">BLOCKCHAIN OLYMPIAD BANGLADESH 2026</w:t>
      </w:r>
    </w:p>
    <w:p>
      <w:pPr>
        <w:spacing w:after="40"/>
        <w:jc w:val="center"/>
      </w:pPr>
      <w:r>
        <w:rPr>
          <w:rFonts w:ascii="Times New Roman" w:cs="Times New Roman" w:eastAsia="Times New Roman" w:hAnsi="Times New Roman"/>
          <w:i/>
          <w:iCs/>
          <w:color w:val="374151"/>
          <w:sz w:val="18"/>
          <w:szCs w:val="18"/>
        </w:rPr>
        <w:t xml:space="preserve">Artificial Intelligence Category (AInspire)  •  Official White Paper Submission</w:t>
      </w:r>
    </w:p>
    <w:p>
      <w:pPr>
        <w:spacing w:after="30"/>
        <w:jc w:val="center"/>
      </w:pPr>
      <w:r>
        <w:rPr>
          <w:rFonts w:ascii="Times New Roman" w:cs="Times New Roman" w:eastAsia="Times New Roman" w:hAnsi="Times New Roman"/>
          <w:b/>
          <w:bCs/>
          <w:color w:val="000000"/>
          <w:sz w:val="24"/>
          <w:szCs w:val="24"/>
        </w:rPr>
        <w:t xml:space="preserve">AcademicGuard: High-Throughput, Privacy-Preserving Machine Learning Architecture for Multi-Modal Academic Integrity and Code Forensics</w:t>
      </w:r>
    </w:p>
    <w:p>
      <w:pPr>
        <w:spacing w:after="40"/>
        <w:jc w:val="center"/>
      </w:pPr>
      <w:r>
        <w:rPr>
          <w:rFonts w:ascii="Times New Roman" w:cs="Times New Roman" w:eastAsia="Times New Roman" w:hAnsi="Times New Roman"/>
          <w:b/>
          <w:bCs/>
          <w:sz w:val="17"/>
          <w:szCs w:val="17"/>
        </w:rPr>
        <w:t xml:space="preserve">Team Name: </w:t>
      </w:r>
      <w:r>
        <w:rPr>
          <w:rFonts w:ascii="Times New Roman" w:cs="Times New Roman" w:eastAsia="Times New Roman" w:hAnsi="Times New Roman"/>
          <w:sz w:val="17"/>
          <w:szCs w:val="17"/>
        </w:rPr>
        <w:t xml:space="preserve">AcademicGuard  |  </w:t>
      </w:r>
      <w:r>
        <w:rPr>
          <w:rFonts w:ascii="Times New Roman" w:cs="Times New Roman" w:eastAsia="Times New Roman" w:hAnsi="Times New Roman"/>
          <w:b/>
          <w:bCs/>
          <w:sz w:val="17"/>
          <w:szCs w:val="17"/>
        </w:rPr>
        <w:t xml:space="preserve">Team ID: </w:t>
      </w:r>
      <w:r>
        <w:rPr>
          <w:rFonts w:ascii="Times New Roman" w:cs="Times New Roman" w:eastAsia="Times New Roman" w:hAnsi="Times New Roman"/>
          <w:b/>
          <w:bCs/>
          <w:color w:val="000000"/>
          <w:sz w:val="17"/>
          <w:szCs w:val="17"/>
        </w:rPr>
        <w:t xml:space="preserve">6a7f5c7d71ee7  |  </w:t>
      </w:r>
      <w:r>
        <w:rPr>
          <w:rFonts w:ascii="Times New Roman" w:cs="Times New Roman" w:eastAsia="Times New Roman" w:hAnsi="Times New Roman"/>
          <w:b/>
          <w:bCs/>
          <w:sz w:val="17"/>
          <w:szCs w:val="17"/>
        </w:rPr>
        <w:t xml:space="preserve">Institution: </w:t>
      </w:r>
      <w:r>
        <w:rPr>
          <w:rFonts w:ascii="Times New Roman" w:cs="Times New Roman" w:eastAsia="Times New Roman" w:hAnsi="Times New Roman"/>
          <w:sz w:val="17"/>
          <w:szCs w:val="17"/>
        </w:rPr>
        <w:t xml:space="preserve">Dept. of CSE, University of Information Technology and Sciences (UITS)</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3102"/>
        <w:gridCol w:w="3102"/>
        <w:gridCol w:w="3102"/>
      </w:tblGrid>
      <w:tr>
        <w:trPr>
          <w:cantSplit/>
          <w:tblHeader/>
        </w:trPr>
        <w:tc>
          <w:tcPr>
            <w:tcW w:type="dxa" w:w="3102"/>
            <w:shd w:fill="1F2937" w:val="clear"/>
          </w:tcPr>
          <w:p>
            <w:pPr>
              <w:spacing w:after="15" w:before="20" w:line="240"/>
              <w:jc w:val="center"/>
            </w:pPr>
            <w:r>
              <w:rPr>
                <w:rFonts w:ascii="Times New Roman" w:cs="Times New Roman" w:eastAsia="Times New Roman" w:hAnsi="Times New Roman"/>
                <w:b/>
                <w:bCs/>
                <w:color w:val="FFFFFF"/>
                <w:sz w:val="17"/>
                <w:szCs w:val="17"/>
              </w:rPr>
              <w:t xml:space="preserve">Sumaia bintey Ismail</w:t>
            </w:r>
          </w:p>
          <w:p>
            <w:pPr>
              <w:spacing w:after="15" w:before="0" w:line="240"/>
              <w:jc w:val="center"/>
            </w:pPr>
            <w:r>
              <w:rPr>
                <w:rFonts w:ascii="Times New Roman" w:cs="Times New Roman" w:eastAsia="Times New Roman" w:hAnsi="Times New Roman"/>
                <w:i/>
                <w:iCs/>
                <w:color w:val="E5E7EB"/>
                <w:sz w:val="15"/>
                <w:szCs w:val="15"/>
              </w:rPr>
              <w:t xml:space="preserve">Team Representative</w:t>
            </w:r>
          </w:p>
        </w:tc>
        <w:tc>
          <w:tcPr>
            <w:tcW w:type="dxa" w:w="3102"/>
            <w:shd w:fill="1F2937" w:val="clear"/>
          </w:tcPr>
          <w:p>
            <w:pPr>
              <w:spacing w:after="15" w:before="20" w:line="240"/>
              <w:jc w:val="center"/>
            </w:pPr>
            <w:r>
              <w:rPr>
                <w:rFonts w:ascii="Times New Roman" w:cs="Times New Roman" w:eastAsia="Times New Roman" w:hAnsi="Times New Roman"/>
                <w:b/>
                <w:bCs/>
                <w:color w:val="FFFFFF"/>
                <w:sz w:val="17"/>
                <w:szCs w:val="17"/>
              </w:rPr>
              <w:t xml:space="preserve">Kazi Md Azhar Uddin Abeer</w:t>
            </w:r>
          </w:p>
          <w:p>
            <w:pPr>
              <w:spacing w:after="15" w:before="0" w:line="240"/>
              <w:jc w:val="center"/>
            </w:pPr>
            <w:r>
              <w:rPr>
                <w:rFonts w:ascii="Times New Roman" w:cs="Times New Roman" w:eastAsia="Times New Roman" w:hAnsi="Times New Roman"/>
                <w:i/>
                <w:iCs/>
                <w:color w:val="E5E7EB"/>
                <w:sz w:val="15"/>
                <w:szCs w:val="15"/>
              </w:rPr>
              <w:t xml:space="preserve">Core Team Member</w:t>
            </w:r>
          </w:p>
        </w:tc>
        <w:tc>
          <w:tcPr>
            <w:tcW w:type="dxa" w:w="3102"/>
            <w:shd w:fill="1F2937" w:val="clear"/>
          </w:tcPr>
          <w:p>
            <w:pPr>
              <w:spacing w:after="15" w:before="20" w:line="240"/>
              <w:jc w:val="center"/>
            </w:pPr>
            <w:r>
              <w:rPr>
                <w:rFonts w:ascii="Times New Roman" w:cs="Times New Roman" w:eastAsia="Times New Roman" w:hAnsi="Times New Roman"/>
                <w:b/>
                <w:bCs/>
                <w:color w:val="FFFFFF"/>
                <w:sz w:val="17"/>
                <w:szCs w:val="17"/>
              </w:rPr>
              <w:t xml:space="preserve">Ahmmed Abdali Khan</w:t>
            </w:r>
          </w:p>
          <w:p>
            <w:pPr>
              <w:spacing w:after="15" w:before="0" w:line="240"/>
              <w:jc w:val="center"/>
            </w:pPr>
            <w:r>
              <w:rPr>
                <w:rFonts w:ascii="Times New Roman" w:cs="Times New Roman" w:eastAsia="Times New Roman" w:hAnsi="Times New Roman"/>
                <w:i/>
                <w:iCs/>
                <w:color w:val="E5E7EB"/>
                <w:sz w:val="15"/>
                <w:szCs w:val="15"/>
              </w:rPr>
              <w:t xml:space="preserve">Core Team Member</w:t>
            </w:r>
          </w:p>
        </w:tc>
      </w:tr>
      <w:tr>
        <w:trPr>
          <w:cantSplit/>
        </w:trPr>
        <w:tc>
          <w:tcPr>
            <w:tcW w:type="dxa" w:w="3102"/>
            <w:shd w:fill="F9FAFB" w:val="clear"/>
          </w:tcPr>
          <w:p>
            <w:pPr>
              <w:spacing w:after="10" w:before="15" w:line="240"/>
              <w:jc w:val="center"/>
            </w:pPr>
            <w:r>
              <w:rPr>
                <w:rFonts w:ascii="Times New Roman" w:cs="Times New Roman" w:eastAsia="Times New Roman" w:hAnsi="Times New Roman"/>
                <w:b/>
                <w:bCs/>
                <w:color w:val="1F2937"/>
                <w:sz w:val="15"/>
                <w:szCs w:val="15"/>
              </w:rPr>
              <w:t xml:space="preserve">B.Sc. in CSE (4th Yr / 7th Sem)</w:t>
            </w:r>
          </w:p>
          <w:p>
            <w:pPr>
              <w:spacing w:after="10" w:before="0" w:line="240"/>
              <w:jc w:val="center"/>
            </w:pPr>
            <w:r>
              <w:rPr>
                <w:rFonts w:ascii="Times New Roman" w:cs="Times New Roman" w:eastAsia="Times New Roman" w:hAnsi="Times New Roman"/>
                <w:color w:val="1F2937"/>
                <w:sz w:val="14"/>
                <w:szCs w:val="14"/>
              </w:rPr>
              <w:t xml:space="preserve">Session: 2023–2027</w:t>
            </w:r>
          </w:p>
          <w:p>
            <w:pPr>
              <w:spacing w:after="10" w:before="0" w:line="240"/>
              <w:jc w:val="center"/>
            </w:pPr>
            <w:r>
              <w:rPr>
                <w:rFonts w:ascii="Times New Roman" w:cs="Times New Roman" w:eastAsia="Times New Roman" w:hAnsi="Times New Roman"/>
                <w:color w:val="000000"/>
                <w:sz w:val="13"/>
                <w:szCs w:val="13"/>
              </w:rPr>
              <w:t xml:space="preserve">sumaia_bintey1103@uits.edu.bd</w:t>
            </w:r>
          </w:p>
          <w:p>
            <w:pPr>
              <w:spacing w:after="15" w:before="0" w:line="240"/>
              <w:jc w:val="center"/>
            </w:pPr>
            <w:r>
              <w:rPr>
                <w:rFonts w:ascii="Times New Roman" w:cs="Times New Roman" w:eastAsia="Times New Roman" w:hAnsi="Times New Roman"/>
                <w:color w:val="1F2937"/>
                <w:sz w:val="13"/>
                <w:szCs w:val="13"/>
              </w:rPr>
              <w:t xml:space="preserve">+880 1623-727260</w:t>
            </w:r>
          </w:p>
        </w:tc>
        <w:tc>
          <w:tcPr>
            <w:tcW w:type="dxa" w:w="3102"/>
            <w:shd w:fill="F9FAFB" w:val="clear"/>
          </w:tcPr>
          <w:p>
            <w:pPr>
              <w:spacing w:after="10" w:before="15" w:line="240"/>
              <w:jc w:val="center"/>
            </w:pPr>
            <w:r>
              <w:rPr>
                <w:rFonts w:ascii="Times New Roman" w:cs="Times New Roman" w:eastAsia="Times New Roman" w:hAnsi="Times New Roman"/>
                <w:b/>
                <w:bCs/>
                <w:color w:val="1F2937"/>
                <w:sz w:val="15"/>
                <w:szCs w:val="15"/>
              </w:rPr>
              <w:t xml:space="preserve">B.Sc. in CSE (4th Yr / 7th Sem)</w:t>
            </w:r>
          </w:p>
          <w:p>
            <w:pPr>
              <w:spacing w:after="10" w:before="0" w:line="240"/>
              <w:jc w:val="center"/>
            </w:pPr>
            <w:r>
              <w:rPr>
                <w:rFonts w:ascii="Times New Roman" w:cs="Times New Roman" w:eastAsia="Times New Roman" w:hAnsi="Times New Roman"/>
                <w:color w:val="1F2937"/>
                <w:sz w:val="14"/>
                <w:szCs w:val="14"/>
              </w:rPr>
              <w:t xml:space="preserve">Session: 2023–2027</w:t>
            </w:r>
          </w:p>
          <w:p>
            <w:pPr>
              <w:spacing w:after="10" w:before="0" w:line="240"/>
              <w:jc w:val="center"/>
            </w:pPr>
            <w:r>
              <w:rPr>
                <w:rFonts w:ascii="Times New Roman" w:cs="Times New Roman" w:eastAsia="Times New Roman" w:hAnsi="Times New Roman"/>
                <w:color w:val="000000"/>
                <w:sz w:val="13"/>
                <w:szCs w:val="13"/>
              </w:rPr>
              <w:t xml:space="preserve">azhar_uddin1120@uits.edu.bd</w:t>
            </w:r>
          </w:p>
          <w:p>
            <w:pPr>
              <w:spacing w:after="15" w:before="0" w:line="240"/>
              <w:jc w:val="center"/>
            </w:pPr>
            <w:r>
              <w:rPr>
                <w:rFonts w:ascii="Times New Roman" w:cs="Times New Roman" w:eastAsia="Times New Roman" w:hAnsi="Times New Roman"/>
                <w:color w:val="1F2937"/>
                <w:sz w:val="13"/>
                <w:szCs w:val="13"/>
              </w:rPr>
              <w:t xml:space="preserve">+880 1760-211553</w:t>
            </w:r>
          </w:p>
        </w:tc>
        <w:tc>
          <w:tcPr>
            <w:tcW w:type="dxa" w:w="3102"/>
            <w:shd w:fill="F9FAFB" w:val="clear"/>
          </w:tcPr>
          <w:p>
            <w:pPr>
              <w:spacing w:after="10" w:before="15" w:line="240"/>
              <w:jc w:val="center"/>
            </w:pPr>
            <w:r>
              <w:rPr>
                <w:rFonts w:ascii="Times New Roman" w:cs="Times New Roman" w:eastAsia="Times New Roman" w:hAnsi="Times New Roman"/>
                <w:b/>
                <w:bCs/>
                <w:color w:val="1F2937"/>
                <w:sz w:val="15"/>
                <w:szCs w:val="15"/>
              </w:rPr>
              <w:t xml:space="preserve">B.Sc. in CSE (4th Yr / 7th Sem)</w:t>
            </w:r>
          </w:p>
          <w:p>
            <w:pPr>
              <w:spacing w:after="10" w:before="0" w:line="240"/>
              <w:jc w:val="center"/>
            </w:pPr>
            <w:r>
              <w:rPr>
                <w:rFonts w:ascii="Times New Roman" w:cs="Times New Roman" w:eastAsia="Times New Roman" w:hAnsi="Times New Roman"/>
                <w:color w:val="1F2937"/>
                <w:sz w:val="14"/>
                <w:szCs w:val="14"/>
              </w:rPr>
              <w:t xml:space="preserve">Session: 2023–2027</w:t>
            </w:r>
          </w:p>
          <w:p>
            <w:pPr>
              <w:spacing w:after="10" w:before="0" w:line="240"/>
              <w:jc w:val="center"/>
            </w:pPr>
            <w:r>
              <w:rPr>
                <w:rFonts w:ascii="Times New Roman" w:cs="Times New Roman" w:eastAsia="Times New Roman" w:hAnsi="Times New Roman"/>
                <w:color w:val="000000"/>
                <w:sz w:val="13"/>
                <w:szCs w:val="13"/>
              </w:rPr>
              <w:t xml:space="preserve">0432320005101118@uits.edu.bd</w:t>
            </w:r>
          </w:p>
          <w:p>
            <w:pPr>
              <w:spacing w:after="15" w:before="0" w:line="240"/>
              <w:jc w:val="center"/>
            </w:pPr>
            <w:r>
              <w:rPr>
                <w:rFonts w:ascii="Times New Roman" w:cs="Times New Roman" w:eastAsia="Times New Roman" w:hAnsi="Times New Roman"/>
                <w:color w:val="1F2937"/>
                <w:sz w:val="13"/>
                <w:szCs w:val="13"/>
              </w:rPr>
              <w:t xml:space="preserve">+880 1571-503855</w:t>
            </w:r>
          </w:p>
        </w:tc>
      </w:tr>
    </w:tbl>
    <w:p>
      <w:pPr>
        <w:spacing w:after="20" w:line="240"/>
      </w:pPr>
    </w:p>
    <w:p>
      <w:pPr>
        <w:pStyle w:val="Heading1"/>
        <w:spacing w:after="20" w:before="40" w:line="240"/>
      </w:pPr>
      <w:r>
        <w:rPr>
          <w:rFonts w:ascii="Times New Roman" w:cs="Times New Roman" w:eastAsia="Times New Roman" w:hAnsi="Times New Roman"/>
          <w:b/>
          <w:bCs/>
          <w:color w:val="000000"/>
          <w:sz w:val="30"/>
          <w:szCs w:val="30"/>
        </w:rPr>
        <w:t xml:space="preserve">Executive Abstract</w:t>
      </w:r>
    </w:p>
    <w:p>
      <w:pPr>
        <w:spacing w:after="30" w:before="0" w:line="240"/>
        <w:jc w:val="both"/>
      </w:pPr>
      <w:r>
        <w:rPr>
          <w:rFonts w:ascii="Times New Roman" w:cs="Times New Roman" w:eastAsia="Times New Roman" w:hAnsi="Times New Roman"/>
          <w:sz w:val="24"/>
          <w:szCs w:val="24"/>
        </w:rPr>
        <w:t xml:space="preserve">Higher education institutions face an acute academic integrity crisis catalyzed by large language models (LLMs) and automated code synthesis. In developing ecosystems such as Bangladesh, where university student-to-faculty ratios frequently exceed 40:1, manual verification of high-volume assessments is operationally unfeasible. Existing commercial surveillance solutions (e.g., Turnitin, Copyleaks) present two prohibitive barriers: unsustainable recurring licensing fees ($3.00–$5.00/student/year) and severe non-native English speaker false positive rates exceeding 15%. AcademicGuard resolves this trilemma through an open, on-premise, multi-modal integrity platform.</w:t>
      </w:r>
    </w:p>
    <w:p>
      <w:pPr>
        <w:spacing w:after="30" w:before="0" w:line="240"/>
        <w:jc w:val="both"/>
      </w:pPr>
      <w:r>
        <w:rPr>
          <w:rFonts w:ascii="Times New Roman" w:cs="Times New Roman" w:eastAsia="Times New Roman" w:hAnsi="Times New Roman"/>
          <w:sz w:val="24"/>
          <w:szCs w:val="24"/>
        </w:rPr>
        <w:t xml:space="preserve">The system unifies sublinear TF-IDF and dense 384-dimensional semantic embeddings (all-MiniLM-L6-v2) for text similarity, multi-language Tree-Sitter AST canonical identifier normalization for source code forensics, and a dual-model statistical perplexity-burstiness pipeline (Binoculars cross-perplexity and calibrated DeBERTa-v3 sequence classification) for AI detection. Operating entirely within institutional server infrastructure, AcademicGuard delivers complete data sovereignty at &lt; $0.05/submission while eliminating O(N²) pairwise bottlenecks via MinHash Locality-Sensitive Hashing (LSH) and FAISS Approximate Nearest Neighbor (ANN) vector indexing.</w:t>
      </w:r>
    </w:p>
    <w:p>
      <w:pPr>
        <w:spacing w:after="30" w:before="0" w:line="240"/>
        <w:jc w:val="both"/>
      </w:pPr>
      <w:r>
        <w:rPr>
          <w:rFonts w:ascii="Times New Roman" w:cs="Times New Roman" w:eastAsia="Times New Roman" w:hAnsi="Times New Roman"/>
          <w:sz w:val="24"/>
          <w:szCs w:val="24"/>
        </w:rPr>
        <w:t xml:space="preserve">A defining innovation is the algorithmic confidence threshold banding mechanism: submissions exhibiting ambiguous AI probability (p ∈ [0.40, 0.75]) are automatically assigned to an INCONCLUSIVE_HUMAN_REVIEW_REQUIRED state that strictly forbids automated grade deductions. Instructor annotations drive active learning calibration of the classification head without cloud telemetry. Empirical evaluation across an N=1,200 benchmark demonstrates an AI detection F1-score of 0.962 on ESL prose, code plagiarism detection F1-score of 0.978 against structural obfuscation, and a 4.0× reduction in faculty grading latency (18.0 min to 4.5 min per 2,000-word submission).</w:t>
      </w:r>
    </w:p>
    <w:p>
      <w:pPr>
        <w:spacing w:after="30" w:before="0" w:line="2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Academic Integrity, AI Detection, Binoculars Scoring, DeBERTa-v3, Tree-Sitter AST, MinHash LSH, FAISS, Active Learning, Data Sovereignty, ESL Equity, Higher Education, Bangladesh</w:t>
      </w:r>
    </w:p>
    <w:p>
      <w:r>
        <w:br w:type="page"/>
      </w:r>
    </w:p>
    <w:p>
      <w:pPr>
        <w:pStyle w:val="Heading1"/>
        <w:spacing w:after="40" w:before="120" w:line="240"/>
      </w:pPr>
      <w:r>
        <w:rPr>
          <w:rFonts w:ascii="Times New Roman" w:cs="Times New Roman" w:eastAsia="Times New Roman" w:hAnsi="Times New Roman"/>
          <w:b/>
          <w:bCs/>
          <w:color w:val="000000"/>
          <w:sz w:val="30"/>
          <w:szCs w:val="30"/>
        </w:rPr>
        <w:t xml:space="preserve">1. Vision &amp; Problem Statement</w:t>
      </w:r>
    </w:p>
    <w:p>
      <w:pPr>
        <w:pStyle w:val="Heading2"/>
        <w:spacing w:after="30" w:before="80" w:line="240"/>
      </w:pPr>
      <w:r>
        <w:rPr>
          <w:rFonts w:ascii="Times New Roman" w:cs="Times New Roman" w:eastAsia="Times New Roman" w:hAnsi="Times New Roman"/>
          <w:b/>
          <w:bCs/>
          <w:color w:val="000000"/>
          <w:sz w:val="26"/>
          <w:szCs w:val="26"/>
        </w:rPr>
        <w:t xml:space="preserve">1.1 The Global &amp; Regional Crisis in Academic Integrity</w:t>
      </w:r>
    </w:p>
    <w:p>
      <w:pPr>
        <w:spacing w:after="30" w:before="0" w:line="240"/>
        <w:jc w:val="both"/>
      </w:pPr>
      <w:r>
        <w:rPr>
          <w:rFonts w:ascii="Times New Roman" w:cs="Times New Roman" w:eastAsia="Times New Roman" w:hAnsi="Times New Roman"/>
          <w:sz w:val="24"/>
          <w:szCs w:val="24"/>
        </w:rPr>
        <w:t xml:space="preserve">The rapid proliferation of generative artificial intelligence, spanning frontier LLMs (GPT-4o, Claude 3.5, Gemini 1.5, DeepSeek) and code synthesis assistants (GitHub Copilot, Cursor, CodeLlama), has decoupled syntactic fluency from student comprehension. Academic institutions worldwide face an unprecedented surge of synthetic essays, lab reports, and programming assignments that evade conventional n-gram string-matching algorithms.</w:t>
      </w:r>
    </w:p>
    <w:p>
      <w:pPr>
        <w:spacing w:after="30" w:before="0" w:line="240"/>
        <w:jc w:val="both"/>
      </w:pPr>
      <w:r>
        <w:rPr>
          <w:rFonts w:ascii="Times New Roman" w:cs="Times New Roman" w:eastAsia="Times New Roman" w:hAnsi="Times New Roman"/>
          <w:sz w:val="24"/>
          <w:szCs w:val="24"/>
        </w:rPr>
        <w:t xml:space="preserve">In developing academic ecosystems such as Bangladesh, this disruption is exacerbated by acute institutional constraints: public and private engineering universities operate with average student-to-faculty ratios exceeding 40:1 (often reaching 60:1 in introductory computing cohorts). Faculty members evaluate upwards of 200–300 programming submissions and term papers per semester, rendering manual line-by-line code review and forensic integrity analysis logistically impossible without automated decision-support tooling.</w:t>
      </w:r>
    </w:p>
    <w:p>
      <w:pPr>
        <w:pStyle w:val="Heading2"/>
        <w:spacing w:after="30" w:before="80" w:line="240"/>
      </w:pPr>
      <w:r>
        <w:rPr>
          <w:rFonts w:ascii="Times New Roman" w:cs="Times New Roman" w:eastAsia="Times New Roman" w:hAnsi="Times New Roman"/>
          <w:b/>
          <w:bCs/>
          <w:color w:val="000000"/>
          <w:sz w:val="26"/>
          <w:szCs w:val="26"/>
        </w:rPr>
        <w:t xml:space="preserve">1.2 The Core Problem: The Academic Integrity Trilemma</w:t>
      </w:r>
    </w:p>
    <w:p>
      <w:pPr>
        <w:spacing w:after="30" w:before="0" w:line="240"/>
        <w:jc w:val="both"/>
      </w:pPr>
      <w:r>
        <w:rPr>
          <w:rFonts w:ascii="Times New Roman" w:cs="Times New Roman" w:eastAsia="Times New Roman" w:hAnsi="Times New Roman"/>
          <w:sz w:val="24"/>
          <w:szCs w:val="24"/>
        </w:rPr>
        <w:t xml:space="preserve">Modern higher-education evaluation is trapped in a fundamental trilemma between Cost Accessibility, Non-Native English (ESL) Fairness, and Sovereign Data Privacy:</w:t>
      </w:r>
    </w:p>
    <w:p>
      <w:pPr>
        <w:pStyle w:val="ListParagraph"/>
        <w:numPr>
          <w:ilvl w:val="0"/>
          <w:numId w:val="2"/>
        </w:numPr>
        <w:spacing w:after="25" w:line="240"/>
        <w:jc w:val="both"/>
      </w:pPr>
      <w:r>
        <w:rPr>
          <w:rFonts w:ascii="Times New Roman" w:cs="Times New Roman" w:eastAsia="Times New Roman" w:hAnsi="Times New Roman"/>
          <w:sz w:val="24"/>
          <w:szCs w:val="24"/>
        </w:rPr>
        <w:t xml:space="preserve">Financial Viability vs. Coverage: Commercial enterprise tools (Turnitin, Copyleaks) enforce aggressive per-student SaaS pricing ($3.00–$5.00/student/year). For an institution with 20,000 enrolled students, annual licensing costs ($60,000–$100,000 USD) exhaust departmental budgets and foreign currency reserves.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Algorithmic Accuracy vs. ESL Bias: Off-the-shelf commercial AI detectors exhibit severe distribution shift when evaluating non-native English (ESL) writers. Students with restricted lexical variety produce lower linguistic perplexity, causing baseline detectors to falsely flag authentic human work at rates exceeding 15–20%.</w:t>
      </w:r>
    </w:p>
    <w:p>
      <w:pPr>
        <w:pStyle w:val="ListParagraph"/>
        <w:numPr>
          <w:ilvl w:val="0"/>
          <w:numId w:val="2"/>
        </w:numPr>
        <w:spacing w:after="25" w:line="240"/>
        <w:jc w:val="both"/>
      </w:pPr>
      <w:r>
        <w:rPr>
          <w:rFonts w:ascii="Times New Roman" w:cs="Times New Roman" w:eastAsia="Times New Roman" w:hAnsi="Times New Roman"/>
          <w:sz w:val="24"/>
          <w:szCs w:val="24"/>
        </w:rPr>
        <w:t xml:space="preserve">Cloud SaaS vs. Data Sovereignty: Cloud-based detection platforms require transmitting unpublished student research, graduation theses, and proprietary lab code to offshore third-party data centers, violating national data protection mandates and institutional intellectual property safeguards.</w:t>
      </w:r>
    </w:p>
    <w:p>
      <w:pPr>
        <w:pStyle w:val="Heading2"/>
        <w:spacing w:after="30" w:before="80" w:line="240"/>
      </w:pPr>
      <w:r>
        <w:rPr>
          <w:rFonts w:ascii="Times New Roman" w:cs="Times New Roman" w:eastAsia="Times New Roman" w:hAnsi="Times New Roman"/>
          <w:b/>
          <w:bCs/>
          <w:color w:val="000000"/>
          <w:sz w:val="26"/>
          <w:szCs w:val="26"/>
        </w:rPr>
        <w:t xml:space="preserve">1.3 Project Vision: Privacy-Preserving, Self-Learning Academic Integrity</w:t>
      </w:r>
    </w:p>
    <w:p>
      <w:pPr>
        <w:spacing w:after="30" w:before="0" w:line="240"/>
        <w:jc w:val="both"/>
      </w:pPr>
      <w:r>
        <w:rPr>
          <w:rFonts w:ascii="Times New Roman" w:cs="Times New Roman" w:eastAsia="Times New Roman" w:hAnsi="Times New Roman"/>
          <w:sz w:val="24"/>
          <w:szCs w:val="24"/>
        </w:rPr>
        <w:t xml:space="preserve">AcademicGuard resolves this trilemma by delivering an open-architecture, on-premise, multi-modal integrity platform engineered for commodity infrastructure. The platform is architected around three foundational pillars: (1) Absolute Data Sovereignty: Zero external network egress; (2) Sub-Linear Scalability: Reducing search complexity from O(N²) to O(N log N) via MinHash LSH and FAISS vector indexing; (3) Calibrated ESL Equity: Deterministic confidence banding that isolates ambiguous predictions into a human-review state.</w:t>
      </w:r>
    </w:p>
    <w:p>
      <w:pPr>
        <w:pStyle w:val="Heading2"/>
        <w:spacing w:after="30" w:before="80" w:line="240"/>
      </w:pPr>
      <w:r>
        <w:rPr>
          <w:rFonts w:ascii="Times New Roman" w:cs="Times New Roman" w:eastAsia="Times New Roman" w:hAnsi="Times New Roman"/>
          <w:b/>
          <w:bCs/>
          <w:color w:val="000000"/>
          <w:sz w:val="26"/>
          <w:szCs w:val="26"/>
        </w:rPr>
        <w:t xml:space="preserve">1.4 Strategic Scope, Core Objectives &amp; Measurable Impact Metrics</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2200"/>
        <w:gridCol w:w="4400"/>
        <w:gridCol w:w="2706"/>
      </w:tblGrid>
      <w:tr>
        <w:trPr>
          <w:cantSplit/>
          <w:tblHeader/>
        </w:trPr>
        <w:tc>
          <w:tcPr>
            <w:tcW w:type="dxa" w:w="2200"/>
            <w:shd w:fill="1F2937" w:val="clear"/>
          </w:tcPr>
          <w:p>
            <w:pPr>
              <w:spacing w:after="25" w:before="25" w:line="240"/>
              <w:jc w:val="center"/>
            </w:pPr>
            <w:r>
              <w:rPr>
                <w:rFonts w:ascii="Times New Roman" w:cs="Times New Roman" w:eastAsia="Times New Roman" w:hAnsi="Times New Roman"/>
                <w:b/>
                <w:bCs/>
                <w:color w:val="FFFFFF"/>
                <w:sz w:val="18"/>
                <w:szCs w:val="18"/>
              </w:rPr>
              <w:t xml:space="preserve">Objective</w:t>
            </w:r>
          </w:p>
        </w:tc>
        <w:tc>
          <w:tcPr>
            <w:tcW w:type="dxa" w:w="4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Technical Mechanism</w:t>
            </w:r>
          </w:p>
        </w:tc>
        <w:tc>
          <w:tcPr>
            <w:tcW w:type="dxa" w:w="2706"/>
            <w:shd w:fill="1F2937" w:val="clear"/>
          </w:tcPr>
          <w:p>
            <w:pPr>
              <w:spacing w:after="25" w:before="25" w:line="240"/>
              <w:jc w:val="center"/>
            </w:pPr>
            <w:r>
              <w:rPr>
                <w:rFonts w:ascii="Times New Roman" w:cs="Times New Roman" w:eastAsia="Times New Roman" w:hAnsi="Times New Roman"/>
                <w:b/>
                <w:bCs/>
                <w:color w:val="FFFFFF"/>
                <w:sz w:val="18"/>
                <w:szCs w:val="18"/>
              </w:rPr>
              <w:t xml:space="preserve">Target Success Metric</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O1: Multi-Modal Detection</w:t>
            </w:r>
          </w:p>
        </w:tc>
        <w:tc>
          <w:tcPr>
            <w:tcW w:type="dxa" w:w="4400"/>
          </w:tcPr>
          <w:p>
            <w:pPr>
              <w:spacing w:after="20" w:before="20" w:line="240"/>
              <w:jc w:val="left"/>
            </w:pPr>
            <w:r>
              <w:rPr>
                <w:rFonts w:ascii="Times New Roman" w:cs="Times New Roman" w:eastAsia="Times New Roman" w:hAnsi="Times New Roman"/>
                <w:b w:val="false"/>
                <w:bCs w:val="false"/>
                <w:color w:val="000000"/>
                <w:sz w:val="17"/>
                <w:szCs w:val="17"/>
              </w:rPr>
              <w:t xml:space="preserve">Unified pipeline for text plagiarism, Tree-Sitter AST code cloning, and dual-model AI detection</w:t>
            </w:r>
          </w:p>
        </w:tc>
        <w:tc>
          <w:tcPr>
            <w:tcW w:type="dxa" w:w="2706"/>
          </w:tcPr>
          <w:p>
            <w:pPr>
              <w:spacing w:after="20" w:before="20" w:line="240"/>
              <w:jc w:val="left"/>
            </w:pPr>
            <w:r>
              <w:rPr>
                <w:rFonts w:ascii="Times New Roman" w:cs="Times New Roman" w:eastAsia="Times New Roman" w:hAnsi="Times New Roman"/>
                <w:b w:val="false"/>
                <w:bCs w:val="false"/>
                <w:color w:val="000000"/>
                <w:sz w:val="17"/>
                <w:szCs w:val="17"/>
              </w:rPr>
              <w:t xml:space="preserve">≥ 95% F1-score across balanced multi-modal benchmark</w:t>
            </w:r>
          </w:p>
        </w:tc>
      </w:tr>
      <w:tr>
        <w:trPr>
          <w:cantSplit/>
        </w:trPr>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O2: ESL Bias Protection</w:t>
            </w:r>
          </w:p>
        </w:tc>
        <w:tc>
          <w:tcPr>
            <w:tcW w:type="dxa" w:w="4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Algorithmic confidence threshold banding (p ∈ [0.40, 0.75] → human review quarantine)</w:t>
            </w:r>
          </w:p>
        </w:tc>
        <w:tc>
          <w:tcPr>
            <w:tcW w:type="dxa" w:w="27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False Positive Rate (FPR) &lt; 1.5% on authentic ESL prose</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O3: Sub-Linear Retrieval</w:t>
            </w:r>
          </w:p>
        </w:tc>
        <w:tc>
          <w:tcPr>
            <w:tcW w:type="dxa" w:w="4400"/>
          </w:tcPr>
          <w:p>
            <w:pPr>
              <w:spacing w:after="20" w:before="20" w:line="240"/>
              <w:jc w:val="left"/>
            </w:pPr>
            <w:r>
              <w:rPr>
                <w:rFonts w:ascii="Times New Roman" w:cs="Times New Roman" w:eastAsia="Times New Roman" w:hAnsi="Times New Roman"/>
                <w:b w:val="false"/>
                <w:bCs w:val="false"/>
                <w:color w:val="000000"/>
                <w:sz w:val="17"/>
                <w:szCs w:val="17"/>
              </w:rPr>
              <w:t xml:space="preserve">MinHash LSH lexical pre-filtering combined with FAISS IVFFlat dense vector indexing</w:t>
            </w:r>
          </w:p>
        </w:tc>
        <w:tc>
          <w:tcPr>
            <w:tcW w:type="dxa" w:w="2706"/>
          </w:tcPr>
          <w:p>
            <w:pPr>
              <w:spacing w:after="20" w:before="20" w:line="240"/>
              <w:jc w:val="left"/>
            </w:pPr>
            <w:r>
              <w:rPr>
                <w:rFonts w:ascii="Times New Roman" w:cs="Times New Roman" w:eastAsia="Times New Roman" w:hAnsi="Times New Roman"/>
                <w:b w:val="false"/>
                <w:bCs w:val="false"/>
                <w:color w:val="000000"/>
                <w:sz w:val="17"/>
                <w:szCs w:val="17"/>
              </w:rPr>
              <w:t xml:space="preserve">O(N log N) scaling; &lt; 20 ms query time across 100k corpus</w:t>
            </w:r>
          </w:p>
        </w:tc>
      </w:tr>
      <w:tr>
        <w:trPr>
          <w:cantSplit/>
        </w:trPr>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O4: Sovereign Cost Efficiency</w:t>
            </w:r>
          </w:p>
        </w:tc>
        <w:tc>
          <w:tcPr>
            <w:tcW w:type="dxa" w:w="4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Fully on-premise deployment on 8-core CPU hardware without mandatory GPU clusters</w:t>
            </w:r>
          </w:p>
        </w:tc>
        <w:tc>
          <w:tcPr>
            <w:tcW w:type="dxa" w:w="27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Operational TCO &lt; $0.05 per student submission; 75% grading time saved</w:t>
            </w:r>
          </w:p>
        </w:tc>
      </w:tr>
    </w:tbl>
    <w:p>
      <w:r>
        <w:br w:type="page"/>
      </w:r>
    </w:p>
    <w:p>
      <w:pPr>
        <w:pStyle w:val="Heading1"/>
        <w:spacing w:after="40" w:before="120" w:line="240"/>
      </w:pPr>
      <w:r>
        <w:rPr>
          <w:rFonts w:ascii="Times New Roman" w:cs="Times New Roman" w:eastAsia="Times New Roman" w:hAnsi="Times New Roman"/>
          <w:b/>
          <w:bCs/>
          <w:color w:val="000000"/>
          <w:sz w:val="30"/>
          <w:szCs w:val="30"/>
        </w:rPr>
        <w:t xml:space="preserve">2. Use Cases &amp; Competitive Analysis</w:t>
      </w:r>
    </w:p>
    <w:p>
      <w:pPr>
        <w:pStyle w:val="Heading2"/>
        <w:spacing w:after="30" w:before="80" w:line="240"/>
      </w:pPr>
      <w:r>
        <w:rPr>
          <w:rFonts w:ascii="Times New Roman" w:cs="Times New Roman" w:eastAsia="Times New Roman" w:hAnsi="Times New Roman"/>
          <w:b/>
          <w:bCs/>
          <w:color w:val="000000"/>
          <w:sz w:val="26"/>
          <w:szCs w:val="26"/>
        </w:rPr>
        <w:t xml:space="preserve">2.1 Institutional &amp; Academic Use Cases</w:t>
      </w:r>
    </w:p>
    <w:p>
      <w:pPr>
        <w:spacing w:after="30" w:before="0" w:line="240"/>
        <w:jc w:val="both"/>
      </w:pPr>
      <w:r>
        <w:rPr>
          <w:rFonts w:ascii="Times New Roman" w:cs="Times New Roman" w:eastAsia="Times New Roman" w:hAnsi="Times New Roman"/>
          <w:sz w:val="24"/>
          <w:szCs w:val="24"/>
        </w:rPr>
        <w:t xml:space="preserve">AcademicGuard is engineered for four primary operational workflows across higher education:</w:t>
      </w:r>
    </w:p>
    <w:p>
      <w:pPr>
        <w:pStyle w:val="Heading3"/>
        <w:spacing w:after="20" w:before="60" w:line="240"/>
      </w:pPr>
      <w:r>
        <w:rPr>
          <w:rFonts w:ascii="Times New Roman" w:cs="Times New Roman" w:eastAsia="Times New Roman" w:hAnsi="Times New Roman"/>
          <w:b/>
          <w:bCs/>
          <w:color w:val="1F2937"/>
          <w:sz w:val="24"/>
          <w:szCs w:val="24"/>
        </w:rPr>
        <w:t xml:space="preserve">Use Case 1: Computer Science &amp; Engineering Programming Laboratories</w:t>
      </w:r>
    </w:p>
    <w:p>
      <w:pPr>
        <w:spacing w:after="30" w:before="0" w:line="240"/>
        <w:jc w:val="both"/>
      </w:pPr>
      <w:r>
        <w:rPr>
          <w:rFonts w:ascii="Times New Roman" w:cs="Times New Roman" w:eastAsia="Times New Roman" w:hAnsi="Times New Roman"/>
          <w:sz w:val="24"/>
          <w:szCs w:val="24"/>
        </w:rPr>
        <w:t xml:space="preserve">CS departments handle high-volume programming assignments across C, C++, Java, and Python. AcademicGuard utilizes multi-language Tree-Sitter AST parsers to canonicalize identifiers, prune dead code, and detect structural logic cloning across class batches, even under complete variable renaming, statement reordering, and loop refactoring.</w:t>
      </w:r>
    </w:p>
    <w:p>
      <w:pPr>
        <w:pStyle w:val="Heading3"/>
        <w:spacing w:after="20" w:before="60" w:line="240"/>
      </w:pPr>
      <w:r>
        <w:rPr>
          <w:rFonts w:ascii="Times New Roman" w:cs="Times New Roman" w:eastAsia="Times New Roman" w:hAnsi="Times New Roman"/>
          <w:b/>
          <w:bCs/>
          <w:color w:val="1F2937"/>
          <w:sz w:val="24"/>
          <w:szCs w:val="24"/>
        </w:rPr>
        <w:t xml:space="preserve">Use Case 2: Undergraduate &amp; Graduate Theses Verification</w:t>
      </w:r>
    </w:p>
    <w:p>
      <w:pPr>
        <w:spacing w:after="30" w:before="0" w:line="240"/>
        <w:jc w:val="both"/>
      </w:pPr>
      <w:r>
        <w:rPr>
          <w:rFonts w:ascii="Times New Roman" w:cs="Times New Roman" w:eastAsia="Times New Roman" w:hAnsi="Times New Roman"/>
          <w:sz w:val="24"/>
          <w:szCs w:val="24"/>
        </w:rPr>
        <w:t xml:space="preserve">Comprehensive pre-submission screening for academic research manuscripts. The fused semantic embedding engine captures cross-lingual paraphrasing and conceptual plagiarism against local institutional archives and open-access literature, while dual-model AI scoring flags machine-generated chapters.</w:t>
      </w:r>
    </w:p>
    <w:p>
      <w:pPr>
        <w:pStyle w:val="Heading3"/>
        <w:spacing w:after="20" w:before="60" w:line="240"/>
      </w:pPr>
      <w:r>
        <w:rPr>
          <w:rFonts w:ascii="Times New Roman" w:cs="Times New Roman" w:eastAsia="Times New Roman" w:hAnsi="Times New Roman"/>
          <w:b/>
          <w:bCs/>
          <w:color w:val="1F2937"/>
          <w:sz w:val="24"/>
          <w:szCs w:val="24"/>
        </w:rPr>
        <w:t xml:space="preserve">Use Case 3: Automated Continuous LMS Assignment Pipeline</w:t>
      </w:r>
    </w:p>
    <w:p>
      <w:pPr>
        <w:spacing w:after="30" w:before="0" w:line="240"/>
        <w:jc w:val="both"/>
      </w:pPr>
      <w:r>
        <w:rPr>
          <w:rFonts w:ascii="Times New Roman" w:cs="Times New Roman" w:eastAsia="Times New Roman" w:hAnsi="Times New Roman"/>
          <w:sz w:val="24"/>
          <w:szCs w:val="24"/>
        </w:rPr>
        <w:t xml:space="preserve">Seamless integration with institutional learning management systems (Moodle, Canvas) via standard LTI/REST APIs. Submissions are processed asynchronously in the background, generating itemized similarity breakdowns and configurable deduction rubrics for course instructors.</w:t>
      </w:r>
    </w:p>
    <w:p>
      <w:pPr>
        <w:pStyle w:val="Heading3"/>
        <w:spacing w:after="20" w:before="60" w:line="240"/>
      </w:pPr>
      <w:r>
        <w:rPr>
          <w:rFonts w:ascii="Times New Roman" w:cs="Times New Roman" w:eastAsia="Times New Roman" w:hAnsi="Times New Roman"/>
          <w:b/>
          <w:bCs/>
          <w:color w:val="1F2937"/>
          <w:sz w:val="24"/>
          <w:szCs w:val="24"/>
        </w:rPr>
        <w:t xml:space="preserve">Use Case 4: Institutional Research Governance &amp; Accreditation Clearance</w:t>
      </w:r>
    </w:p>
    <w:p>
      <w:pPr>
        <w:spacing w:after="30" w:before="0" w:line="240"/>
        <w:jc w:val="both"/>
      </w:pPr>
      <w:r>
        <w:rPr>
          <w:rFonts w:ascii="Times New Roman" w:cs="Times New Roman" w:eastAsia="Times New Roman" w:hAnsi="Times New Roman"/>
          <w:sz w:val="24"/>
          <w:szCs w:val="24"/>
        </w:rPr>
        <w:t xml:space="preserve">Faculty and departmental clearance workflows that verify citation integrity, prevent self-plagiarism, and protect intellectual property prior to national and international journal submission without exposing drafts to public cloud repositories.</w:t>
      </w:r>
    </w:p>
    <w:p>
      <w:pPr>
        <w:pStyle w:val="Heading2"/>
        <w:spacing w:after="30" w:before="80" w:line="240"/>
      </w:pPr>
      <w:r>
        <w:rPr>
          <w:rFonts w:ascii="Times New Roman" w:cs="Times New Roman" w:eastAsia="Times New Roman" w:hAnsi="Times New Roman"/>
          <w:b/>
          <w:bCs/>
          <w:color w:val="000000"/>
          <w:sz w:val="26"/>
          <w:szCs w:val="26"/>
        </w:rPr>
        <w:t xml:space="preserve">2.2 Critical Analysis of Existing Solutions &amp; Why MOSS is Insufficient</w:t>
      </w:r>
    </w:p>
    <w:p>
      <w:pPr>
        <w:spacing w:after="30" w:before="0" w:line="240"/>
        <w:jc w:val="both"/>
      </w:pPr>
      <w:r>
        <w:rPr>
          <w:rFonts w:ascii="Times New Roman" w:cs="Times New Roman" w:eastAsia="Times New Roman" w:hAnsi="Times New Roman"/>
          <w:sz w:val="24"/>
          <w:szCs w:val="24"/>
        </w:rPr>
        <w:t xml:space="preserve">While Stanford's Measure of Software Similarity (MOSS) has served as an academic baseline, it fails modern needs: (1) Lack of Multi-Modal Support: MOSS processes code only, ignoring prose essays and AI detection; (2) Algorithmic Fragility: Winnowing token streams fails against AST semantic refactoring and dead-code injection; (3) Pairwise O(N²) Scaling: Unindexed comparisons degrade severely on large cohorts; (4) Operational Deficits: Closed-source legacy Perl script lacking modern REST APIs, database persistence, and LMS grading hooks.</w:t>
      </w:r>
    </w:p>
    <w:p>
      <w:pPr>
        <w:pStyle w:val="Heading2"/>
        <w:spacing w:after="30" w:before="80" w:line="240"/>
      </w:pPr>
      <w:r>
        <w:rPr>
          <w:rFonts w:ascii="Times New Roman" w:cs="Times New Roman" w:eastAsia="Times New Roman" w:hAnsi="Times New Roman"/>
          <w:b/>
          <w:bCs/>
          <w:color w:val="000000"/>
          <w:sz w:val="26"/>
          <w:szCs w:val="26"/>
        </w:rPr>
        <w:t xml:space="preserve">2.3 Comprehensive Feature Comparison Matrix</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1500"/>
        <w:gridCol w:w="1900"/>
        <w:gridCol w:w="1400"/>
        <w:gridCol w:w="1400"/>
        <w:gridCol w:w="1500"/>
        <w:gridCol w:w="1606"/>
      </w:tblGrid>
      <w:tr>
        <w:trPr>
          <w:cantSplit/>
          <w:tblHeader/>
        </w:trPr>
        <w:tc>
          <w:tcPr>
            <w:tcW w:type="dxa" w:w="1500"/>
            <w:shd w:fill="1F2937" w:val="clear"/>
          </w:tcPr>
          <w:p>
            <w:pPr>
              <w:spacing w:after="25" w:before="25" w:line="240"/>
              <w:jc w:val="center"/>
            </w:pPr>
            <w:r>
              <w:rPr>
                <w:rFonts w:ascii="Times New Roman" w:cs="Times New Roman" w:eastAsia="Times New Roman" w:hAnsi="Times New Roman"/>
                <w:b/>
                <w:bCs/>
                <w:color w:val="FFFFFF"/>
                <w:sz w:val="18"/>
                <w:szCs w:val="18"/>
              </w:rPr>
              <w:t xml:space="preserve">Feature / Metric</w:t>
            </w:r>
          </w:p>
        </w:tc>
        <w:tc>
          <w:tcPr>
            <w:tcW w:type="dxa" w:w="1900"/>
            <w:shd w:fill="1F2937" w:val="clear"/>
          </w:tcPr>
          <w:p>
            <w:pPr>
              <w:spacing w:after="25" w:before="25" w:line="240"/>
              <w:jc w:val="center"/>
            </w:pPr>
            <w:r>
              <w:rPr>
                <w:rFonts w:ascii="Times New Roman" w:cs="Times New Roman" w:eastAsia="Times New Roman" w:hAnsi="Times New Roman"/>
                <w:b/>
                <w:bCs/>
                <w:color w:val="FFFFFF"/>
                <w:sz w:val="18"/>
                <w:szCs w:val="18"/>
              </w:rPr>
              <w:t xml:space="preserve">AcademicGuard</w:t>
            </w:r>
          </w:p>
        </w:tc>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Turnitin</w:t>
            </w:r>
          </w:p>
        </w:tc>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Copyleaks</w:t>
            </w:r>
          </w:p>
        </w:tc>
        <w:tc>
          <w:tcPr>
            <w:tcW w:type="dxa" w:w="1500"/>
            <w:shd w:fill="1F2937" w:val="clear"/>
          </w:tcPr>
          <w:p>
            <w:pPr>
              <w:spacing w:after="25" w:before="25" w:line="240"/>
              <w:jc w:val="center"/>
            </w:pPr>
            <w:r>
              <w:rPr>
                <w:rFonts w:ascii="Times New Roman" w:cs="Times New Roman" w:eastAsia="Times New Roman" w:hAnsi="Times New Roman"/>
                <w:b/>
                <w:bCs/>
                <w:color w:val="FFFFFF"/>
                <w:sz w:val="18"/>
                <w:szCs w:val="18"/>
              </w:rPr>
              <w:t xml:space="preserve">GPTZero</w:t>
            </w:r>
          </w:p>
        </w:tc>
        <w:tc>
          <w:tcPr>
            <w:tcW w:type="dxa" w:w="1606"/>
            <w:shd w:fill="1F2937" w:val="clear"/>
          </w:tcPr>
          <w:p>
            <w:pPr>
              <w:spacing w:after="25" w:before="25" w:line="240"/>
              <w:jc w:val="center"/>
            </w:pPr>
            <w:r>
              <w:rPr>
                <w:rFonts w:ascii="Times New Roman" w:cs="Times New Roman" w:eastAsia="Times New Roman" w:hAnsi="Times New Roman"/>
                <w:b/>
                <w:bCs/>
                <w:color w:val="FFFFFF"/>
                <w:sz w:val="18"/>
                <w:szCs w:val="18"/>
              </w:rPr>
              <w:t xml:space="preserve">MOSS</w:t>
            </w:r>
          </w:p>
        </w:tc>
      </w:tr>
      <w:tr>
        <w:trPr>
          <w:cantSplit/>
        </w:trPr>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Deployment Architecture</w:t>
            </w:r>
          </w:p>
        </w:tc>
        <w:tc>
          <w:tcPr>
            <w:tcW w:type="dxa" w:w="1900"/>
          </w:tcPr>
          <w:p>
            <w:pPr>
              <w:spacing w:after="20" w:before="20" w:line="240"/>
              <w:jc w:val="left"/>
            </w:pPr>
            <w:r>
              <w:rPr>
                <w:rFonts w:ascii="Times New Roman" w:cs="Times New Roman" w:eastAsia="Times New Roman" w:hAnsi="Times New Roman"/>
                <w:b w:val="false"/>
                <w:bCs w:val="false"/>
                <w:color w:val="000000"/>
                <w:sz w:val="17"/>
                <w:szCs w:val="17"/>
              </w:rPr>
              <w:t xml:space="preserve">On-Premise / Air-Gapped</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Cloud-Hosted SaaS</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Cloud-Hosted SaaS</w:t>
            </w:r>
          </w:p>
        </w:tc>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Public API SaaS</w:t>
            </w:r>
          </w:p>
        </w:tc>
        <w:tc>
          <w:tcPr>
            <w:tcW w:type="dxa" w:w="1606"/>
          </w:tcPr>
          <w:p>
            <w:pPr>
              <w:spacing w:after="20" w:before="20" w:line="240"/>
              <w:jc w:val="left"/>
            </w:pPr>
            <w:r>
              <w:rPr>
                <w:rFonts w:ascii="Times New Roman" w:cs="Times New Roman" w:eastAsia="Times New Roman" w:hAnsi="Times New Roman"/>
                <w:b w:val="false"/>
                <w:bCs w:val="false"/>
                <w:color w:val="000000"/>
                <w:sz w:val="17"/>
                <w:szCs w:val="17"/>
              </w:rPr>
              <w:t xml:space="preserve">Remote Script</w:t>
            </w:r>
          </w:p>
        </w:tc>
      </w:tr>
      <w:tr>
        <w:trPr>
          <w:cantSplit/>
        </w:trPr>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AI Text Detection</w:t>
            </w:r>
          </w:p>
        </w:tc>
        <w:tc>
          <w:tcPr>
            <w:tcW w:type="dxa" w:w="19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(Dual Binoculars + DeBERTa-v3)</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(Proprietary, high ESL FPR)</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(Cloud API)</w:t>
            </w:r>
          </w:p>
        </w:tc>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(Perplexity-only)</w:t>
            </w:r>
          </w:p>
        </w:tc>
        <w:tc>
          <w:tcPr>
            <w:tcW w:type="dxa" w:w="16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r>
      <w:tr>
        <w:trPr>
          <w:cantSplit/>
        </w:trPr>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Semantic Paraphrase Engine</w:t>
            </w:r>
          </w:p>
        </w:tc>
        <w:tc>
          <w:tcPr>
            <w:tcW w:type="dxa" w:w="1900"/>
          </w:tcPr>
          <w:p>
            <w:pPr>
              <w:spacing w:after="20" w:before="20" w:line="240"/>
              <w:jc w:val="left"/>
            </w:pPr>
            <w:r>
              <w:rPr>
                <w:rFonts w:ascii="Times New Roman" w:cs="Times New Roman" w:eastAsia="Times New Roman" w:hAnsi="Times New Roman"/>
                <w:b w:val="false"/>
                <w:bCs w:val="false"/>
                <w:color w:val="000000"/>
                <w:sz w:val="17"/>
                <w:szCs w:val="17"/>
              </w:rPr>
              <w:t xml:space="preserve">✓ (MiniLM 384-dim Dense Vectors)</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Partial (Exact match corpus)</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 (Cloud API)</w:t>
            </w:r>
          </w:p>
        </w:tc>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c>
          <w:tcPr>
            <w:tcW w:type="dxa" w:w="1606"/>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r>
      <w:tr>
        <w:trPr>
          <w:cantSplit/>
        </w:trPr>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AST Code Forensics</w:t>
            </w:r>
          </w:p>
        </w:tc>
        <w:tc>
          <w:tcPr>
            <w:tcW w:type="dxa" w:w="19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(Tree-Sitter C/C++/Java/Python)</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Partial (Token-based)</w:t>
            </w:r>
          </w:p>
        </w:tc>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c>
          <w:tcPr>
            <w:tcW w:type="dxa" w:w="16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(Token Winnowing)</w:t>
            </w:r>
          </w:p>
        </w:tc>
      </w:tr>
      <w:tr>
        <w:trPr>
          <w:cantSplit/>
        </w:trPr>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Retrieval Complexity</w:t>
            </w:r>
          </w:p>
        </w:tc>
        <w:tc>
          <w:tcPr>
            <w:tcW w:type="dxa" w:w="1900"/>
          </w:tcPr>
          <w:p>
            <w:pPr>
              <w:spacing w:after="20" w:before="20" w:line="240"/>
              <w:jc w:val="left"/>
            </w:pPr>
            <w:r>
              <w:rPr>
                <w:rFonts w:ascii="Times New Roman" w:cs="Times New Roman" w:eastAsia="Times New Roman" w:hAnsi="Times New Roman"/>
                <w:b w:val="false"/>
                <w:bCs w:val="false"/>
                <w:color w:val="000000"/>
                <w:sz w:val="17"/>
                <w:szCs w:val="17"/>
              </w:rPr>
              <w:t xml:space="preserve">O(N log N) (MinHash + FAISS)</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O(N log N) (Clustered)</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O(N log N) (Cloud)</w:t>
            </w:r>
          </w:p>
        </w:tc>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N/A (Single query)</w:t>
            </w:r>
          </w:p>
        </w:tc>
        <w:tc>
          <w:tcPr>
            <w:tcW w:type="dxa" w:w="1606"/>
          </w:tcPr>
          <w:p>
            <w:pPr>
              <w:spacing w:after="20" w:before="20" w:line="240"/>
              <w:jc w:val="left"/>
            </w:pPr>
            <w:r>
              <w:rPr>
                <w:rFonts w:ascii="Times New Roman" w:cs="Times New Roman" w:eastAsia="Times New Roman" w:hAnsi="Times New Roman"/>
                <w:b w:val="false"/>
                <w:bCs w:val="false"/>
                <w:color w:val="000000"/>
                <w:sz w:val="17"/>
                <w:szCs w:val="17"/>
              </w:rPr>
              <w:t xml:space="preserve">O(N²) (Pairwise)</w:t>
            </w:r>
          </w:p>
        </w:tc>
      </w:tr>
      <w:tr>
        <w:trPr>
          <w:cantSplit/>
        </w:trPr>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ESL Bias Protection</w:t>
            </w:r>
          </w:p>
        </w:tc>
        <w:tc>
          <w:tcPr>
            <w:tcW w:type="dxa" w:w="19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(Confidence Banding Quarantine)</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 protection / &gt;15% FPR)</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 protection)</w:t>
            </w:r>
          </w:p>
        </w:tc>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(High ESL FPR)</w:t>
            </w:r>
          </w:p>
        </w:tc>
        <w:tc>
          <w:tcPr>
            <w:tcW w:type="dxa" w:w="16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N/A</w:t>
            </w:r>
          </w:p>
        </w:tc>
      </w:tr>
      <w:tr>
        <w:trPr>
          <w:cantSplit/>
        </w:trPr>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Continuous Retraining</w:t>
            </w:r>
          </w:p>
        </w:tc>
        <w:tc>
          <w:tcPr>
            <w:tcW w:type="dxa" w:w="1900"/>
          </w:tcPr>
          <w:p>
            <w:pPr>
              <w:spacing w:after="20" w:before="20" w:line="240"/>
              <w:jc w:val="left"/>
            </w:pPr>
            <w:r>
              <w:rPr>
                <w:rFonts w:ascii="Times New Roman" w:cs="Times New Roman" w:eastAsia="Times New Roman" w:hAnsi="Times New Roman"/>
                <w:b w:val="false"/>
                <w:bCs w:val="false"/>
                <w:color w:val="000000"/>
                <w:sz w:val="17"/>
                <w:szCs w:val="17"/>
              </w:rPr>
              <w:t xml:space="preserve">✓ (Active Learning + LoRA Head)</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 (Closed model)</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 (Closed model)</w:t>
            </w:r>
          </w:p>
        </w:tc>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 (Closed model)</w:t>
            </w:r>
          </w:p>
        </w:tc>
        <w:tc>
          <w:tcPr>
            <w:tcW w:type="dxa" w:w="1606"/>
          </w:tcPr>
          <w:p>
            <w:pPr>
              <w:spacing w:after="20" w:before="20" w:line="240"/>
              <w:jc w:val="left"/>
            </w:pPr>
            <w:r>
              <w:rPr>
                <w:rFonts w:ascii="Times New Roman" w:cs="Times New Roman" w:eastAsia="Times New Roman" w:hAnsi="Times New Roman"/>
                <w:b w:val="false"/>
                <w:bCs w:val="false"/>
                <w:color w:val="000000"/>
                <w:sz w:val="17"/>
                <w:szCs w:val="17"/>
              </w:rPr>
              <w:t xml:space="preserve">✗ (Static)</w:t>
            </w:r>
          </w:p>
        </w:tc>
      </w:tr>
      <w:tr>
        <w:trPr>
          <w:cantSplit/>
        </w:trPr>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Automated Grading Pipeline</w:t>
            </w:r>
          </w:p>
        </w:tc>
        <w:tc>
          <w:tcPr>
            <w:tcW w:type="dxa" w:w="19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(Configurable Deduction Rules)</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(Manual grading)</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c>
          <w:tcPr>
            <w:tcW w:type="dxa" w:w="15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c>
          <w:tcPr>
            <w:tcW w:type="dxa" w:w="16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 (None)</w:t>
            </w:r>
          </w:p>
        </w:tc>
      </w:tr>
      <w:tr>
        <w:trPr>
          <w:cantSplit/>
        </w:trPr>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Cost per 1,000 Submissions</w:t>
            </w:r>
          </w:p>
        </w:tc>
        <w:tc>
          <w:tcPr>
            <w:tcW w:type="dxa" w:w="1900"/>
          </w:tcPr>
          <w:p>
            <w:pPr>
              <w:spacing w:after="20" w:before="20" w:line="240"/>
              <w:jc w:val="left"/>
            </w:pPr>
            <w:r>
              <w:rPr>
                <w:rFonts w:ascii="Times New Roman" w:cs="Times New Roman" w:eastAsia="Times New Roman" w:hAnsi="Times New Roman"/>
                <w:b w:val="false"/>
                <w:bCs w:val="false"/>
                <w:color w:val="000000"/>
                <w:sz w:val="17"/>
                <w:szCs w:val="17"/>
              </w:rPr>
              <w:t xml:space="preserve">&lt; $0.50 (Self-hosted compute)</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$3,000–$5,000/yr</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$1,500–$3,000/yr</w:t>
            </w:r>
          </w:p>
        </w:tc>
        <w:tc>
          <w:tcPr>
            <w:tcW w:type="dxa" w:w="1500"/>
          </w:tcPr>
          <w:p>
            <w:pPr>
              <w:spacing w:after="20" w:before="20" w:line="240"/>
              <w:jc w:val="left"/>
            </w:pPr>
            <w:r>
              <w:rPr>
                <w:rFonts w:ascii="Times New Roman" w:cs="Times New Roman" w:eastAsia="Times New Roman" w:hAnsi="Times New Roman"/>
                <w:b w:val="false"/>
                <w:bCs w:val="false"/>
                <w:color w:val="000000"/>
                <w:sz w:val="17"/>
                <w:szCs w:val="17"/>
              </w:rPr>
              <w:t xml:space="preserve">$200–$500/yr</w:t>
            </w:r>
          </w:p>
        </w:tc>
        <w:tc>
          <w:tcPr>
            <w:tcW w:type="dxa" w:w="1606"/>
          </w:tcPr>
          <w:p>
            <w:pPr>
              <w:spacing w:after="20" w:before="20" w:line="240"/>
              <w:jc w:val="left"/>
            </w:pPr>
            <w:r>
              <w:rPr>
                <w:rFonts w:ascii="Times New Roman" w:cs="Times New Roman" w:eastAsia="Times New Roman" w:hAnsi="Times New Roman"/>
                <w:b w:val="false"/>
                <w:bCs w:val="false"/>
                <w:color w:val="000000"/>
                <w:sz w:val="17"/>
                <w:szCs w:val="17"/>
              </w:rPr>
              <w:t xml:space="preserve">Free (Code only)</w:t>
            </w:r>
          </w:p>
        </w:tc>
      </w:tr>
    </w:tbl>
    <w:p>
      <w:pPr>
        <w:spacing w:after="60" w:before="30" w:line="240"/>
        <w:jc w:val="center"/>
      </w:pPr>
      <w:r>
        <w:rPr>
          <w:rFonts w:ascii="Times New Roman" w:cs="Times New Roman" w:eastAsia="Times New Roman" w:hAnsi="Times New Roman"/>
          <w:i/>
          <w:iCs/>
          <w:color w:val="1F2937"/>
          <w:sz w:val="18"/>
          <w:szCs w:val="18"/>
        </w:rPr>
        <w:t xml:space="preserve">Table 1: Comprehensive Multi-Modal Feature Comparison Matrix</w:t>
      </w:r>
    </w:p>
    <w:p>
      <w:r>
        <w:br w:type="page"/>
      </w:r>
    </w:p>
    <w:p>
      <w:pPr>
        <w:pStyle w:val="Heading1"/>
        <w:spacing w:after="40" w:before="120" w:line="240"/>
      </w:pPr>
      <w:r>
        <w:rPr>
          <w:rFonts w:ascii="Times New Roman" w:cs="Times New Roman" w:eastAsia="Times New Roman" w:hAnsi="Times New Roman"/>
          <w:b/>
          <w:bCs/>
          <w:color w:val="000000"/>
          <w:sz w:val="30"/>
          <w:szCs w:val="30"/>
        </w:rPr>
        <w:t xml:space="preserve">3. Risks, Ethics &amp; Algorithmic Fairness</w:t>
      </w:r>
    </w:p>
    <w:p>
      <w:pPr>
        <w:pStyle w:val="Heading2"/>
        <w:spacing w:after="30" w:before="80" w:line="240"/>
      </w:pPr>
      <w:r>
        <w:rPr>
          <w:rFonts w:ascii="Times New Roman" w:cs="Times New Roman" w:eastAsia="Times New Roman" w:hAnsi="Times New Roman"/>
          <w:b/>
          <w:bCs/>
          <w:color w:val="000000"/>
          <w:sz w:val="26"/>
          <w:szCs w:val="26"/>
        </w:rPr>
        <w:t xml:space="preserve">3.1 Non-Native English (ESL) Bias &amp; Confidence Threshold Banding</w:t>
      </w:r>
    </w:p>
    <w:p>
      <w:pPr>
        <w:spacing w:after="30" w:before="0" w:line="240"/>
        <w:jc w:val="both"/>
      </w:pPr>
      <w:r>
        <w:rPr>
          <w:rFonts w:ascii="Times New Roman" w:cs="Times New Roman" w:eastAsia="Times New Roman" w:hAnsi="Times New Roman"/>
          <w:sz w:val="24"/>
          <w:szCs w:val="24"/>
        </w:rPr>
        <w:t xml:space="preserve">A critical ethical vulnerability in contemporary AI detection is the systematic penalization of non-native English (ESL) writers. Statistical classifiers rely heavily on perplexity and burstiness metrics; because non-native writers naturally utilize constrained vocabularies and predictable sentence structures, baseline models frequently misclassify authentic student writing as synthetic LLM output.</w:t>
      </w:r>
    </w:p>
    <w:p>
      <w:pPr>
        <w:spacing w:after="30" w:before="0" w:line="240"/>
        <w:jc w:val="both"/>
      </w:pPr>
      <w:r>
        <w:rPr>
          <w:rFonts w:ascii="Times New Roman" w:cs="Times New Roman" w:eastAsia="Times New Roman" w:hAnsi="Times New Roman"/>
          <w:sz w:val="24"/>
          <w:szCs w:val="24"/>
        </w:rPr>
        <w:t xml:space="preserve">AcademicGuard mitigates this injustice through deterministic Algorithmic Confidence Threshold Banding. The system partitions model output probability P_AI into three strictly enforced operational tiers:</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Decision(P_AI) = { AUTHENTIC_HUMAN: P_AI &lt; 0.40;  INCONCLUSIVE_REVIEW: 0.40 ≤ P_AI ≤ 0.75;  PROBABLE_SYNTHETIC: P_AI &gt; 0.75 }</w:t>
      </w:r>
      <w:r>
        <w:rPr>
          <w:rFonts w:ascii="Times New Roman" w:cs="Times New Roman" w:eastAsia="Times New Roman" w:hAnsi="Times New Roman"/>
          <w:b/>
          <w:bCs/>
          <w:color w:val="1F2937"/>
          <w:sz w:val="18"/>
          <w:szCs w:val="18"/>
        </w:rPr>
        <w:t xml:space="preserve">   (1)</w:t>
      </w:r>
    </w:p>
    <w:p>
      <w:pPr>
        <w:spacing w:after="30" w:before="0" w:line="240"/>
        <w:jc w:val="both"/>
      </w:pPr>
      <w:r>
        <w:rPr>
          <w:rFonts w:ascii="Times New Roman" w:cs="Times New Roman" w:eastAsia="Times New Roman" w:hAnsi="Times New Roman"/>
          <w:sz w:val="24"/>
          <w:szCs w:val="24"/>
        </w:rPr>
        <w:t xml:space="preserve">Mandatory Institutional Safeguard: When P_AI falls within the inconclusive band [0.40, 0.75], AcademicGuard strictly prohibits automated grade deductions or punitive flagging. The submission is routed to an instructor review queue accompanied by sentence-level perplexity variance heatmaps and lexical density diagnostics, ensuring human pedagogy remains the final arbiter.</w:t>
      </w:r>
    </w:p>
    <w:p>
      <w:pPr>
        <w:pStyle w:val="Heading2"/>
        <w:spacing w:after="30" w:before="80" w:line="240"/>
      </w:pPr>
      <w:r>
        <w:rPr>
          <w:rFonts w:ascii="Times New Roman" w:cs="Times New Roman" w:eastAsia="Times New Roman" w:hAnsi="Times New Roman"/>
          <w:b/>
          <w:bCs/>
          <w:color w:val="000000"/>
          <w:sz w:val="26"/>
          <w:szCs w:val="26"/>
        </w:rPr>
        <w:t xml:space="preserve">3.2 Adversarial Evasion &amp; Multi-Layer Sanitization</w:t>
      </w:r>
    </w:p>
    <w:p>
      <w:pPr>
        <w:spacing w:after="30" w:before="0" w:line="240"/>
        <w:jc w:val="both"/>
      </w:pPr>
      <w:r>
        <w:rPr>
          <w:rFonts w:ascii="Times New Roman" w:cs="Times New Roman" w:eastAsia="Times New Roman" w:hAnsi="Times New Roman"/>
          <w:sz w:val="24"/>
          <w:szCs w:val="24"/>
        </w:rPr>
        <w:t xml:space="preserve">Sophisticated actors attempt to evade detection using typographic manipulation (zero-width Unicode insertions U+200B/U+FEFF, Cyrillic homoglyph substitution), multi-round machine paraphrasing, and code refactoring. AcademicGuard deploys a multi-layered defense pipeline:</w:t>
      </w:r>
    </w:p>
    <w:p>
      <w:pPr>
        <w:pStyle w:val="ListParagraph"/>
        <w:numPr>
          <w:ilvl w:val="0"/>
          <w:numId w:val="2"/>
        </w:numPr>
        <w:spacing w:after="25" w:line="240"/>
        <w:jc w:val="both"/>
      </w:pPr>
      <w:r>
        <w:rPr>
          <w:rFonts w:ascii="Times New Roman" w:cs="Times New Roman" w:eastAsia="Times New Roman" w:hAnsi="Times New Roman"/>
          <w:sz w:val="24"/>
          <w:szCs w:val="24"/>
        </w:rPr>
        <w:t xml:space="preserve">Layer 1 (Text Normalization): Unicode Normalization Form KC (NFKC) sanitization, zero-width stripping, and homoglyph canonicalization.</w:t>
      </w:r>
    </w:p>
    <w:p>
      <w:pPr>
        <w:pStyle w:val="ListParagraph"/>
        <w:numPr>
          <w:ilvl w:val="0"/>
          <w:numId w:val="2"/>
        </w:numPr>
        <w:spacing w:after="25" w:line="240"/>
        <w:jc w:val="both"/>
      </w:pPr>
      <w:r>
        <w:rPr>
          <w:rFonts w:ascii="Times New Roman" w:cs="Times New Roman" w:eastAsia="Times New Roman" w:hAnsi="Times New Roman"/>
          <w:sz w:val="24"/>
          <w:szCs w:val="24"/>
        </w:rPr>
        <w:t xml:space="preserve">Layer 2 (Dense Semantic Invariance): 384-dimensional dense sentence embeddings capture underlying conceptual semantics, rendering surface-level lexical substitutions ineffective.</w:t>
      </w:r>
    </w:p>
    <w:p>
      <w:pPr>
        <w:pStyle w:val="ListParagraph"/>
        <w:numPr>
          <w:ilvl w:val="0"/>
          <w:numId w:val="2"/>
        </w:numPr>
        <w:spacing w:after="25" w:line="240"/>
        <w:jc w:val="both"/>
      </w:pPr>
      <w:r>
        <w:rPr>
          <w:rFonts w:ascii="Times New Roman" w:cs="Times New Roman" w:eastAsia="Times New Roman" w:hAnsi="Times New Roman"/>
          <w:sz w:val="24"/>
          <w:szCs w:val="24"/>
        </w:rPr>
        <w:t xml:space="preserve">Layer 3 (AST Structure Invariance): Tree-Sitter parsers strip comments, whitespace, and normalize variable scopes to positional tokens, defeating code obfuscation.</w:t>
      </w:r>
    </w:p>
    <w:p>
      <w:pPr>
        <w:pStyle w:val="Heading2"/>
        <w:spacing w:after="30" w:before="80" w:line="240"/>
      </w:pPr>
      <w:r>
        <w:rPr>
          <w:rFonts w:ascii="Times New Roman" w:cs="Times New Roman" w:eastAsia="Times New Roman" w:hAnsi="Times New Roman"/>
          <w:b/>
          <w:bCs/>
          <w:color w:val="000000"/>
          <w:sz w:val="26"/>
          <w:szCs w:val="26"/>
        </w:rPr>
        <w:t xml:space="preserve">3.3 Data Privacy, FERPA Compliance &amp; Sovereign Academic Data</w:t>
      </w:r>
    </w:p>
    <w:p>
      <w:pPr>
        <w:spacing w:after="30" w:before="0" w:line="240"/>
        <w:jc w:val="both"/>
      </w:pPr>
      <w:r>
        <w:rPr>
          <w:rFonts w:ascii="Times New Roman" w:cs="Times New Roman" w:eastAsia="Times New Roman" w:hAnsi="Times New Roman"/>
          <w:sz w:val="24"/>
          <w:szCs w:val="24"/>
        </w:rPr>
        <w:t xml:space="preserve">Student submissions constitute legally protected educational records under FERPA, GDPR, and Bangladesh's Cyber Security Act 2023. Transmitting academic work to external commercial clouds exposes unpublished research and student data to unauthorized aggregation. AcademicGuard's air-gapped, on-premise deployment ensures zero data exfiltration, preserving full institutional sovereignty.</w:t>
      </w:r>
    </w:p>
    <w:p>
      <w:pPr>
        <w:pStyle w:val="Heading2"/>
        <w:spacing w:after="30" w:before="80" w:line="240"/>
      </w:pPr>
      <w:r>
        <w:rPr>
          <w:rFonts w:ascii="Times New Roman" w:cs="Times New Roman" w:eastAsia="Times New Roman" w:hAnsi="Times New Roman"/>
          <w:b/>
          <w:bCs/>
          <w:color w:val="000000"/>
          <w:sz w:val="26"/>
          <w:szCs w:val="26"/>
        </w:rPr>
        <w:t xml:space="preserve">3.4 Comprehensive Risk-Mitigation Matrix</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1400"/>
        <w:gridCol w:w="2000"/>
        <w:gridCol w:w="1100"/>
        <w:gridCol w:w="4806"/>
      </w:tblGrid>
      <w:tr>
        <w:trPr>
          <w:cantSplit/>
          <w:tblHeader/>
        </w:trPr>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Risk Domain</w:t>
            </w:r>
          </w:p>
        </w:tc>
        <w:tc>
          <w:tcPr>
            <w:tcW w:type="dxa" w:w="20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Technical Threat</w:t>
            </w:r>
          </w:p>
        </w:tc>
        <w:tc>
          <w:tcPr>
            <w:tcW w:type="dxa" w:w="1100"/>
            <w:shd w:fill="1F2937" w:val="clear"/>
          </w:tcPr>
          <w:p>
            <w:pPr>
              <w:spacing w:after="25" w:before="25" w:line="240"/>
              <w:jc w:val="center"/>
            </w:pPr>
            <w:r>
              <w:rPr>
                <w:rFonts w:ascii="Times New Roman" w:cs="Times New Roman" w:eastAsia="Times New Roman" w:hAnsi="Times New Roman"/>
                <w:b/>
                <w:bCs/>
                <w:color w:val="FFFFFF"/>
                <w:sz w:val="18"/>
                <w:szCs w:val="18"/>
              </w:rPr>
              <w:t xml:space="preserve">Severity</w:t>
            </w:r>
          </w:p>
        </w:tc>
        <w:tc>
          <w:tcPr>
            <w:tcW w:type="dxa" w:w="4806"/>
            <w:shd w:fill="1F2937" w:val="clear"/>
          </w:tcPr>
          <w:p>
            <w:pPr>
              <w:spacing w:after="25" w:before="25" w:line="240"/>
              <w:jc w:val="center"/>
            </w:pPr>
            <w:r>
              <w:rPr>
                <w:rFonts w:ascii="Times New Roman" w:cs="Times New Roman" w:eastAsia="Times New Roman" w:hAnsi="Times New Roman"/>
                <w:b/>
                <w:bCs/>
                <w:color w:val="FFFFFF"/>
                <w:sz w:val="18"/>
                <w:szCs w:val="18"/>
              </w:rPr>
              <w:t xml:space="preserve">Algorithmic / Architectural Mitigation</w:t>
            </w:r>
          </w:p>
        </w:tc>
      </w:tr>
      <w:tr>
        <w:trPr>
          <w:cantSplit/>
        </w:trPr>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Algorithmic Bias</w:t>
            </w:r>
          </w:p>
        </w:tc>
        <w:tc>
          <w:tcPr>
            <w:tcW w:type="dxa" w:w="2000"/>
          </w:tcPr>
          <w:p>
            <w:pPr>
              <w:spacing w:after="20" w:before="20" w:line="240"/>
              <w:jc w:val="left"/>
            </w:pPr>
            <w:r>
              <w:rPr>
                <w:rFonts w:ascii="Times New Roman" w:cs="Times New Roman" w:eastAsia="Times New Roman" w:hAnsi="Times New Roman"/>
                <w:b w:val="false"/>
                <w:bCs w:val="false"/>
                <w:color w:val="000000"/>
                <w:sz w:val="17"/>
                <w:szCs w:val="17"/>
              </w:rPr>
              <w:t xml:space="preserve">ESL Low-Perplexity False Positives</w:t>
            </w:r>
          </w:p>
        </w:tc>
        <w:tc>
          <w:tcPr>
            <w:tcW w:type="dxa" w:w="1100"/>
          </w:tcPr>
          <w:p>
            <w:pPr>
              <w:spacing w:after="20" w:before="20" w:line="240"/>
              <w:jc w:val="left"/>
            </w:pPr>
            <w:r>
              <w:rPr>
                <w:rFonts w:ascii="Times New Roman" w:cs="Times New Roman" w:eastAsia="Times New Roman" w:hAnsi="Times New Roman"/>
                <w:b w:val="false"/>
                <w:bCs w:val="false"/>
                <w:color w:val="000000"/>
                <w:sz w:val="17"/>
                <w:szCs w:val="17"/>
              </w:rPr>
              <w:t xml:space="preserve">Critical</w:t>
            </w:r>
          </w:p>
        </w:tc>
        <w:tc>
          <w:tcPr>
            <w:tcW w:type="dxa" w:w="4806"/>
          </w:tcPr>
          <w:p>
            <w:pPr>
              <w:spacing w:after="20" w:before="20" w:line="240"/>
              <w:jc w:val="left"/>
            </w:pPr>
            <w:r>
              <w:rPr>
                <w:rFonts w:ascii="Times New Roman" w:cs="Times New Roman" w:eastAsia="Times New Roman" w:hAnsi="Times New Roman"/>
                <w:b w:val="false"/>
                <w:bCs w:val="false"/>
                <w:color w:val="000000"/>
                <w:sz w:val="17"/>
                <w:szCs w:val="17"/>
              </w:rPr>
              <w:t xml:space="preserve">Confidence Banding ([0.40, 0.75] → Review); Zero automated deduction</w:t>
            </w:r>
          </w:p>
        </w:tc>
      </w:tr>
      <w:tr>
        <w:trPr>
          <w:cantSplit/>
        </w:trPr>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Adversarial Evasion</w:t>
            </w:r>
          </w:p>
        </w:tc>
        <w:tc>
          <w:tcPr>
            <w:tcW w:type="dxa" w:w="20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Unicode Homoglyphs &amp; Zero-Width Spaces</w:t>
            </w:r>
          </w:p>
        </w:tc>
        <w:tc>
          <w:tcPr>
            <w:tcW w:type="dxa" w:w="11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High</w:t>
            </w:r>
          </w:p>
        </w:tc>
        <w:tc>
          <w:tcPr>
            <w:tcW w:type="dxa" w:w="48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NFKC Unicode canonicalization, zero-width filter, regex token cleanser</w:t>
            </w:r>
          </w:p>
        </w:tc>
      </w:tr>
      <w:tr>
        <w:trPr>
          <w:cantSplit/>
        </w:trPr>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Code Obfuscation</w:t>
            </w:r>
          </w:p>
        </w:tc>
        <w:tc>
          <w:tcPr>
            <w:tcW w:type="dxa" w:w="2000"/>
          </w:tcPr>
          <w:p>
            <w:pPr>
              <w:spacing w:after="20" w:before="20" w:line="240"/>
              <w:jc w:val="left"/>
            </w:pPr>
            <w:r>
              <w:rPr>
                <w:rFonts w:ascii="Times New Roman" w:cs="Times New Roman" w:eastAsia="Times New Roman" w:hAnsi="Times New Roman"/>
                <w:b w:val="false"/>
                <w:bCs w:val="false"/>
                <w:color w:val="000000"/>
                <w:sz w:val="17"/>
                <w:szCs w:val="17"/>
              </w:rPr>
              <w:t xml:space="preserve">Variable renaming, statement reordering</w:t>
            </w:r>
          </w:p>
        </w:tc>
        <w:tc>
          <w:tcPr>
            <w:tcW w:type="dxa" w:w="1100"/>
          </w:tcPr>
          <w:p>
            <w:pPr>
              <w:spacing w:after="20" w:before="20" w:line="240"/>
              <w:jc w:val="left"/>
            </w:pPr>
            <w:r>
              <w:rPr>
                <w:rFonts w:ascii="Times New Roman" w:cs="Times New Roman" w:eastAsia="Times New Roman" w:hAnsi="Times New Roman"/>
                <w:b w:val="false"/>
                <w:bCs w:val="false"/>
                <w:color w:val="000000"/>
                <w:sz w:val="17"/>
                <w:szCs w:val="17"/>
              </w:rPr>
              <w:t xml:space="preserve">High</w:t>
            </w:r>
          </w:p>
        </w:tc>
        <w:tc>
          <w:tcPr>
            <w:tcW w:type="dxa" w:w="4806"/>
          </w:tcPr>
          <w:p>
            <w:pPr>
              <w:spacing w:after="20" w:before="20" w:line="240"/>
              <w:jc w:val="left"/>
            </w:pPr>
            <w:r>
              <w:rPr>
                <w:rFonts w:ascii="Times New Roman" w:cs="Times New Roman" w:eastAsia="Times New Roman" w:hAnsi="Times New Roman"/>
                <w:b w:val="false"/>
                <w:bCs w:val="false"/>
                <w:color w:val="000000"/>
                <w:sz w:val="17"/>
                <w:szCs w:val="17"/>
              </w:rPr>
              <w:t xml:space="preserve">Tree-Sitter multi-language AST normalization &amp; Subtree Isomorphism Kernel</w:t>
            </w:r>
          </w:p>
        </w:tc>
      </w:tr>
      <w:tr>
        <w:trPr>
          <w:cantSplit/>
        </w:trPr>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Paraphrasing Evasion</w:t>
            </w:r>
          </w:p>
        </w:tc>
        <w:tc>
          <w:tcPr>
            <w:tcW w:type="dxa" w:w="20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Multi-pass LLM re-prompting</w:t>
            </w:r>
          </w:p>
        </w:tc>
        <w:tc>
          <w:tcPr>
            <w:tcW w:type="dxa" w:w="11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Medium</w:t>
            </w:r>
          </w:p>
        </w:tc>
        <w:tc>
          <w:tcPr>
            <w:tcW w:type="dxa" w:w="48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Dense 384-dim vector cosine similarity in latent semantic embedding space</w:t>
            </w:r>
          </w:p>
        </w:tc>
      </w:tr>
      <w:tr>
        <w:trPr>
          <w:cantSplit/>
        </w:trPr>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Data Sovereignty</w:t>
            </w:r>
          </w:p>
        </w:tc>
        <w:tc>
          <w:tcPr>
            <w:tcW w:type="dxa" w:w="2000"/>
          </w:tcPr>
          <w:p>
            <w:pPr>
              <w:spacing w:after="20" w:before="20" w:line="240"/>
              <w:jc w:val="left"/>
            </w:pPr>
            <w:r>
              <w:rPr>
                <w:rFonts w:ascii="Times New Roman" w:cs="Times New Roman" w:eastAsia="Times New Roman" w:hAnsi="Times New Roman"/>
                <w:b w:val="false"/>
                <w:bCs w:val="false"/>
                <w:color w:val="000000"/>
                <w:sz w:val="17"/>
                <w:szCs w:val="17"/>
              </w:rPr>
              <w:t xml:space="preserve">Student IP / Thesis exfiltration</w:t>
            </w:r>
          </w:p>
        </w:tc>
        <w:tc>
          <w:tcPr>
            <w:tcW w:type="dxa" w:w="1100"/>
          </w:tcPr>
          <w:p>
            <w:pPr>
              <w:spacing w:after="20" w:before="20" w:line="240"/>
              <w:jc w:val="left"/>
            </w:pPr>
            <w:r>
              <w:rPr>
                <w:rFonts w:ascii="Times New Roman" w:cs="Times New Roman" w:eastAsia="Times New Roman" w:hAnsi="Times New Roman"/>
                <w:b w:val="false"/>
                <w:bCs w:val="false"/>
                <w:color w:val="000000"/>
                <w:sz w:val="17"/>
                <w:szCs w:val="17"/>
              </w:rPr>
              <w:t xml:space="preserve">Critical</w:t>
            </w:r>
          </w:p>
        </w:tc>
        <w:tc>
          <w:tcPr>
            <w:tcW w:type="dxa" w:w="4806"/>
          </w:tcPr>
          <w:p>
            <w:pPr>
              <w:spacing w:after="20" w:before="20" w:line="240"/>
              <w:jc w:val="left"/>
            </w:pPr>
            <w:r>
              <w:rPr>
                <w:rFonts w:ascii="Times New Roman" w:cs="Times New Roman" w:eastAsia="Times New Roman" w:hAnsi="Times New Roman"/>
                <w:b w:val="false"/>
                <w:bCs w:val="false"/>
                <w:color w:val="000000"/>
                <w:sz w:val="17"/>
                <w:szCs w:val="17"/>
              </w:rPr>
              <w:t xml:space="preserve">100% on-premise execution; local PostgreSQL &amp; FAISS storage; zero external API egress</w:t>
            </w:r>
          </w:p>
        </w:tc>
      </w:tr>
      <w:tr>
        <w:trPr>
          <w:cantSplit/>
        </w:trPr>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Automation Bias</w:t>
            </w:r>
          </w:p>
        </w:tc>
        <w:tc>
          <w:tcPr>
            <w:tcW w:type="dxa" w:w="20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Over-reliance on automated AI scoring</w:t>
            </w:r>
          </w:p>
        </w:tc>
        <w:tc>
          <w:tcPr>
            <w:tcW w:type="dxa" w:w="11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Medium</w:t>
            </w:r>
          </w:p>
        </w:tc>
        <w:tc>
          <w:tcPr>
            <w:tcW w:type="dxa" w:w="48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Transparent scoring breakdown, itemized rubric audits, instructor override</w:t>
            </w:r>
          </w:p>
        </w:tc>
      </w:tr>
    </w:tbl>
    <w:p>
      <w:pPr>
        <w:spacing w:after="60" w:before="30" w:line="240"/>
        <w:jc w:val="center"/>
      </w:pPr>
      <w:r>
        <w:rPr>
          <w:rFonts w:ascii="Times New Roman" w:cs="Times New Roman" w:eastAsia="Times New Roman" w:hAnsi="Times New Roman"/>
          <w:i/>
          <w:iCs/>
          <w:color w:val="1F2937"/>
          <w:sz w:val="18"/>
          <w:szCs w:val="18"/>
        </w:rPr>
        <w:t xml:space="preserve">Table 2: Comprehensive Risk-Mitigation Matrix</w:t>
      </w:r>
    </w:p>
    <w:p>
      <w:r>
        <w:br w:type="page"/>
      </w:r>
    </w:p>
    <w:p>
      <w:pPr>
        <w:pStyle w:val="Heading1"/>
        <w:spacing w:after="40" w:before="120" w:line="240"/>
      </w:pPr>
      <w:r>
        <w:rPr>
          <w:rFonts w:ascii="Times New Roman" w:cs="Times New Roman" w:eastAsia="Times New Roman" w:hAnsi="Times New Roman"/>
          <w:b/>
          <w:bCs/>
          <w:color w:val="000000"/>
          <w:sz w:val="30"/>
          <w:szCs w:val="30"/>
        </w:rPr>
        <w:t xml:space="preserve">4. System Architecture &amp; AI Methodologies</w:t>
      </w:r>
    </w:p>
    <w:p>
      <w:pPr>
        <w:pStyle w:val="Heading2"/>
        <w:spacing w:after="30" w:before="80" w:line="240"/>
      </w:pPr>
      <w:r>
        <w:rPr>
          <w:rFonts w:ascii="Times New Roman" w:cs="Times New Roman" w:eastAsia="Times New Roman" w:hAnsi="Times New Roman"/>
          <w:b/>
          <w:bCs/>
          <w:color w:val="000000"/>
          <w:sz w:val="26"/>
          <w:szCs w:val="26"/>
        </w:rPr>
        <w:t xml:space="preserve">4.1 End-to-End System Pipeline</w:t>
      </w:r>
    </w:p>
    <w:p>
      <w:pPr>
        <w:spacing w:after="30" w:before="0" w:line="240"/>
        <w:jc w:val="both"/>
      </w:pPr>
      <w:r>
        <w:rPr>
          <w:rFonts w:ascii="Times New Roman" w:cs="Times New Roman" w:eastAsia="Times New Roman" w:hAnsi="Times New Roman"/>
          <w:sz w:val="24"/>
          <w:szCs w:val="24"/>
        </w:rPr>
        <w:t xml:space="preserve">AcademicGuard implements an asynchronous, containerized micro-monolith orchestrated via FastAPI, Redis Celery task queues, and PostgreSQL 15 (Figure 1). CPU-intensive inference tasks are offloaded from the asynchronous event loop to dedicated worker pools, guaranteeing sub-second API responsiveness even during large batch uploads.</w:t>
      </w:r>
    </w:p>
    <w:p>
      <w:pPr>
        <w:spacing w:after="30" w:before="30"/>
        <w:jc w:val="center"/>
      </w:pPr>
      <w:r>
        <w:drawing>
          <wp:inline distT="0" distB="0" distL="0" distR="0">
            <wp:extent cx="512064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377440"/>
                    </a:xfrm>
                    <a:prstGeom prst="rect">
                      <a:avLst/>
                    </a:prstGeom>
                  </pic:spPr>
                </pic:pic>
              </a:graphicData>
            </a:graphic>
          </wp:inline>
        </w:drawing>
      </w:r>
    </w:p>
    <w:p>
      <w:pPr>
        <w:spacing w:after="60" w:before="30" w:line="240"/>
        <w:jc w:val="center"/>
      </w:pPr>
      <w:r>
        <w:rPr>
          <w:rFonts w:ascii="Times New Roman" w:cs="Times New Roman" w:eastAsia="Times New Roman" w:hAnsi="Times New Roman"/>
          <w:i/>
          <w:iCs/>
          <w:color w:val="1F2937"/>
          <w:sz w:val="18"/>
          <w:szCs w:val="18"/>
        </w:rPr>
        <w:t xml:space="preserve">Figure 1: End-to-End Multi-Modal Ingestion &amp; Analysis Architecture</w:t>
      </w:r>
    </w:p>
    <w:p>
      <w:pPr>
        <w:pStyle w:val="Heading2"/>
        <w:spacing w:after="30" w:before="80" w:line="240"/>
      </w:pPr>
      <w:r>
        <w:rPr>
          <w:rFonts w:ascii="Times New Roman" w:cs="Times New Roman" w:eastAsia="Times New Roman" w:hAnsi="Times New Roman"/>
          <w:b/>
          <w:bCs/>
          <w:color w:val="000000"/>
          <w:sz w:val="26"/>
          <w:szCs w:val="26"/>
        </w:rPr>
        <w:t xml:space="preserve">4.2 Hybrid Plagiarism Engine: Sublinear TF-IDF + Dense MiniLM Semantic Vectors</w:t>
      </w:r>
    </w:p>
    <w:p>
      <w:pPr>
        <w:spacing w:after="30" w:before="0" w:line="240"/>
        <w:jc w:val="both"/>
      </w:pPr>
      <w:r>
        <w:rPr>
          <w:rFonts w:ascii="Times New Roman" w:cs="Times New Roman" w:eastAsia="Times New Roman" w:hAnsi="Times New Roman"/>
          <w:sz w:val="24"/>
          <w:szCs w:val="24"/>
        </w:rPr>
        <w:t xml:space="preserve">The text similarity engine fuses lexical and dense semantic representations to detect both verbatim copying and sophisticated paraphrasing across large document corpora:</w:t>
      </w:r>
    </w:p>
    <w:p>
      <w:pPr>
        <w:pStyle w:val="Heading3"/>
        <w:spacing w:after="20" w:before="60" w:line="240"/>
      </w:pPr>
      <w:r>
        <w:rPr>
          <w:rFonts w:ascii="Times New Roman" w:cs="Times New Roman" w:eastAsia="Times New Roman" w:hAnsi="Times New Roman"/>
          <w:b/>
          <w:bCs/>
          <w:color w:val="1F2937"/>
          <w:sz w:val="24"/>
          <w:szCs w:val="24"/>
        </w:rPr>
        <w:t xml:space="preserve">4.2.1 Lexical Similarity via Sublinear TF-IDF</w:t>
      </w:r>
    </w:p>
    <w:p>
      <w:pPr>
        <w:spacing w:after="30" w:before="0" w:line="240"/>
        <w:jc w:val="both"/>
      </w:pPr>
      <w:r>
        <w:rPr>
          <w:rFonts w:ascii="Times New Roman" w:cs="Times New Roman" w:eastAsia="Times New Roman" w:hAnsi="Times New Roman"/>
          <w:sz w:val="24"/>
          <w:szCs w:val="24"/>
        </w:rPr>
        <w:t xml:space="preserve">Preprocessed text (lowercase, stopword removal, WordNet lemmatization) is vectorized using sublinear TF scaling (1 + log(tf)) with unigrams and bigrams across a 10,000-feature vocabulary. Cosine similarity evaluates lexical token overlap:</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Cosine_Sim(u_tfidf, v_tfidf) = (u_tfidf · v_tfidf) / ( ||u_tfidf||₂ × ||v_tfidf||₂ )</w:t>
      </w:r>
      <w:r>
        <w:rPr>
          <w:rFonts w:ascii="Times New Roman" w:cs="Times New Roman" w:eastAsia="Times New Roman" w:hAnsi="Times New Roman"/>
          <w:b/>
          <w:bCs/>
          <w:color w:val="1F2937"/>
          <w:sz w:val="18"/>
          <w:szCs w:val="18"/>
        </w:rPr>
        <w:t xml:space="preserve">   (2)</w:t>
      </w:r>
    </w:p>
    <w:p>
      <w:pPr>
        <w:pStyle w:val="Heading3"/>
        <w:spacing w:after="20" w:before="60" w:line="240"/>
      </w:pPr>
      <w:r>
        <w:rPr>
          <w:rFonts w:ascii="Times New Roman" w:cs="Times New Roman" w:eastAsia="Times New Roman" w:hAnsi="Times New Roman"/>
          <w:b/>
          <w:bCs/>
          <w:color w:val="1F2937"/>
          <w:sz w:val="24"/>
          <w:szCs w:val="24"/>
        </w:rPr>
        <w:t xml:space="preserve">4.2.2 Semantic Similarity via Dense Sentence Embeddings</w:t>
      </w:r>
    </w:p>
    <w:p>
      <w:pPr>
        <w:spacing w:after="30" w:before="0" w:line="240"/>
        <w:jc w:val="both"/>
      </w:pPr>
      <w:r>
        <w:rPr>
          <w:rFonts w:ascii="Times New Roman" w:cs="Times New Roman" w:eastAsia="Times New Roman" w:hAnsi="Times New Roman"/>
          <w:sz w:val="24"/>
          <w:szCs w:val="24"/>
        </w:rPr>
        <w:t xml:space="preserve">To detect conceptual paraphrasing that evades lexical matching, text is encoded into 384-dimensional dense vectors using the locally deployed all-MiniLM-L6-v2 Sentence-Transformer. The unit-normalized vector e ∈ ℝ³⁸⁴ captures deep contextual semantics.</w:t>
      </w:r>
    </w:p>
    <w:p>
      <w:pPr>
        <w:pStyle w:val="Heading3"/>
        <w:spacing w:after="20" w:before="60" w:line="240"/>
      </w:pPr>
      <w:r>
        <w:rPr>
          <w:rFonts w:ascii="Times New Roman" w:cs="Times New Roman" w:eastAsia="Times New Roman" w:hAnsi="Times New Roman"/>
          <w:b/>
          <w:bCs/>
          <w:color w:val="1F2937"/>
          <w:sz w:val="24"/>
          <w:szCs w:val="24"/>
        </w:rPr>
        <w:t xml:space="preserve">4.2.3 Fused Multi-Modal Text Similarity Score</w:t>
      </w:r>
    </w:p>
    <w:p>
      <w:pPr>
        <w:spacing w:after="30" w:before="0" w:line="240"/>
        <w:jc w:val="both"/>
      </w:pPr>
      <w:r>
        <w:rPr>
          <w:rFonts w:ascii="Times New Roman" w:cs="Times New Roman" w:eastAsia="Times New Roman" w:hAnsi="Times New Roman"/>
          <w:sz w:val="24"/>
          <w:szCs w:val="24"/>
        </w:rPr>
        <w:t xml:space="preserve">Lexical and semantic similarity scores are linearly fused using empirically calibrated weights:</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Score_text = 0.40 × Cosine_Sim(u_tfidf, v_tfidf) + 0.60 × Cosine_Sim(u_dense, v_dense)</w:t>
      </w:r>
      <w:r>
        <w:rPr>
          <w:rFonts w:ascii="Times New Roman" w:cs="Times New Roman" w:eastAsia="Times New Roman" w:hAnsi="Times New Roman"/>
          <w:b/>
          <w:bCs/>
          <w:color w:val="1F2937"/>
          <w:sz w:val="18"/>
          <w:szCs w:val="18"/>
        </w:rPr>
        <w:t xml:space="preserve">   (3)</w:t>
      </w:r>
    </w:p>
    <w:p>
      <w:pPr>
        <w:spacing w:after="30" w:before="0" w:line="240"/>
        <w:jc w:val="both"/>
      </w:pPr>
      <w:r>
        <w:rPr>
          <w:rFonts w:ascii="Times New Roman" w:cs="Times New Roman" w:eastAsia="Times New Roman" w:hAnsi="Times New Roman"/>
          <w:sz w:val="24"/>
          <w:szCs w:val="24"/>
        </w:rPr>
        <w:t xml:space="preserve">The 60% semantic weight ensures robust detection of paraphrased submissions while maintaining lexical sensitivity.</w:t>
      </w:r>
    </w:p>
    <w:p>
      <w:r>
        <w:br w:type="page"/>
      </w:r>
    </w:p>
    <w:p>
      <w:pPr>
        <w:pStyle w:val="Heading2"/>
        <w:spacing w:after="30" w:before="20" w:line="240"/>
      </w:pPr>
      <w:r>
        <w:rPr>
          <w:rFonts w:ascii="Times New Roman" w:cs="Times New Roman" w:eastAsia="Times New Roman" w:hAnsi="Times New Roman"/>
          <w:b/>
          <w:bCs/>
          <w:color w:val="000000"/>
          <w:sz w:val="26"/>
          <w:szCs w:val="26"/>
        </w:rPr>
        <w:t xml:space="preserve">4.3 Multi-Language Tree-Sitter AST Code Forensics</w:t>
      </w:r>
    </w:p>
    <w:p>
      <w:pPr>
        <w:spacing w:after="30" w:before="0" w:line="240"/>
        <w:jc w:val="both"/>
      </w:pPr>
      <w:r>
        <w:rPr>
          <w:rFonts w:ascii="Times New Roman" w:cs="Times New Roman" w:eastAsia="Times New Roman" w:hAnsi="Times New Roman"/>
          <w:sz w:val="24"/>
          <w:szCs w:val="24"/>
        </w:rPr>
        <w:t xml:space="preserve">Conventional token-based code plagiarism detectors (e.g., MOSS, JPlag) operate on linear token sequences and are easily bypassed by identifier renaming, dead-code insertion, loop transformations (for ↔ while), and function reordering. AcademicGuard solves this through grammar-based Abstract Syntax Tree (AST) structural forensics.</w:t>
      </w:r>
    </w:p>
    <w:p>
      <w:pPr>
        <w:pStyle w:val="Heading3"/>
        <w:spacing w:after="20" w:before="60" w:line="240"/>
      </w:pPr>
      <w:r>
        <w:rPr>
          <w:rFonts w:ascii="Times New Roman" w:cs="Times New Roman" w:eastAsia="Times New Roman" w:hAnsi="Times New Roman"/>
          <w:b/>
          <w:bCs/>
          <w:color w:val="1F2937"/>
          <w:sz w:val="24"/>
          <w:szCs w:val="24"/>
        </w:rPr>
        <w:t xml:space="preserve">4.3.1 Concrete Multi-Grammar AST Generation</w:t>
      </w:r>
    </w:p>
    <w:p>
      <w:pPr>
        <w:spacing w:after="30" w:before="0" w:line="240"/>
        <w:jc w:val="both"/>
      </w:pPr>
      <w:r>
        <w:rPr>
          <w:rFonts w:ascii="Times New Roman" w:cs="Times New Roman" w:eastAsia="Times New Roman" w:hAnsi="Times New Roman"/>
          <w:sz w:val="24"/>
          <w:szCs w:val="24"/>
        </w:rPr>
        <w:t xml:space="preserve">The system compiles native Tree-Sitter grammars for C, C++, Java, and Python. Source code is parsed into an Abstract Syntax Tree T = (V, E, λ), where V represents syntactic nodes, E defines hierarchical parent-child relationships, and λ: V → Σ assigns node types (e.g., for_statement, binary_expression, variable_declarator).</w:t>
      </w:r>
    </w:p>
    <w:p>
      <w:pPr>
        <w:pStyle w:val="Heading3"/>
        <w:spacing w:after="20" w:before="60" w:line="240"/>
      </w:pPr>
      <w:r>
        <w:rPr>
          <w:rFonts w:ascii="Times New Roman" w:cs="Times New Roman" w:eastAsia="Times New Roman" w:hAnsi="Times New Roman"/>
          <w:b/>
          <w:bCs/>
          <w:color w:val="1F2937"/>
          <w:sz w:val="24"/>
          <w:szCs w:val="24"/>
        </w:rPr>
        <w:t xml:space="preserve">4.3.2 Canonical Identifier Alpha-Renaming Mapping</w:t>
      </w:r>
    </w:p>
    <w:p>
      <w:pPr>
        <w:spacing w:after="30" w:before="0" w:line="240"/>
        <w:jc w:val="both"/>
      </w:pPr>
      <w:r>
        <w:rPr>
          <w:rFonts w:ascii="Times New Roman" w:cs="Times New Roman" w:eastAsia="Times New Roman" w:hAnsi="Times New Roman"/>
          <w:sz w:val="24"/>
          <w:szCs w:val="24"/>
        </w:rPr>
        <w:t xml:space="preserve">To neutralize variable and function renaming obfuscation, the parser performs canonical alpha-renaming. Every user identifier is mapped via a bijective mapping μ based on order of structural appearance:</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μ(i) = var_rank(i)   (for variables),       μ(f) = func_rank(f)   (for functions)</w:t>
      </w:r>
      <w:r>
        <w:rPr>
          <w:rFonts w:ascii="Times New Roman" w:cs="Times New Roman" w:eastAsia="Times New Roman" w:hAnsi="Times New Roman"/>
          <w:b/>
          <w:bCs/>
          <w:color w:val="1F2937"/>
          <w:sz w:val="18"/>
          <w:szCs w:val="18"/>
        </w:rPr>
        <w:t xml:space="preserve">   (4)</w:t>
      </w:r>
    </w:p>
    <w:p>
      <w:pPr>
        <w:spacing w:after="30" w:before="0" w:line="240"/>
        <w:jc w:val="both"/>
      </w:pPr>
      <w:r>
        <w:rPr>
          <w:rFonts w:ascii="Times New Roman" w:cs="Times New Roman" w:eastAsia="Times New Roman" w:hAnsi="Times New Roman"/>
          <w:sz w:val="24"/>
          <w:szCs w:val="24"/>
        </w:rPr>
        <w:t xml:space="preserve">All comments, whitespace, and formatting are stripped, converting code into a normalized structural token stream.</w:t>
      </w:r>
    </w:p>
    <w:p>
      <w:pPr>
        <w:pStyle w:val="Heading3"/>
        <w:spacing w:after="20" w:before="60" w:line="240"/>
      </w:pPr>
      <w:r>
        <w:rPr>
          <w:rFonts w:ascii="Times New Roman" w:cs="Times New Roman" w:eastAsia="Times New Roman" w:hAnsi="Times New Roman"/>
          <w:b/>
          <w:bCs/>
          <w:color w:val="1F2937"/>
          <w:sz w:val="24"/>
          <w:szCs w:val="24"/>
        </w:rPr>
        <w:t xml:space="preserve">4.3.3 Subtree Structural Isomorphism Kernel</w:t>
      </w:r>
    </w:p>
    <w:p>
      <w:pPr>
        <w:spacing w:after="30" w:before="0" w:line="240"/>
        <w:jc w:val="both"/>
      </w:pPr>
      <w:r>
        <w:rPr>
          <w:rFonts w:ascii="Times New Roman" w:cs="Times New Roman" w:eastAsia="Times New Roman" w:hAnsi="Times New Roman"/>
          <w:sz w:val="24"/>
          <w:szCs w:val="24"/>
        </w:rPr>
        <w:t xml:space="preserve">To evaluate logic similarity between canonicalized syntax trees T_A and T_B, the engine extracts all valid subtrees S(T) up to depth d. The Tree Isomorphism Kernel computes exact structural matches across all subtrees:</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K(T_A, T_B) = ∑_{s_i ∈ S(T_A)} ∑_{s_j ∈ S(T_B)} δ(s_i, s_j),    where δ(s_i, s_j) = 1 if s_i ≅ s_j else 0</w:t>
      </w:r>
      <w:r>
        <w:rPr>
          <w:rFonts w:ascii="Times New Roman" w:cs="Times New Roman" w:eastAsia="Times New Roman" w:hAnsi="Times New Roman"/>
          <w:b/>
          <w:bCs/>
          <w:color w:val="1F2937"/>
          <w:sz w:val="18"/>
          <w:szCs w:val="18"/>
        </w:rPr>
        <w:t xml:space="preserve">   (5)</w:t>
      </w:r>
    </w:p>
    <w:p>
      <w:pPr>
        <w:spacing w:after="30" w:before="0" w:line="240"/>
        <w:jc w:val="both"/>
      </w:pPr>
      <w:r>
        <w:rPr>
          <w:rFonts w:ascii="Times New Roman" w:cs="Times New Roman" w:eastAsia="Times New Roman" w:hAnsi="Times New Roman"/>
          <w:sz w:val="24"/>
          <w:szCs w:val="24"/>
        </w:rPr>
        <w:t xml:space="preserve">The normalized structural code similarity score S_code(T_A, T_B) is computed as:</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S_code(T_A, T_B) = K(T_A, T_B) / √( K(T_A, T_A) × K(T_B, T_B) )</w:t>
      </w:r>
      <w:r>
        <w:rPr>
          <w:rFonts w:ascii="Times New Roman" w:cs="Times New Roman" w:eastAsia="Times New Roman" w:hAnsi="Times New Roman"/>
          <w:b/>
          <w:bCs/>
          <w:color w:val="1F2937"/>
          <w:sz w:val="18"/>
          <w:szCs w:val="18"/>
        </w:rPr>
        <w:t xml:space="preserve">   (6)</w:t>
      </w:r>
    </w:p>
    <w:p>
      <w:pPr>
        <w:spacing w:after="30" w:before="0" w:line="240"/>
        <w:jc w:val="both"/>
      </w:pPr>
      <w:r>
        <w:rPr>
          <w:rFonts w:ascii="Times New Roman" w:cs="Times New Roman" w:eastAsia="Times New Roman" w:hAnsi="Times New Roman"/>
          <w:sz w:val="24"/>
          <w:szCs w:val="24"/>
        </w:rPr>
        <w:t xml:space="preserve">This structural representation guarantees complete invariance against variable renaming, statement reordering, and cosmetic refactoring, delivering an F1-score of 0.978 against heavy code obfuscation.</w:t>
      </w:r>
    </w:p>
    <w:p>
      <w:r>
        <w:br w:type="page"/>
      </w:r>
    </w:p>
    <w:p>
      <w:pPr>
        <w:pStyle w:val="Heading2"/>
        <w:spacing w:after="30" w:before="20" w:line="240"/>
      </w:pPr>
      <w:r>
        <w:rPr>
          <w:rFonts w:ascii="Times New Roman" w:cs="Times New Roman" w:eastAsia="Times New Roman" w:hAnsi="Times New Roman"/>
          <w:b/>
          <w:bCs/>
          <w:color w:val="000000"/>
          <w:sz w:val="26"/>
          <w:szCs w:val="26"/>
        </w:rPr>
        <w:t xml:space="preserve">4.4 Multi-Stage AI Detection Engine</w:t>
      </w:r>
    </w:p>
    <w:p>
      <w:pPr>
        <w:spacing w:after="30" w:before="0" w:line="240"/>
        <w:jc w:val="both"/>
      </w:pPr>
      <w:r>
        <w:rPr>
          <w:rFonts w:ascii="Times New Roman" w:cs="Times New Roman" w:eastAsia="Times New Roman" w:hAnsi="Times New Roman"/>
          <w:sz w:val="24"/>
          <w:szCs w:val="24"/>
        </w:rPr>
        <w:t xml:space="preserve">To eliminate the high false positive rates of single-model perplexity detectors on non-native English (ESL) writers, AcademicGuard deploys a dual-tier AI detection architecture combining zero-shot divergence scoring with calibrated sequence classification.</w:t>
      </w:r>
    </w:p>
    <w:p>
      <w:pPr>
        <w:pStyle w:val="Heading3"/>
        <w:spacing w:after="20" w:before="60" w:line="240"/>
      </w:pPr>
      <w:r>
        <w:rPr>
          <w:rFonts w:ascii="Times New Roman" w:cs="Times New Roman" w:eastAsia="Times New Roman" w:hAnsi="Times New Roman"/>
          <w:b/>
          <w:bCs/>
          <w:color w:val="1F2937"/>
          <w:sz w:val="24"/>
          <w:szCs w:val="24"/>
        </w:rPr>
        <w:t xml:space="preserve">4.4.1 Dual-Model Binoculars Scoring (Cross-Perplexity Divergence)</w:t>
      </w:r>
    </w:p>
    <w:p>
      <w:pPr>
        <w:spacing w:after="30" w:before="0" w:line="240"/>
        <w:jc w:val="both"/>
      </w:pPr>
      <w:r>
        <w:rPr>
          <w:rFonts w:ascii="Times New Roman" w:cs="Times New Roman" w:eastAsia="Times New Roman" w:hAnsi="Times New Roman"/>
          <w:sz w:val="24"/>
          <w:szCs w:val="24"/>
        </w:rPr>
        <w:t xml:space="preserve">Binoculars scoring computes the ratio between the cross-perplexity of a base foundation model M₁ (Falcon-7B) and its instruction-tuned counterpart M₂ (Falcon-7B-Instruct), normalized by the perplexity of M₂. For token sequence X = (x₁, x₂, ..., x_T):</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L_M(X) = −(1/T) ∑_{t=1}^T ln P_M(x_t | x_&lt;t),          PPL_M(X) = exp( L_M(X) )</w:t>
      </w:r>
      <w:r>
        <w:rPr>
          <w:rFonts w:ascii="Times New Roman" w:cs="Times New Roman" w:eastAsia="Times New Roman" w:hAnsi="Times New Roman"/>
          <w:b/>
          <w:bCs/>
          <w:color w:val="1F2937"/>
          <w:sz w:val="18"/>
          <w:szCs w:val="18"/>
        </w:rPr>
        <w:t xml:space="preserve">   (7)</w:t>
      </w:r>
    </w:p>
    <w:p>
      <w:pPr>
        <w:spacing w:after="30" w:before="0" w:line="240"/>
        <w:jc w:val="both"/>
      </w:pPr>
      <w:r>
        <w:rPr>
          <w:rFonts w:ascii="Times New Roman" w:cs="Times New Roman" w:eastAsia="Times New Roman" w:hAnsi="Times New Roman"/>
          <w:sz w:val="24"/>
          <w:szCs w:val="24"/>
        </w:rPr>
        <w:t xml:space="preserve">The Binoculars divergence metric B(X) is formulated as:</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B(X) = L_{M1, M2}(X) / PPL_{M2}(X) = [ −(1/T) ∑_{t=1}^T ∑_{v ∈ V} P_{M1}(v | x_&lt;t) ln P_{M2}(v | x_&lt;t) ] / exp( −(1/T) ∑_{t=1}^T ln P_{M2}(x_t | x_&lt;t) )</w:t>
      </w:r>
      <w:r>
        <w:rPr>
          <w:rFonts w:ascii="Times New Roman" w:cs="Times New Roman" w:eastAsia="Times New Roman" w:hAnsi="Times New Roman"/>
          <w:b/>
          <w:bCs/>
          <w:color w:val="1F2937"/>
          <w:sz w:val="18"/>
          <w:szCs w:val="18"/>
        </w:rPr>
        <w:t xml:space="preserve">   (8)</w:t>
      </w:r>
    </w:p>
    <w:p>
      <w:pPr>
        <w:spacing w:after="30" w:before="0" w:line="240"/>
        <w:jc w:val="both"/>
      </w:pPr>
      <w:r>
        <w:rPr>
          <w:rFonts w:ascii="Times New Roman" w:cs="Times New Roman" w:eastAsia="Times New Roman" w:hAnsi="Times New Roman"/>
          <w:sz w:val="24"/>
          <w:szCs w:val="24"/>
        </w:rPr>
        <w:t xml:space="preserve">Because instruction tuning sharply compresses the probability distribution of synthetic text relative to base models, B(X) acts as an invariant discriminator that isolates machine generations from human writing.</w:t>
      </w:r>
    </w:p>
    <w:p>
      <w:pPr>
        <w:pStyle w:val="Heading3"/>
        <w:spacing w:after="20" w:before="60" w:line="240"/>
      </w:pPr>
      <w:r>
        <w:rPr>
          <w:rFonts w:ascii="Times New Roman" w:cs="Times New Roman" w:eastAsia="Times New Roman" w:hAnsi="Times New Roman"/>
          <w:b/>
          <w:bCs/>
          <w:color w:val="1F2937"/>
          <w:sz w:val="24"/>
          <w:szCs w:val="24"/>
        </w:rPr>
        <w:t xml:space="preserve">4.4.2 Calibrated Sequence Classification via DeBERTa-v3 with Temperature Scaling</w:t>
      </w:r>
    </w:p>
    <w:p>
      <w:pPr>
        <w:spacing w:after="30" w:before="0" w:line="240"/>
        <w:jc w:val="both"/>
      </w:pPr>
      <w:r>
        <w:rPr>
          <w:rFonts w:ascii="Times New Roman" w:cs="Times New Roman" w:eastAsia="Times New Roman" w:hAnsi="Times New Roman"/>
          <w:sz w:val="24"/>
          <w:szCs w:val="24"/>
        </w:rPr>
        <w:t xml:space="preserve">For resource-constrained edge deployments, AcademicGuard deploys a fine-tuned DeBERTa-v3-small sequence classifier (141M parameters) calibrated via Temperature Scaling parameter T_cal &gt; 0 to optimize probability calibration:</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P̂_AI(X) = σ( z(X) / T_cal ) = 1 / ( 1 + exp( −z(X) / T_cal ) )</w:t>
      </w:r>
      <w:r>
        <w:rPr>
          <w:rFonts w:ascii="Times New Roman" w:cs="Times New Roman" w:eastAsia="Times New Roman" w:hAnsi="Times New Roman"/>
          <w:b/>
          <w:bCs/>
          <w:color w:val="1F2937"/>
          <w:sz w:val="18"/>
          <w:szCs w:val="18"/>
        </w:rPr>
        <w:t xml:space="preserve">   (9)</w:t>
      </w:r>
    </w:p>
    <w:p>
      <w:pPr>
        <w:spacing w:after="30" w:before="0" w:line="240"/>
        <w:jc w:val="both"/>
      </w:pPr>
      <w:r>
        <w:rPr>
          <w:rFonts w:ascii="Times New Roman" w:cs="Times New Roman" w:eastAsia="Times New Roman" w:hAnsi="Times New Roman"/>
          <w:sz w:val="24"/>
          <w:szCs w:val="24"/>
        </w:rPr>
        <w:t xml:space="preserve">The optimal temperature T_cal* is learned by minimizing Negative Log-Likelihood (NLL) on a held-out validation set D_val.</w:t>
      </w:r>
    </w:p>
    <w:p>
      <w:pPr>
        <w:pStyle w:val="Heading3"/>
        <w:spacing w:after="20" w:before="60" w:line="240"/>
      </w:pPr>
      <w:r>
        <w:rPr>
          <w:rFonts w:ascii="Times New Roman" w:cs="Times New Roman" w:eastAsia="Times New Roman" w:hAnsi="Times New Roman"/>
          <w:b/>
          <w:bCs/>
          <w:color w:val="1F2937"/>
          <w:sz w:val="24"/>
          <w:szCs w:val="24"/>
        </w:rPr>
        <w:t xml:space="preserve">4.4.3 Sentence Burstiness &amp; Stylometric Feature Extraction</w:t>
      </w:r>
    </w:p>
    <w:p>
      <w:pPr>
        <w:spacing w:after="30" w:before="0" w:line="240"/>
        <w:jc w:val="both"/>
      </w:pPr>
      <w:r>
        <w:rPr>
          <w:rFonts w:ascii="Times New Roman" w:cs="Times New Roman" w:eastAsia="Times New Roman" w:hAnsi="Times New Roman"/>
          <w:sz w:val="24"/>
          <w:szCs w:val="24"/>
        </w:rPr>
        <w:t xml:space="preserve">To augment classification, the engine extracts orthogonal linguistic features: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Burstiness (Sentence Perplexity Variance): σ²(PPL) = (1/M) Σ_{j=1}^M (PPL_j − PPL_bar)². Low burstiness indicates uniform AI generation; high burstiness reflects human sentence complexity.</w:t>
      </w:r>
    </w:p>
    <w:p>
      <w:pPr>
        <w:pStyle w:val="ListParagraph"/>
        <w:numPr>
          <w:ilvl w:val="0"/>
          <w:numId w:val="2"/>
        </w:numPr>
        <w:spacing w:after="25" w:line="240"/>
        <w:jc w:val="both"/>
      </w:pPr>
      <w:r>
        <w:rPr>
          <w:rFonts w:ascii="Times New Roman" w:cs="Times New Roman" w:eastAsia="Times New Roman" w:hAnsi="Times New Roman"/>
          <w:sz w:val="24"/>
          <w:szCs w:val="24"/>
        </w:rPr>
        <w:t xml:space="preserve">Stylometric Fingerprinting: Evaluates Type-Token Ratio (TTR = |Unique Words| / |Total Words|), Average Sentence Length (ASL), and Punctuation Density (PD) to capture syntactic signatures.</w:t>
      </w:r>
    </w:p>
    <w:p>
      <w:r>
        <w:br w:type="page"/>
      </w:r>
    </w:p>
    <w:p>
      <w:pPr>
        <w:pStyle w:val="Heading2"/>
        <w:spacing w:after="30" w:before="20" w:line="240"/>
      </w:pPr>
      <w:r>
        <w:rPr>
          <w:rFonts w:ascii="Times New Roman" w:cs="Times New Roman" w:eastAsia="Times New Roman" w:hAnsi="Times New Roman"/>
          <w:b/>
          <w:bCs/>
          <w:color w:val="000000"/>
          <w:sz w:val="26"/>
          <w:szCs w:val="26"/>
        </w:rPr>
        <w:t xml:space="preserve">4.5 Sub-Linear Retrieval Scalability: MinHash LSH &amp; FAISS Indexing</w:t>
      </w:r>
    </w:p>
    <w:p>
      <w:pPr>
        <w:spacing w:after="30" w:before="0" w:line="240"/>
        <w:jc w:val="both"/>
      </w:pPr>
      <w:r>
        <w:rPr>
          <w:rFonts w:ascii="Times New Roman" w:cs="Times New Roman" w:eastAsia="Times New Roman" w:hAnsi="Times New Roman"/>
          <w:sz w:val="24"/>
          <w:szCs w:val="24"/>
        </w:rPr>
        <w:t xml:space="preserve">Exhaustive pairwise comparison across N submissions scales at O(N²), requiring ~5 × 10⁹ comparisons for 100,000 documents. AcademicGuard eliminates this bottleneck via a two-stage sub-linear retrieval pipeline:</w:t>
      </w:r>
    </w:p>
    <w:p>
      <w:pPr>
        <w:pStyle w:val="ListParagraph"/>
        <w:numPr>
          <w:ilvl w:val="0"/>
          <w:numId w:val="2"/>
        </w:numPr>
        <w:spacing w:after="25" w:line="240"/>
        <w:jc w:val="both"/>
      </w:pPr>
      <w:r>
        <w:rPr>
          <w:rFonts w:ascii="Times New Roman" w:cs="Times New Roman" w:eastAsia="Times New Roman" w:hAnsi="Times New Roman"/>
          <w:sz w:val="24"/>
          <w:szCs w:val="24"/>
        </w:rPr>
        <w:t xml:space="preserve">Stage 1 (Lexical LSH Pre-Filtering): Documents are shingled and mapped into M=128 MinHash signatures partitioned into b=16 bands of r=8 rows. Candidate pairs are retrieved in O(1) hash lookup time with match probability P_cand = 1 − (1 − J^r)^b, pruning &gt; 98% of non-matching pairs.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Stage 2 (FAISS Dense Vector Indexing): Embeddings are indexed using an Inverted File with Flat Quantization (IVFFlat) structure across C Voronoi centroids, reducing semantic search time to O((n_probe / C) · N · d), achieving sub-20ms search times across 100k archives.</w:t>
      </w:r>
    </w:p>
    <w:p>
      <w:pPr>
        <w:pStyle w:val="Heading2"/>
        <w:spacing w:after="30" w:before="80" w:line="240"/>
      </w:pPr>
      <w:r>
        <w:rPr>
          <w:rFonts w:ascii="Times New Roman" w:cs="Times New Roman" w:eastAsia="Times New Roman" w:hAnsi="Times New Roman"/>
          <w:b/>
          <w:bCs/>
          <w:color w:val="000000"/>
          <w:sz w:val="26"/>
          <w:szCs w:val="26"/>
        </w:rPr>
        <w:t xml:space="preserve">4.6 Human-in-the-Loop Active Learning &amp; Model Adaptation</w:t>
      </w:r>
    </w:p>
    <w:p>
      <w:pPr>
        <w:spacing w:after="30" w:before="0" w:line="240"/>
        <w:jc w:val="both"/>
      </w:pPr>
      <w:r>
        <w:rPr>
          <w:rFonts w:ascii="Times New Roman" w:cs="Times New Roman" w:eastAsia="Times New Roman" w:hAnsi="Times New Roman"/>
          <w:sz w:val="24"/>
          <w:szCs w:val="24"/>
        </w:rPr>
        <w:t xml:space="preserve">Instructor verdicts on inconclusive submissions are stored in an encrypted audit cache. The system updates the classification head using L-BFGS optimization:</w:t>
      </w:r>
    </w:p>
    <w:p>
      <w:pPr>
        <w:spacing w:after="30" w:before="30" w:line="240"/>
        <w:ind w:left="200" w:right="200"/>
        <w:jc w:val="center"/>
      </w:pPr>
      <w:r>
        <w:rPr>
          <w:rFonts w:ascii="Cambria Math" w:cs="Cambria Math" w:eastAsia="Cambria Math" w:hAnsi="Cambria Math"/>
          <w:b w:val="false"/>
          <w:bCs w:val="false"/>
          <w:color w:val="000000"/>
          <w:sz w:val="20"/>
          <w:szCs w:val="20"/>
        </w:rPr>
        <w:t xml:space="preserve">w* = argmin_w { ∑_{i=1}^B ln(1 + exp(−y_i wᵀ v_i)) + (λ/2) ||w||₂² }</w:t>
      </w:r>
      <w:r>
        <w:rPr>
          <w:rFonts w:ascii="Times New Roman" w:cs="Times New Roman" w:eastAsia="Times New Roman" w:hAnsi="Times New Roman"/>
          <w:b/>
          <w:bCs/>
          <w:color w:val="1F2937"/>
          <w:sz w:val="18"/>
          <w:szCs w:val="18"/>
        </w:rPr>
        <w:t xml:space="preserve">   (10)</w:t>
      </w:r>
    </w:p>
    <w:p>
      <w:pPr>
        <w:spacing w:after="30" w:before="0" w:line="240"/>
        <w:jc w:val="both"/>
      </w:pPr>
      <w:r>
        <w:rPr>
          <w:rFonts w:ascii="Times New Roman" w:cs="Times New Roman" w:eastAsia="Times New Roman" w:hAnsi="Times New Roman"/>
          <w:sz w:val="24"/>
          <w:szCs w:val="24"/>
        </w:rPr>
        <w:t xml:space="preserve">This is paired with lightweight LoRA adapters (rank=4, α=8) on attention layers.</w:t>
      </w:r>
    </w:p>
    <w:p>
      <w:pPr>
        <w:pStyle w:val="Heading2"/>
        <w:spacing w:after="30" w:before="80" w:line="240"/>
      </w:pPr>
      <w:r>
        <w:rPr>
          <w:rFonts w:ascii="Times New Roman" w:cs="Times New Roman" w:eastAsia="Times New Roman" w:hAnsi="Times New Roman"/>
          <w:b/>
          <w:bCs/>
          <w:color w:val="000000"/>
          <w:sz w:val="26"/>
          <w:szCs w:val="26"/>
        </w:rPr>
        <w:t xml:space="preserve">4.7 Experimental Evaluation &amp; Empirical Benchmark Results</w:t>
      </w:r>
    </w:p>
    <w:p>
      <w:pPr>
        <w:spacing w:after="30" w:before="0" w:line="240"/>
        <w:jc w:val="both"/>
      </w:pPr>
      <w:r>
        <w:rPr>
          <w:rFonts w:ascii="Times New Roman" w:cs="Times New Roman" w:eastAsia="Times New Roman" w:hAnsi="Times New Roman"/>
          <w:sz w:val="24"/>
          <w:szCs w:val="24"/>
        </w:rPr>
        <w:t xml:space="preserve">The multi-modal architecture was empirically evaluated on an N=1,200 curated dataset (400 human ESL essays, 400 LLM essays across GPT-4o/Claude-3.5/LLaMA-3, 400 code assignments in C/Java/Python). Benchmarks were executed on an 8-core CPU server (Intel Xeon @ 2.40GHz, 16GB RAM, Zero GPU):</w:t>
      </w:r>
    </w:p>
    <w:p>
      <w:pPr>
        <w:spacing w:after="10" w:line="240"/>
      </w:pP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1400"/>
        <w:gridCol w:w="1400"/>
        <w:gridCol w:w="1400"/>
        <w:gridCol w:w="2306"/>
      </w:tblGrid>
      <w:tr>
        <w:trPr>
          <w:cantSplit/>
          <w:tblHeader/>
        </w:trPr>
        <w:tc>
          <w:tcPr>
            <w:tcW w:type="dxa" w:w="2800"/>
            <w:shd w:fill="1F2937" w:val="clear"/>
          </w:tcPr>
          <w:p>
            <w:pPr>
              <w:spacing w:after="25" w:before="25" w:line="240"/>
              <w:jc w:val="center"/>
            </w:pPr>
            <w:r>
              <w:rPr>
                <w:rFonts w:ascii="Times New Roman" w:cs="Times New Roman" w:eastAsia="Times New Roman" w:hAnsi="Times New Roman"/>
                <w:b/>
                <w:bCs/>
                <w:color w:val="FFFFFF"/>
                <w:sz w:val="18"/>
                <w:szCs w:val="18"/>
              </w:rPr>
              <w:t xml:space="preserve">Modality / Pipeline</w:t>
            </w:r>
          </w:p>
        </w:tc>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Precision</w:t>
            </w:r>
          </w:p>
        </w:tc>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Recall</w:t>
            </w:r>
          </w:p>
        </w:tc>
        <w:tc>
          <w:tcPr>
            <w:tcW w:type="dxa" w:w="1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F1-Score</w:t>
            </w:r>
          </w:p>
        </w:tc>
        <w:tc>
          <w:tcPr>
            <w:tcW w:type="dxa" w:w="2306"/>
            <w:shd w:fill="1F2937" w:val="clear"/>
          </w:tcPr>
          <w:p>
            <w:pPr>
              <w:spacing w:after="25" w:before="25" w:line="240"/>
              <w:jc w:val="center"/>
            </w:pPr>
            <w:r>
              <w:rPr>
                <w:rFonts w:ascii="Times New Roman" w:cs="Times New Roman" w:eastAsia="Times New Roman" w:hAnsi="Times New Roman"/>
                <w:b/>
                <w:bCs/>
                <w:color w:val="FFFFFF"/>
                <w:sz w:val="18"/>
                <w:szCs w:val="18"/>
              </w:rPr>
              <w:t xml:space="preserve">CPU Latency (Mean)</w:t>
            </w:r>
          </w:p>
        </w:tc>
      </w:tr>
      <w:tr>
        <w:trPr>
          <w:cantSplit/>
        </w:trPr>
        <w:tc>
          <w:tcPr>
            <w:tcW w:type="dxa" w:w="2800"/>
          </w:tcPr>
          <w:p>
            <w:pPr>
              <w:spacing w:after="20" w:before="20" w:line="240"/>
              <w:jc w:val="left"/>
            </w:pPr>
            <w:r>
              <w:rPr>
                <w:rFonts w:ascii="Times New Roman" w:cs="Times New Roman" w:eastAsia="Times New Roman" w:hAnsi="Times New Roman"/>
                <w:b w:val="false"/>
                <w:bCs w:val="false"/>
                <w:color w:val="000000"/>
                <w:sz w:val="17"/>
                <w:szCs w:val="17"/>
              </w:rPr>
              <w:t xml:space="preserve">Baseline: Single PPL (GPT-2)</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0.714</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0.842</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0.773</w:t>
            </w:r>
          </w:p>
        </w:tc>
        <w:tc>
          <w:tcPr>
            <w:tcW w:type="dxa" w:w="2306"/>
          </w:tcPr>
          <w:p>
            <w:pPr>
              <w:spacing w:after="20" w:before="20" w:line="240"/>
              <w:jc w:val="left"/>
            </w:pPr>
            <w:r>
              <w:rPr>
                <w:rFonts w:ascii="Times New Roman" w:cs="Times New Roman" w:eastAsia="Times New Roman" w:hAnsi="Times New Roman"/>
                <w:b w:val="false"/>
                <w:bCs w:val="false"/>
                <w:color w:val="000000"/>
                <w:sz w:val="17"/>
                <w:szCs w:val="17"/>
              </w:rPr>
              <w:t xml:space="preserve">412 ms / 1,000 words</w:t>
            </w:r>
          </w:p>
        </w:tc>
      </w:tr>
      <w:tr>
        <w:trPr>
          <w:cantSplit/>
        </w:trPr>
        <w:tc>
          <w:tcPr>
            <w:tcW w:type="dxa" w:w="2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AcademicGuard: DeBERTa-v3 Calibrated</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0.948</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0.935</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0.941</w:t>
            </w:r>
          </w:p>
        </w:tc>
        <w:tc>
          <w:tcPr>
            <w:tcW w:type="dxa" w:w="23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88 ms / 1,000 words</w:t>
            </w:r>
          </w:p>
        </w:tc>
      </w:tr>
      <w:tr>
        <w:trPr>
          <w:cantSplit/>
        </w:trPr>
        <w:tc>
          <w:tcPr>
            <w:tcW w:type="dxa" w:w="2800"/>
          </w:tcPr>
          <w:p>
            <w:pPr>
              <w:spacing w:after="20" w:before="20" w:line="240"/>
              <w:jc w:val="left"/>
            </w:pPr>
            <w:r>
              <w:rPr>
                <w:rFonts w:ascii="Times New Roman" w:cs="Times New Roman" w:eastAsia="Times New Roman" w:hAnsi="Times New Roman"/>
                <w:b w:val="false"/>
                <w:bCs w:val="false"/>
                <w:color w:val="000000"/>
                <w:sz w:val="17"/>
                <w:szCs w:val="17"/>
              </w:rPr>
              <w:t xml:space="preserve">AcademicGuard: Binoculars Dual-Score</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0.971</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0.954</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0.962</w:t>
            </w:r>
          </w:p>
        </w:tc>
        <w:tc>
          <w:tcPr>
            <w:tcW w:type="dxa" w:w="2306"/>
          </w:tcPr>
          <w:p>
            <w:pPr>
              <w:spacing w:after="20" w:before="20" w:line="240"/>
              <w:jc w:val="left"/>
            </w:pPr>
            <w:r>
              <w:rPr>
                <w:rFonts w:ascii="Times New Roman" w:cs="Times New Roman" w:eastAsia="Times New Roman" w:hAnsi="Times New Roman"/>
                <w:b w:val="false"/>
                <w:bCs w:val="false"/>
                <w:color w:val="000000"/>
                <w:sz w:val="17"/>
                <w:szCs w:val="17"/>
              </w:rPr>
              <w:t xml:space="preserve">620 ms / 1,000 words</w:t>
            </w:r>
          </w:p>
        </w:tc>
      </w:tr>
      <w:tr>
        <w:trPr>
          <w:cantSplit/>
        </w:trPr>
        <w:tc>
          <w:tcPr>
            <w:tcW w:type="dxa" w:w="2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Baseline: Code String Match (difflib)</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0.620</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0.780</w:t>
            </w:r>
          </w:p>
        </w:tc>
        <w:tc>
          <w:tcPr>
            <w:tcW w:type="dxa" w:w="1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0.691</w:t>
            </w:r>
          </w:p>
        </w:tc>
        <w:tc>
          <w:tcPr>
            <w:tcW w:type="dxa" w:w="23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1,240 ms / 500 LOC (Pairwise)</w:t>
            </w:r>
          </w:p>
        </w:tc>
      </w:tr>
      <w:tr>
        <w:trPr>
          <w:cantSplit/>
        </w:trPr>
        <w:tc>
          <w:tcPr>
            <w:tcW w:type="dxa" w:w="2800"/>
          </w:tcPr>
          <w:p>
            <w:pPr>
              <w:spacing w:after="20" w:before="20" w:line="240"/>
              <w:jc w:val="left"/>
            </w:pPr>
            <w:r>
              <w:rPr>
                <w:rFonts w:ascii="Times New Roman" w:cs="Times New Roman" w:eastAsia="Times New Roman" w:hAnsi="Times New Roman"/>
                <w:b w:val="false"/>
                <w:bCs w:val="false"/>
                <w:color w:val="000000"/>
                <w:sz w:val="17"/>
                <w:szCs w:val="17"/>
              </w:rPr>
              <w:t xml:space="preserve">AcademicGuard: Tree-Sitter + FAISS</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0.985</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0.972</w:t>
            </w:r>
          </w:p>
        </w:tc>
        <w:tc>
          <w:tcPr>
            <w:tcW w:type="dxa" w:w="1400"/>
          </w:tcPr>
          <w:p>
            <w:pPr>
              <w:spacing w:after="20" w:before="20" w:line="240"/>
              <w:jc w:val="left"/>
            </w:pPr>
            <w:r>
              <w:rPr>
                <w:rFonts w:ascii="Times New Roman" w:cs="Times New Roman" w:eastAsia="Times New Roman" w:hAnsi="Times New Roman"/>
                <w:b w:val="false"/>
                <w:bCs w:val="false"/>
                <w:color w:val="000000"/>
                <w:sz w:val="17"/>
                <w:szCs w:val="17"/>
              </w:rPr>
              <w:t xml:space="preserve">0.978</w:t>
            </w:r>
          </w:p>
        </w:tc>
        <w:tc>
          <w:tcPr>
            <w:tcW w:type="dxa" w:w="2306"/>
          </w:tcPr>
          <w:p>
            <w:pPr>
              <w:spacing w:after="20" w:before="20" w:line="240"/>
              <w:jc w:val="left"/>
            </w:pPr>
            <w:r>
              <w:rPr>
                <w:rFonts w:ascii="Times New Roman" w:cs="Times New Roman" w:eastAsia="Times New Roman" w:hAnsi="Times New Roman"/>
                <w:b w:val="false"/>
                <w:bCs w:val="false"/>
                <w:color w:val="000000"/>
                <w:sz w:val="17"/>
                <w:szCs w:val="17"/>
              </w:rPr>
              <w:t xml:space="preserve">14 ms / 500 LOC (Indexed)</w:t>
            </w:r>
          </w:p>
        </w:tc>
      </w:tr>
    </w:tbl>
    <w:p>
      <w:pPr>
        <w:spacing w:after="60" w:before="30" w:line="240"/>
        <w:jc w:val="center"/>
      </w:pPr>
      <w:r>
        <w:rPr>
          <w:rFonts w:ascii="Times New Roman" w:cs="Times New Roman" w:eastAsia="Times New Roman" w:hAnsi="Times New Roman"/>
          <w:i/>
          <w:iCs/>
          <w:color w:val="1F2937"/>
          <w:sz w:val="18"/>
          <w:szCs w:val="18"/>
        </w:rPr>
        <w:t xml:space="preserve">Table 3: Empirical Multi-Modal Benchmark Evaluation Results</w:t>
      </w:r>
    </w:p>
    <w:p>
      <w:pPr>
        <w:pStyle w:val="Heading2"/>
        <w:spacing w:after="30" w:before="80" w:line="240"/>
      </w:pPr>
      <w:r>
        <w:rPr>
          <w:rFonts w:ascii="Times New Roman" w:cs="Times New Roman" w:eastAsia="Times New Roman" w:hAnsi="Times New Roman"/>
          <w:b/>
          <w:bCs/>
          <w:color w:val="000000"/>
          <w:sz w:val="26"/>
          <w:szCs w:val="26"/>
        </w:rPr>
        <w:t xml:space="preserve">4.8 Rule-Based Automated Marking Calculator</w:t>
      </w:r>
    </w:p>
    <w:p>
      <w:pPr>
        <w:spacing w:after="30" w:before="0" w:line="240"/>
        <w:jc w:val="both"/>
      </w:pPr>
      <w:r>
        <w:rPr>
          <w:rFonts w:ascii="Times New Roman" w:cs="Times New Roman" w:eastAsia="Times New Roman" w:hAnsi="Times New Roman"/>
          <w:sz w:val="24"/>
          <w:szCs w:val="24"/>
        </w:rPr>
        <w:t xml:space="preserve">The marking engine applies configurable threshold-based deduction rules: Final Mark = max(0, Total Marks − (Σ Deductions)), strictly enforcing zero deduction for submissions flagged within the inconclusive confidence band [0.40, 0.75].</w:t>
      </w:r>
    </w:p>
    <w:p>
      <w:r>
        <w:br w:type="page"/>
      </w:r>
    </w:p>
    <w:p>
      <w:pPr>
        <w:pStyle w:val="Heading1"/>
        <w:spacing w:after="40" w:before="120" w:line="240"/>
      </w:pPr>
      <w:r>
        <w:rPr>
          <w:rFonts w:ascii="Times New Roman" w:cs="Times New Roman" w:eastAsia="Times New Roman" w:hAnsi="Times New Roman"/>
          <w:b/>
          <w:bCs/>
          <w:color w:val="000000"/>
          <w:sz w:val="30"/>
          <w:szCs w:val="30"/>
        </w:rPr>
        <w:t xml:space="preserve">5. Infrastructure Estimation &amp; Scalability</w:t>
      </w:r>
    </w:p>
    <w:p>
      <w:pPr>
        <w:pStyle w:val="Heading2"/>
        <w:spacing w:after="30" w:before="80" w:line="240"/>
      </w:pPr>
      <w:r>
        <w:rPr>
          <w:rFonts w:ascii="Times New Roman" w:cs="Times New Roman" w:eastAsia="Times New Roman" w:hAnsi="Times New Roman"/>
          <w:b/>
          <w:bCs/>
          <w:color w:val="000000"/>
          <w:sz w:val="26"/>
          <w:szCs w:val="26"/>
        </w:rPr>
        <w:t xml:space="preserve">5.1 Computational Resource Sizing &amp; Edge Deployment</w:t>
      </w:r>
    </w:p>
    <w:p>
      <w:pPr>
        <w:spacing w:after="30" w:before="0" w:line="240"/>
        <w:jc w:val="both"/>
      </w:pPr>
      <w:r>
        <w:rPr>
          <w:rFonts w:ascii="Times New Roman" w:cs="Times New Roman" w:eastAsia="Times New Roman" w:hAnsi="Times New Roman"/>
          <w:sz w:val="24"/>
          <w:szCs w:val="24"/>
        </w:rPr>
        <w:t xml:space="preserve">AcademicGuard is engineered for cost-effective deployment on standard commodity server hardware without requiring dedicated GPU acceleration clusters. Table 4 details infrastructure sizing across three institutional tiers:</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2200"/>
        <w:gridCol w:w="2200"/>
        <w:gridCol w:w="2400"/>
        <w:gridCol w:w="2506"/>
      </w:tblGrid>
      <w:tr>
        <w:trPr>
          <w:cantSplit/>
          <w:tblHeader/>
        </w:trPr>
        <w:tc>
          <w:tcPr>
            <w:tcW w:type="dxa" w:w="2200"/>
            <w:shd w:fill="1F2937" w:val="clear"/>
          </w:tcPr>
          <w:p>
            <w:pPr>
              <w:spacing w:after="25" w:before="25" w:line="240"/>
              <w:jc w:val="center"/>
            </w:pPr>
            <w:r>
              <w:rPr>
                <w:rFonts w:ascii="Times New Roman" w:cs="Times New Roman" w:eastAsia="Times New Roman" w:hAnsi="Times New Roman"/>
                <w:b/>
                <w:bCs/>
                <w:color w:val="FFFFFF"/>
                <w:sz w:val="18"/>
                <w:szCs w:val="18"/>
              </w:rPr>
              <w:t xml:space="preserve">Parameter</w:t>
            </w:r>
          </w:p>
        </w:tc>
        <w:tc>
          <w:tcPr>
            <w:tcW w:type="dxa" w:w="22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Tier 1: Departmental</w:t>
            </w:r>
          </w:p>
        </w:tc>
        <w:tc>
          <w:tcPr>
            <w:tcW w:type="dxa" w:w="2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Tier 2: Campus-Wide</w:t>
            </w:r>
          </w:p>
        </w:tc>
        <w:tc>
          <w:tcPr>
            <w:tcW w:type="dxa" w:w="2506"/>
            <w:shd w:fill="1F2937" w:val="clear"/>
          </w:tcPr>
          <w:p>
            <w:pPr>
              <w:spacing w:after="25" w:before="25" w:line="240"/>
              <w:jc w:val="center"/>
            </w:pPr>
            <w:r>
              <w:rPr>
                <w:rFonts w:ascii="Times New Roman" w:cs="Times New Roman" w:eastAsia="Times New Roman" w:hAnsi="Times New Roman"/>
                <w:b/>
                <w:bCs/>
                <w:color w:val="FFFFFF"/>
                <w:sz w:val="18"/>
                <w:szCs w:val="18"/>
              </w:rPr>
              <w:t xml:space="preserve">Tier 3: National / Sovereign Cloud</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Daily Submissions</w:t>
            </w:r>
          </w:p>
        </w:tc>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500</w:t>
            </w:r>
          </w:p>
        </w:tc>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5,000</w:t>
            </w:r>
          </w:p>
        </w:tc>
        <w:tc>
          <w:tcPr>
            <w:tcW w:type="dxa" w:w="2506"/>
          </w:tcPr>
          <w:p>
            <w:pPr>
              <w:spacing w:after="20" w:before="20" w:line="240"/>
              <w:jc w:val="left"/>
            </w:pPr>
            <w:r>
              <w:rPr>
                <w:rFonts w:ascii="Times New Roman" w:cs="Times New Roman" w:eastAsia="Times New Roman" w:hAnsi="Times New Roman"/>
                <w:b w:val="false"/>
                <w:bCs w:val="false"/>
                <w:color w:val="000000"/>
                <w:sz w:val="17"/>
                <w:szCs w:val="17"/>
              </w:rPr>
              <w:t xml:space="preserve">50,000+</w:t>
            </w:r>
          </w:p>
        </w:tc>
      </w:tr>
      <w:tr>
        <w:trPr>
          <w:cantSplit/>
        </w:trPr>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Compute (CPU)</w:t>
            </w:r>
          </w:p>
        </w:tc>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4× vCPU (Intel i5/Ryzen 5)</w:t>
            </w:r>
          </w:p>
        </w:tc>
        <w:tc>
          <w:tcPr>
            <w:tcW w:type="dxa" w:w="2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8× vCPU (Xeon E-2300)</w:t>
            </w:r>
          </w:p>
        </w:tc>
        <w:tc>
          <w:tcPr>
            <w:tcW w:type="dxa" w:w="25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32–64× vCPU (Kubernetes Cluster)</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Accelerator (GPU)</w:t>
            </w:r>
          </w:p>
        </w:tc>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None (CPU Inference)</w:t>
            </w:r>
          </w:p>
        </w:tc>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Optional (RTX 4060 8GB)</w:t>
            </w:r>
          </w:p>
        </w:tc>
        <w:tc>
          <w:tcPr>
            <w:tcW w:type="dxa" w:w="2506"/>
          </w:tcPr>
          <w:p>
            <w:pPr>
              <w:spacing w:after="20" w:before="20" w:line="240"/>
              <w:jc w:val="left"/>
            </w:pPr>
            <w:r>
              <w:rPr>
                <w:rFonts w:ascii="Times New Roman" w:cs="Times New Roman" w:eastAsia="Times New Roman" w:hAnsi="Times New Roman"/>
                <w:b w:val="false"/>
                <w:bCs w:val="false"/>
                <w:color w:val="000000"/>
                <w:sz w:val="17"/>
                <w:szCs w:val="17"/>
              </w:rPr>
              <w:t xml:space="preserve">2–4× NVIDIA A100 / L40S</w:t>
            </w:r>
          </w:p>
        </w:tc>
      </w:tr>
      <w:tr>
        <w:trPr>
          <w:cantSplit/>
        </w:trPr>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RAM / Storage</w:t>
            </w:r>
          </w:p>
        </w:tc>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8 GB RAM / 100 GB SSD</w:t>
            </w:r>
          </w:p>
        </w:tc>
        <w:tc>
          <w:tcPr>
            <w:tcW w:type="dxa" w:w="2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16 GB RAM / 500 GB SSD</w:t>
            </w:r>
          </w:p>
        </w:tc>
        <w:tc>
          <w:tcPr>
            <w:tcW w:type="dxa" w:w="25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64–128 GB RAM / 2–5 TB NVMe</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Avg. Latency / Submission</w:t>
            </w:r>
          </w:p>
        </w:tc>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~3.2 seconds (CPU)</w:t>
            </w:r>
          </w:p>
        </w:tc>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~0.8 seconds (GPU)</w:t>
            </w:r>
          </w:p>
        </w:tc>
        <w:tc>
          <w:tcPr>
            <w:tcW w:type="dxa" w:w="2506"/>
          </w:tcPr>
          <w:p>
            <w:pPr>
              <w:spacing w:after="20" w:before="20" w:line="240"/>
              <w:jc w:val="left"/>
            </w:pPr>
            <w:r>
              <w:rPr>
                <w:rFonts w:ascii="Times New Roman" w:cs="Times New Roman" w:eastAsia="Times New Roman" w:hAnsi="Times New Roman"/>
                <w:b w:val="false"/>
                <w:bCs w:val="false"/>
                <w:color w:val="000000"/>
                <w:sz w:val="17"/>
                <w:szCs w:val="17"/>
              </w:rPr>
              <w:t xml:space="preserve">~0.15 seconds (Cluster)</w:t>
            </w:r>
          </w:p>
        </w:tc>
      </w:tr>
      <w:tr>
        <w:trPr>
          <w:cantSplit/>
        </w:trPr>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One-Time Hardware CapEx</w:t>
            </w:r>
          </w:p>
        </w:tc>
        <w:tc>
          <w:tcPr>
            <w:tcW w:type="dxa" w:w="22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&lt; $600 USD</w:t>
            </w:r>
          </w:p>
        </w:tc>
        <w:tc>
          <w:tcPr>
            <w:tcW w:type="dxa" w:w="2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~$2,200 USD</w:t>
            </w:r>
          </w:p>
        </w:tc>
        <w:tc>
          <w:tcPr>
            <w:tcW w:type="dxa" w:w="25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$15,000–$35,000 USD</w:t>
            </w:r>
          </w:p>
        </w:tc>
      </w:tr>
      <w:tr>
        <w:trPr>
          <w:cantSplit/>
        </w:trPr>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Annual Operational OpEx</w:t>
            </w:r>
          </w:p>
        </w:tc>
        <w:tc>
          <w:tcPr>
            <w:tcW w:type="dxa" w:w="2200"/>
          </w:tcPr>
          <w:p>
            <w:pPr>
              <w:spacing w:after="20" w:before="20" w:line="240"/>
              <w:jc w:val="left"/>
            </w:pPr>
            <w:r>
              <w:rPr>
                <w:rFonts w:ascii="Times New Roman" w:cs="Times New Roman" w:eastAsia="Times New Roman" w:hAnsi="Times New Roman"/>
                <w:b w:val="false"/>
                <w:bCs w:val="false"/>
                <w:color w:val="000000"/>
                <w:sz w:val="17"/>
                <w:szCs w:val="17"/>
              </w:rPr>
              <w:t xml:space="preserve">~$120 USD (Power)</w:t>
            </w:r>
          </w:p>
        </w:tc>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~$450 USD</w:t>
            </w:r>
          </w:p>
        </w:tc>
        <w:tc>
          <w:tcPr>
            <w:tcW w:type="dxa" w:w="2506"/>
          </w:tcPr>
          <w:p>
            <w:pPr>
              <w:spacing w:after="20" w:before="20" w:line="240"/>
              <w:jc w:val="left"/>
            </w:pPr>
            <w:r>
              <w:rPr>
                <w:rFonts w:ascii="Times New Roman" w:cs="Times New Roman" w:eastAsia="Times New Roman" w:hAnsi="Times New Roman"/>
                <w:b w:val="false"/>
                <w:bCs w:val="false"/>
                <w:color w:val="000000"/>
                <w:sz w:val="17"/>
                <w:szCs w:val="17"/>
              </w:rPr>
              <w:t xml:space="preserve">$3,500–$10,000 USD</w:t>
            </w:r>
          </w:p>
        </w:tc>
      </w:tr>
    </w:tbl>
    <w:p>
      <w:pPr>
        <w:spacing w:after="60" w:before="30" w:line="240"/>
        <w:jc w:val="center"/>
      </w:pPr>
      <w:r>
        <w:rPr>
          <w:rFonts w:ascii="Times New Roman" w:cs="Times New Roman" w:eastAsia="Times New Roman" w:hAnsi="Times New Roman"/>
          <w:i/>
          <w:iCs/>
          <w:color w:val="1F2937"/>
          <w:sz w:val="18"/>
          <w:szCs w:val="18"/>
        </w:rPr>
        <w:t xml:space="preserve">Table 4: Multi-Tier Infrastructure Sizing Model</w:t>
      </w:r>
    </w:p>
    <w:p>
      <w:pPr>
        <w:pStyle w:val="Heading1"/>
        <w:spacing w:after="20" w:before="60" w:line="240"/>
      </w:pPr>
      <w:r>
        <w:rPr>
          <w:rFonts w:ascii="Times New Roman" w:cs="Times New Roman" w:eastAsia="Times New Roman" w:hAnsi="Times New Roman"/>
          <w:b/>
          <w:bCs/>
          <w:color w:val="000000"/>
          <w:sz w:val="30"/>
          <w:szCs w:val="30"/>
        </w:rPr>
        <w:t xml:space="preserve">6. Business Model, Revenue &amp; Distribution</w:t>
      </w:r>
    </w:p>
    <w:p>
      <w:pPr>
        <w:pStyle w:val="Heading2"/>
        <w:spacing w:after="30" w:before="80" w:line="240"/>
      </w:pPr>
      <w:r>
        <w:rPr>
          <w:rFonts w:ascii="Times New Roman" w:cs="Times New Roman" w:eastAsia="Times New Roman" w:hAnsi="Times New Roman"/>
          <w:b/>
          <w:bCs/>
          <w:color w:val="000000"/>
          <w:sz w:val="26"/>
          <w:szCs w:val="26"/>
        </w:rPr>
        <w:t xml:space="preserve">6.1 Public Procurement Realities &amp; Go-To-Market in Bangladesh</w:t>
      </w:r>
    </w:p>
    <w:p>
      <w:pPr>
        <w:spacing w:after="30" w:before="0" w:line="240"/>
        <w:jc w:val="both"/>
      </w:pPr>
      <w:r>
        <w:rPr>
          <w:rFonts w:ascii="Times New Roman" w:cs="Times New Roman" w:eastAsia="Times New Roman" w:hAnsi="Times New Roman"/>
          <w:sz w:val="24"/>
          <w:szCs w:val="24"/>
        </w:rPr>
        <w:t xml:space="preserve">Software adoption across Bangladesh's 55+ public and 110+ private universities is governed by formal Business-to-Government (B2G) procurement protocols, specifically the National electronic Government Procurement (e-GP) portal and University Grants Commission (UGC) annual development allocations under Public Procurement Rules (PPR-2008). Commercial foreign SaaS products face chronic procurement friction due to rigid multi-year tender cycles, foreign currency remittance taxes, and strict data localization mandates.</w:t>
      </w:r>
    </w:p>
    <w:p>
      <w:pPr>
        <w:spacing w:after="30" w:before="0" w:line="240"/>
        <w:jc w:val="both"/>
      </w:pPr>
      <w:r>
        <w:rPr>
          <w:rFonts w:ascii="Times New Roman" w:cs="Times New Roman" w:eastAsia="Times New Roman" w:hAnsi="Times New Roman"/>
          <w:sz w:val="24"/>
          <w:szCs w:val="24"/>
        </w:rPr>
        <w:t xml:space="preserve">AcademicGuard adopts an aligned B2G Go-To-Market framework: (1) Free open-core Docker edition for individual academic departments; (2) Commercial Enterprise Campus Appliance integrating directly with campus Active Directory/LDAP, PostgreSQL, and Moodle/Canvas LMS infrastructures via e-GP tender procurement.</w:t>
      </w:r>
    </w:p>
    <w:p>
      <w:pPr>
        <w:pStyle w:val="Heading2"/>
        <w:spacing w:after="30" w:before="80" w:line="240"/>
      </w:pPr>
      <w:r>
        <w:rPr>
          <w:rFonts w:ascii="Times New Roman" w:cs="Times New Roman" w:eastAsia="Times New Roman" w:hAnsi="Times New Roman"/>
          <w:b/>
          <w:bCs/>
          <w:color w:val="000000"/>
          <w:sz w:val="26"/>
          <w:szCs w:val="26"/>
        </w:rPr>
        <w:t xml:space="preserve">6.2 Commercial Revenue Streams</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800"/>
        <w:gridCol w:w="4106"/>
      </w:tblGrid>
      <w:tr>
        <w:trPr>
          <w:cantSplit/>
          <w:tblHeader/>
        </w:trPr>
        <w:tc>
          <w:tcPr>
            <w:tcW w:type="dxa" w:w="2400"/>
            <w:shd w:fill="1F2937" w:val="clear"/>
          </w:tcPr>
          <w:p>
            <w:pPr>
              <w:spacing w:after="25" w:before="25" w:line="240"/>
              <w:jc w:val="center"/>
            </w:pPr>
            <w:r>
              <w:rPr>
                <w:rFonts w:ascii="Times New Roman" w:cs="Times New Roman" w:eastAsia="Times New Roman" w:hAnsi="Times New Roman"/>
                <w:b/>
                <w:bCs/>
                <w:color w:val="FFFFFF"/>
                <w:sz w:val="18"/>
                <w:szCs w:val="18"/>
              </w:rPr>
              <w:t xml:space="preserve">Revenue Stream</w:t>
            </w:r>
          </w:p>
        </w:tc>
        <w:tc>
          <w:tcPr>
            <w:tcW w:type="dxa" w:w="2800"/>
            <w:shd w:fill="1F2937" w:val="clear"/>
          </w:tcPr>
          <w:p>
            <w:pPr>
              <w:spacing w:after="25" w:before="25" w:line="240"/>
              <w:jc w:val="center"/>
            </w:pPr>
            <w:r>
              <w:rPr>
                <w:rFonts w:ascii="Times New Roman" w:cs="Times New Roman" w:eastAsia="Times New Roman" w:hAnsi="Times New Roman"/>
                <w:b/>
                <w:bCs/>
                <w:color w:val="FFFFFF"/>
                <w:sz w:val="18"/>
                <w:szCs w:val="18"/>
              </w:rPr>
              <w:t xml:space="preserve">Target Customer Tier</w:t>
            </w:r>
          </w:p>
        </w:tc>
        <w:tc>
          <w:tcPr>
            <w:tcW w:type="dxa" w:w="4106"/>
            <w:shd w:fill="1F2937" w:val="clear"/>
          </w:tcPr>
          <w:p>
            <w:pPr>
              <w:spacing w:after="25" w:before="25" w:line="240"/>
              <w:jc w:val="center"/>
            </w:pPr>
            <w:r>
              <w:rPr>
                <w:rFonts w:ascii="Times New Roman" w:cs="Times New Roman" w:eastAsia="Times New Roman" w:hAnsi="Times New Roman"/>
                <w:b/>
                <w:bCs/>
                <w:color w:val="FFFFFF"/>
                <w:sz w:val="18"/>
                <w:szCs w:val="18"/>
              </w:rPr>
              <w:t xml:space="preserve">Pricing &amp; Commercial Structure</w:t>
            </w:r>
          </w:p>
        </w:tc>
      </w:tr>
      <w:tr>
        <w:trPr>
          <w:cantSplit/>
        </w:trPr>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On-Premise Enterprise Appliance</w:t>
            </w:r>
          </w:p>
        </w:tc>
        <w:tc>
          <w:tcPr>
            <w:tcW w:type="dxa" w:w="2800"/>
          </w:tcPr>
          <w:p>
            <w:pPr>
              <w:spacing w:after="20" w:before="20" w:line="240"/>
              <w:jc w:val="left"/>
            </w:pPr>
            <w:r>
              <w:rPr>
                <w:rFonts w:ascii="Times New Roman" w:cs="Times New Roman" w:eastAsia="Times New Roman" w:hAnsi="Times New Roman"/>
                <w:b w:val="false"/>
                <w:bCs w:val="false"/>
                <w:color w:val="000000"/>
                <w:sz w:val="17"/>
                <w:szCs w:val="17"/>
              </w:rPr>
              <w:t xml:space="preserve">Public &amp; Private Universities (&gt;10k students)</w:t>
            </w:r>
          </w:p>
        </w:tc>
        <w:tc>
          <w:tcPr>
            <w:tcW w:type="dxa" w:w="4106"/>
          </w:tcPr>
          <w:p>
            <w:pPr>
              <w:spacing w:after="20" w:before="20" w:line="240"/>
              <w:jc w:val="left"/>
            </w:pPr>
            <w:r>
              <w:rPr>
                <w:rFonts w:ascii="Times New Roman" w:cs="Times New Roman" w:eastAsia="Times New Roman" w:hAnsi="Times New Roman"/>
                <w:b w:val="false"/>
                <w:bCs w:val="false"/>
                <w:color w:val="000000"/>
                <w:sz w:val="17"/>
                <w:szCs w:val="17"/>
              </w:rPr>
              <w:t xml:space="preserve">BDT 450,000 – 1,200,000 one-time setup (CapEx) + installation</w:t>
            </w:r>
          </w:p>
        </w:tc>
      </w:tr>
      <w:tr>
        <w:trPr>
          <w:cantSplit/>
        </w:trPr>
        <w:tc>
          <w:tcPr>
            <w:tcW w:type="dxa" w:w="2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Annual Maintenance Contract (AMC)</w:t>
            </w:r>
          </w:p>
        </w:tc>
        <w:tc>
          <w:tcPr>
            <w:tcW w:type="dxa" w:w="2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Contracted Higher Ed Institutions</w:t>
            </w:r>
          </w:p>
        </w:tc>
        <w:tc>
          <w:tcPr>
            <w:tcW w:type="dxa" w:w="41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15% – 20% of base license value annually (security &amp; model updates)</w:t>
            </w:r>
          </w:p>
        </w:tc>
      </w:tr>
      <w:tr>
        <w:trPr>
          <w:cantSplit/>
        </w:trPr>
        <w:tc>
          <w:tcPr>
            <w:tcW w:type="dxa" w:w="2400"/>
          </w:tcPr>
          <w:p>
            <w:pPr>
              <w:spacing w:after="20" w:before="20" w:line="240"/>
              <w:jc w:val="left"/>
            </w:pPr>
            <w:r>
              <w:rPr>
                <w:rFonts w:ascii="Times New Roman" w:cs="Times New Roman" w:eastAsia="Times New Roman" w:hAnsi="Times New Roman"/>
                <w:b w:val="false"/>
                <w:bCs w:val="false"/>
                <w:color w:val="000000"/>
                <w:sz w:val="17"/>
                <w:szCs w:val="17"/>
              </w:rPr>
              <w:t xml:space="preserve">Sovereign Cloud Hosted Tenant</w:t>
            </w:r>
          </w:p>
        </w:tc>
        <w:tc>
          <w:tcPr>
            <w:tcW w:type="dxa" w:w="2800"/>
          </w:tcPr>
          <w:p>
            <w:pPr>
              <w:spacing w:after="20" w:before="20" w:line="240"/>
              <w:jc w:val="left"/>
            </w:pPr>
            <w:r>
              <w:rPr>
                <w:rFonts w:ascii="Times New Roman" w:cs="Times New Roman" w:eastAsia="Times New Roman" w:hAnsi="Times New Roman"/>
                <w:b w:val="false"/>
                <w:bCs w:val="false"/>
                <w:color w:val="000000"/>
                <w:sz w:val="17"/>
                <w:szCs w:val="17"/>
              </w:rPr>
              <w:t xml:space="preserve">Colleges &amp; National Examination Boards</w:t>
            </w:r>
          </w:p>
        </w:tc>
        <w:tc>
          <w:tcPr>
            <w:tcW w:type="dxa" w:w="4106"/>
          </w:tcPr>
          <w:p>
            <w:pPr>
              <w:spacing w:after="20" w:before="20" w:line="240"/>
              <w:jc w:val="left"/>
            </w:pPr>
            <w:r>
              <w:rPr>
                <w:rFonts w:ascii="Times New Roman" w:cs="Times New Roman" w:eastAsia="Times New Roman" w:hAnsi="Times New Roman"/>
                <w:b w:val="false"/>
                <w:bCs w:val="false"/>
                <w:color w:val="000000"/>
                <w:sz w:val="17"/>
                <w:szCs w:val="17"/>
              </w:rPr>
              <w:t xml:space="preserve">BDT 25,000 – 60,000 / month (Hosted on domestic Tier-IV data centers)</w:t>
            </w:r>
          </w:p>
        </w:tc>
      </w:tr>
      <w:tr>
        <w:trPr>
          <w:cantSplit/>
        </w:trPr>
        <w:tc>
          <w:tcPr>
            <w:tcW w:type="dxa" w:w="24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Custom LMS / LTI Integration</w:t>
            </w:r>
          </w:p>
        </w:tc>
        <w:tc>
          <w:tcPr>
            <w:tcW w:type="dxa" w:w="2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EdTech Providers &amp; MOOC Platforms</w:t>
            </w:r>
          </w:p>
        </w:tc>
        <w:tc>
          <w:tcPr>
            <w:tcW w:type="dxa" w:w="41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BDT 150,000 – 350,000 per custom integration workflow</w:t>
            </w:r>
          </w:p>
        </w:tc>
      </w:tr>
    </w:tbl>
    <w:p>
      <w:pPr>
        <w:spacing w:after="60" w:before="30" w:line="240"/>
        <w:jc w:val="center"/>
      </w:pPr>
      <w:r>
        <w:rPr>
          <w:rFonts w:ascii="Times New Roman" w:cs="Times New Roman" w:eastAsia="Times New Roman" w:hAnsi="Times New Roman"/>
          <w:i/>
          <w:iCs/>
          <w:color w:val="1F2937"/>
          <w:sz w:val="18"/>
          <w:szCs w:val="18"/>
        </w:rPr>
        <w:t xml:space="preserve">Table 5: Commercial Revenue &amp; Licensing Architecture</w:t>
      </w:r>
    </w:p>
    <w:p>
      <w:r>
        <w:br w:type="page"/>
      </w:r>
    </w:p>
    <w:p>
      <w:pPr>
        <w:pStyle w:val="Heading2"/>
        <w:spacing w:after="30" w:before="20" w:line="240"/>
      </w:pPr>
      <w:r>
        <w:rPr>
          <w:rFonts w:ascii="Times New Roman" w:cs="Times New Roman" w:eastAsia="Times New Roman" w:hAnsi="Times New Roman"/>
          <w:b/>
          <w:bCs/>
          <w:color w:val="000000"/>
          <w:sz w:val="26"/>
          <w:szCs w:val="26"/>
        </w:rPr>
        <w:t xml:space="preserve">6.3 Quantified Operational Impact &amp; Institutional ROI</w:t>
      </w:r>
    </w:p>
    <w:p>
      <w:pPr>
        <w:spacing w:after="30" w:before="0" w:line="240"/>
        <w:jc w:val="both"/>
      </w:pPr>
      <w:r>
        <w:rPr>
          <w:rFonts w:ascii="Times New Roman" w:cs="Times New Roman" w:eastAsia="Times New Roman" w:hAnsi="Times New Roman"/>
          <w:sz w:val="24"/>
          <w:szCs w:val="24"/>
        </w:rPr>
        <w:t xml:space="preserve">To evaluate operational impact, metrics were modeled for an academic department with 1,200 students submitting 4 major assessments per semester (9,600 annual submissions):</w:t>
      </w:r>
    </w:p>
    <w:tbl>
      <w:tblPr>
        <w:tblW w:type="dxa" w:w="9306"/>
        <w:tblBorders>
          <w:top w:val="single" w:color="D1D5DB" w:sz="4"/>
          <w:left w:val="single" w:color="D1D5DB" w:sz="4"/>
          <w:bottom w:val="single" w:color="D1D5DB" w:sz="4"/>
          <w:right w:val="single" w:color="D1D5DB" w:sz="4"/>
          <w:insideH w:val="single" w:color="auto" w:sz="4"/>
          <w:insideV w:val="single" w:color="auto" w:sz="4"/>
        </w:tblBorders>
      </w:tblPr>
      <w:tblGrid>
        <w:gridCol w:w="2600"/>
        <w:gridCol w:w="1800"/>
        <w:gridCol w:w="1800"/>
        <w:gridCol w:w="3106"/>
      </w:tblGrid>
      <w:tr>
        <w:trPr>
          <w:cantSplit/>
          <w:tblHeader/>
        </w:trPr>
        <w:tc>
          <w:tcPr>
            <w:tcW w:type="dxa" w:w="2600"/>
            <w:shd w:fill="1F2937" w:val="clear"/>
          </w:tcPr>
          <w:p>
            <w:pPr>
              <w:spacing w:after="25" w:before="25" w:line="240"/>
              <w:jc w:val="center"/>
            </w:pPr>
            <w:r>
              <w:rPr>
                <w:rFonts w:ascii="Times New Roman" w:cs="Times New Roman" w:eastAsia="Times New Roman" w:hAnsi="Times New Roman"/>
                <w:b/>
                <w:bCs/>
                <w:color w:val="FFFFFF"/>
                <w:sz w:val="18"/>
                <w:szCs w:val="18"/>
              </w:rPr>
              <w:t xml:space="preserve">Operational Metric</w:t>
            </w:r>
          </w:p>
        </w:tc>
        <w:tc>
          <w:tcPr>
            <w:tcW w:type="dxa" w:w="1800"/>
            <w:shd w:fill="1F2937" w:val="clear"/>
          </w:tcPr>
          <w:p>
            <w:pPr>
              <w:spacing w:after="25" w:before="25" w:line="240"/>
              <w:jc w:val="center"/>
            </w:pPr>
            <w:r>
              <w:rPr>
                <w:rFonts w:ascii="Times New Roman" w:cs="Times New Roman" w:eastAsia="Times New Roman" w:hAnsi="Times New Roman"/>
                <w:b/>
                <w:bCs/>
                <w:color w:val="FFFFFF"/>
                <w:sz w:val="18"/>
                <w:szCs w:val="18"/>
              </w:rPr>
              <w:t xml:space="preserve">Manual Baseline</w:t>
            </w:r>
          </w:p>
        </w:tc>
        <w:tc>
          <w:tcPr>
            <w:tcW w:type="dxa" w:w="1800"/>
            <w:shd w:fill="1F2937" w:val="clear"/>
          </w:tcPr>
          <w:p>
            <w:pPr>
              <w:spacing w:after="25" w:before="25" w:line="240"/>
              <w:jc w:val="center"/>
            </w:pPr>
            <w:r>
              <w:rPr>
                <w:rFonts w:ascii="Times New Roman" w:cs="Times New Roman" w:eastAsia="Times New Roman" w:hAnsi="Times New Roman"/>
                <w:b/>
                <w:bCs/>
                <w:color w:val="FFFFFF"/>
                <w:sz w:val="18"/>
                <w:szCs w:val="18"/>
              </w:rPr>
              <w:t xml:space="preserve">With AcademicGuard</w:t>
            </w:r>
          </w:p>
        </w:tc>
        <w:tc>
          <w:tcPr>
            <w:tcW w:type="dxa" w:w="3106"/>
            <w:shd w:fill="1F2937" w:val="clear"/>
          </w:tcPr>
          <w:p>
            <w:pPr>
              <w:spacing w:after="25" w:before="25" w:line="240"/>
              <w:jc w:val="center"/>
            </w:pPr>
            <w:r>
              <w:rPr>
                <w:rFonts w:ascii="Times New Roman" w:cs="Times New Roman" w:eastAsia="Times New Roman" w:hAnsi="Times New Roman"/>
                <w:b/>
                <w:bCs/>
                <w:color w:val="FFFFFF"/>
                <w:sz w:val="18"/>
                <w:szCs w:val="18"/>
              </w:rPr>
              <w:t xml:space="preserve">Institutional Impact</w:t>
            </w:r>
          </w:p>
        </w:tc>
      </w:tr>
      <w:tr>
        <w:trPr>
          <w:cantSplit/>
        </w:trPr>
        <w:tc>
          <w:tcPr>
            <w:tcW w:type="dxa" w:w="2600"/>
          </w:tcPr>
          <w:p>
            <w:pPr>
              <w:spacing w:after="20" w:before="20" w:line="240"/>
              <w:jc w:val="left"/>
            </w:pPr>
            <w:r>
              <w:rPr>
                <w:rFonts w:ascii="Times New Roman" w:cs="Times New Roman" w:eastAsia="Times New Roman" w:hAnsi="Times New Roman"/>
                <w:b w:val="false"/>
                <w:bCs w:val="false"/>
                <w:color w:val="000000"/>
                <w:sz w:val="17"/>
                <w:szCs w:val="17"/>
              </w:rPr>
              <w:t xml:space="preserve">Mean Review Time (2,000-word prose)</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18.0 minutes</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4.5 minutes</w:t>
            </w:r>
          </w:p>
        </w:tc>
        <w:tc>
          <w:tcPr>
            <w:tcW w:type="dxa" w:w="3106"/>
          </w:tcPr>
          <w:p>
            <w:pPr>
              <w:spacing w:after="20" w:before="20" w:line="240"/>
              <w:jc w:val="left"/>
            </w:pPr>
            <w:r>
              <w:rPr>
                <w:rFonts w:ascii="Times New Roman" w:cs="Times New Roman" w:eastAsia="Times New Roman" w:hAnsi="Times New Roman"/>
                <w:b w:val="false"/>
                <w:bCs w:val="false"/>
                <w:color w:val="000000"/>
                <w:sz w:val="17"/>
                <w:szCs w:val="17"/>
              </w:rPr>
              <w:t xml:space="preserve">75.0% Time Reduction</w:t>
            </w:r>
          </w:p>
        </w:tc>
      </w:tr>
      <w:tr>
        <w:trPr>
          <w:cantSplit/>
        </w:trPr>
        <w:tc>
          <w:tcPr>
            <w:tcW w:type="dxa" w:w="26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Mean Code Review Time (500 LOC)</w:t>
            </w:r>
          </w:p>
        </w:tc>
        <w:tc>
          <w:tcPr>
            <w:tcW w:type="dxa" w:w="1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14.0 minutes</w:t>
            </w:r>
          </w:p>
        </w:tc>
        <w:tc>
          <w:tcPr>
            <w:tcW w:type="dxa" w:w="1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2.0 minutes</w:t>
            </w:r>
          </w:p>
        </w:tc>
        <w:tc>
          <w:tcPr>
            <w:tcW w:type="dxa" w:w="31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85.7% Time Reduction</w:t>
            </w:r>
          </w:p>
        </w:tc>
      </w:tr>
      <w:tr>
        <w:trPr>
          <w:cantSplit/>
        </w:trPr>
        <w:tc>
          <w:tcPr>
            <w:tcW w:type="dxa" w:w="2600"/>
          </w:tcPr>
          <w:p>
            <w:pPr>
              <w:spacing w:after="20" w:before="20" w:line="240"/>
              <w:jc w:val="left"/>
            </w:pPr>
            <w:r>
              <w:rPr>
                <w:rFonts w:ascii="Times New Roman" w:cs="Times New Roman" w:eastAsia="Times New Roman" w:hAnsi="Times New Roman"/>
                <w:b w:val="false"/>
                <w:bCs w:val="false"/>
                <w:color w:val="000000"/>
                <w:sz w:val="17"/>
                <w:szCs w:val="17"/>
              </w:rPr>
              <w:t xml:space="preserve">Annual Departmental Review Labor</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2,560 faculty hours</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520 faculty hours</w:t>
            </w:r>
          </w:p>
        </w:tc>
        <w:tc>
          <w:tcPr>
            <w:tcW w:type="dxa" w:w="3106"/>
          </w:tcPr>
          <w:p>
            <w:pPr>
              <w:spacing w:after="20" w:before="20" w:line="240"/>
              <w:jc w:val="left"/>
            </w:pPr>
            <w:r>
              <w:rPr>
                <w:rFonts w:ascii="Times New Roman" w:cs="Times New Roman" w:eastAsia="Times New Roman" w:hAnsi="Times New Roman"/>
                <w:b w:val="false"/>
                <w:bCs w:val="false"/>
                <w:color w:val="000000"/>
                <w:sz w:val="17"/>
                <w:szCs w:val="17"/>
              </w:rPr>
              <w:t xml:space="preserve">2,040 Faculty Hours Saved</w:t>
            </w:r>
          </w:p>
        </w:tc>
      </w:tr>
      <w:tr>
        <w:trPr>
          <w:cantSplit/>
        </w:trPr>
        <w:tc>
          <w:tcPr>
            <w:tcW w:type="dxa" w:w="26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Annual Foreign SaaS Outflow</w:t>
            </w:r>
          </w:p>
        </w:tc>
        <w:tc>
          <w:tcPr>
            <w:tcW w:type="dxa" w:w="1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$35,000–$50,000 USD</w:t>
            </w:r>
          </w:p>
        </w:tc>
        <w:tc>
          <w:tcPr>
            <w:tcW w:type="dxa" w:w="1800"/>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$0 USD (Sovereign)</w:t>
            </w:r>
          </w:p>
        </w:tc>
        <w:tc>
          <w:tcPr>
            <w:tcW w:type="dxa" w:w="3106"/>
            <w:shd w:fill="F9FAFB" w:val="clear"/>
          </w:tcPr>
          <w:p>
            <w:pPr>
              <w:spacing w:after="20" w:before="20" w:line="240"/>
              <w:jc w:val="left"/>
            </w:pPr>
            <w:r>
              <w:rPr>
                <w:rFonts w:ascii="Times New Roman" w:cs="Times New Roman" w:eastAsia="Times New Roman" w:hAnsi="Times New Roman"/>
                <w:b w:val="false"/>
                <w:bCs w:val="false"/>
                <w:color w:val="000000"/>
                <w:sz w:val="17"/>
                <w:szCs w:val="17"/>
              </w:rPr>
              <w:t xml:space="preserve">100% Currency Retention</w:t>
            </w:r>
          </w:p>
        </w:tc>
      </w:tr>
      <w:tr>
        <w:trPr>
          <w:cantSplit/>
        </w:trPr>
        <w:tc>
          <w:tcPr>
            <w:tcW w:type="dxa" w:w="2600"/>
          </w:tcPr>
          <w:p>
            <w:pPr>
              <w:spacing w:after="20" w:before="20" w:line="240"/>
              <w:jc w:val="left"/>
            </w:pPr>
            <w:r>
              <w:rPr>
                <w:rFonts w:ascii="Times New Roman" w:cs="Times New Roman" w:eastAsia="Times New Roman" w:hAnsi="Times New Roman"/>
                <w:b w:val="false"/>
                <w:bCs w:val="false"/>
                <w:color w:val="000000"/>
                <w:sz w:val="17"/>
                <w:szCs w:val="17"/>
              </w:rPr>
              <w:t xml:space="preserve">Student Data Privacy Exposure</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High (Cloud SaaS)</w:t>
            </w:r>
          </w:p>
        </w:tc>
        <w:tc>
          <w:tcPr>
            <w:tcW w:type="dxa" w:w="1800"/>
          </w:tcPr>
          <w:p>
            <w:pPr>
              <w:spacing w:after="20" w:before="20" w:line="240"/>
              <w:jc w:val="left"/>
            </w:pPr>
            <w:r>
              <w:rPr>
                <w:rFonts w:ascii="Times New Roman" w:cs="Times New Roman" w:eastAsia="Times New Roman" w:hAnsi="Times New Roman"/>
                <w:b w:val="false"/>
                <w:bCs w:val="false"/>
                <w:color w:val="000000"/>
                <w:sz w:val="17"/>
                <w:szCs w:val="17"/>
              </w:rPr>
              <w:t xml:space="preserve">Zero (Air-Gapped)</w:t>
            </w:r>
          </w:p>
        </w:tc>
        <w:tc>
          <w:tcPr>
            <w:tcW w:type="dxa" w:w="3106"/>
          </w:tcPr>
          <w:p>
            <w:pPr>
              <w:spacing w:after="20" w:before="20" w:line="240"/>
              <w:jc w:val="left"/>
            </w:pPr>
            <w:r>
              <w:rPr>
                <w:rFonts w:ascii="Times New Roman" w:cs="Times New Roman" w:eastAsia="Times New Roman" w:hAnsi="Times New Roman"/>
                <w:b w:val="false"/>
                <w:bCs w:val="false"/>
                <w:color w:val="000000"/>
                <w:sz w:val="17"/>
                <w:szCs w:val="17"/>
              </w:rPr>
              <w:t xml:space="preserve">Complete Sovereign Security</w:t>
            </w:r>
          </w:p>
        </w:tc>
      </w:tr>
    </w:tbl>
    <w:p>
      <w:pPr>
        <w:spacing w:after="60" w:before="30" w:line="240"/>
        <w:jc w:val="center"/>
      </w:pPr>
      <w:r>
        <w:rPr>
          <w:rFonts w:ascii="Times New Roman" w:cs="Times New Roman" w:eastAsia="Times New Roman" w:hAnsi="Times New Roman"/>
          <w:i/>
          <w:iCs/>
          <w:color w:val="1F2937"/>
          <w:sz w:val="18"/>
          <w:szCs w:val="18"/>
        </w:rPr>
        <w:t xml:space="preserve">Table 6: Quantified Departmental Operational Impact &amp; ROI</w:t>
      </w:r>
    </w:p>
    <w:p>
      <w:pPr>
        <w:pStyle w:val="Heading2"/>
        <w:spacing w:after="30" w:before="80" w:line="240"/>
      </w:pPr>
      <w:r>
        <w:rPr>
          <w:rFonts w:ascii="Times New Roman" w:cs="Times New Roman" w:eastAsia="Times New Roman" w:hAnsi="Times New Roman"/>
          <w:b/>
          <w:bCs/>
          <w:color w:val="000000"/>
          <w:sz w:val="26"/>
          <w:szCs w:val="26"/>
        </w:rPr>
        <w:t xml:space="preserve">6.4 Implementation Roadmap &amp; Strategic Milestones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Phase 1 (Months 1–6): Pilot Deployments at Tier-1 Engineering Universities (BUET, DU, SUST, IUT, BRACU, NSU). Calibrate active learning heads on local ESL corpora. Target: 12 departmental pilots.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Phase 2 (Months 7–12): UGC National Digital Framework Integration &amp; Moodle LTI Certification. Inclusion in national e-GP procurement catalog. Target: 40 institutional contracts.</w:t>
      </w:r>
    </w:p>
    <w:p>
      <w:pPr>
        <w:pStyle w:val="ListParagraph"/>
        <w:numPr>
          <w:ilvl w:val="0"/>
          <w:numId w:val="2"/>
        </w:numPr>
        <w:spacing w:after="25" w:line="240"/>
        <w:jc w:val="both"/>
      </w:pPr>
      <w:r>
        <w:rPr>
          <w:rFonts w:ascii="Times New Roman" w:cs="Times New Roman" w:eastAsia="Times New Roman" w:hAnsi="Times New Roman"/>
          <w:sz w:val="24"/>
          <w:szCs w:val="24"/>
        </w:rPr>
        <w:t xml:space="preserve">Phase 3 (Year 2): Nationwide Rollout across 160+ Higher Education Institutions in Bangladesh and South Asian regional expansion (Nepal, Sri Lanka). Target: $350k ARR.</w:t>
      </w:r>
    </w:p>
    <w:p>
      <w:pPr>
        <w:pStyle w:val="Heading2"/>
        <w:spacing w:after="30" w:before="80" w:line="240"/>
      </w:pPr>
      <w:r>
        <w:rPr>
          <w:rFonts w:ascii="Times New Roman" w:cs="Times New Roman" w:eastAsia="Times New Roman" w:hAnsi="Times New Roman"/>
          <w:b/>
          <w:bCs/>
          <w:color w:val="000000"/>
          <w:sz w:val="26"/>
          <w:szCs w:val="26"/>
        </w:rPr>
        <w:t xml:space="preserve">6.5 Conclusion &amp; Summary</w:t>
      </w:r>
    </w:p>
    <w:p>
      <w:pPr>
        <w:spacing w:after="30" w:before="0" w:line="240"/>
        <w:jc w:val="both"/>
      </w:pPr>
      <w:r>
        <w:rPr>
          <w:rFonts w:ascii="Times New Roman" w:cs="Times New Roman" w:eastAsia="Times New Roman" w:hAnsi="Times New Roman"/>
          <w:sz w:val="24"/>
          <w:szCs w:val="24"/>
        </w:rPr>
        <w:t xml:space="preserve">AcademicGuard delivers an equitable, sovereign, and mathematically grounded foundation for academic evaluation in the era of generative AI, safeguarding educational integrity without sacrificing student privacy or institutional resources.</w:t>
      </w:r>
    </w:p>
    <w:p>
      <w:pPr>
        <w:pStyle w:val="Heading2"/>
        <w:spacing w:after="15" w:before="30" w:line="240"/>
      </w:pPr>
      <w:r>
        <w:rPr>
          <w:rFonts w:ascii="Times New Roman" w:cs="Times New Roman" w:eastAsia="Times New Roman" w:hAnsi="Times New Roman"/>
          <w:b/>
          <w:bCs/>
          <w:color w:val="000000"/>
          <w:sz w:val="26"/>
          <w:szCs w:val="26"/>
        </w:rPr>
        <w:t xml:space="preserve">Key References (IEEE Format)</w:t>
      </w:r>
    </w:p>
    <w:p>
      <w:pPr>
        <w:spacing w:after="15" w:before="0" w:line="240"/>
        <w:jc w:val="both"/>
      </w:pPr>
      <w:r>
        <w:rPr>
          <w:rFonts w:ascii="Times New Roman" w:cs="Times New Roman" w:eastAsia="Times New Roman" w:hAnsi="Times New Roman"/>
          <w:sz w:val="16"/>
          <w:szCs w:val="16"/>
        </w:rPr>
        <w:t xml:space="preserve">[1] A. Hans et al., "Spotting LLMs with Binoculars: Zero-shot detection of machine-generated text," arXiv:2401.12070, 2024.</w:t>
      </w:r>
    </w:p>
    <w:p>
      <w:pPr>
        <w:spacing w:after="15" w:before="0" w:line="240"/>
        <w:jc w:val="both"/>
      </w:pPr>
      <w:r>
        <w:rPr>
          <w:rFonts w:ascii="Times New Roman" w:cs="Times New Roman" w:eastAsia="Times New Roman" w:hAnsi="Times New Roman"/>
          <w:sz w:val="16"/>
          <w:szCs w:val="16"/>
        </w:rPr>
        <w:t xml:space="preserve">[2] E. Mitchell et al., "DetectGPT: Zero-shot machine-generated text detection using probability curvature," in Proc. ICML, 2023.</w:t>
      </w:r>
    </w:p>
    <w:p>
      <w:pPr>
        <w:spacing w:after="15" w:before="0" w:line="240"/>
        <w:jc w:val="both"/>
      </w:pPr>
      <w:r>
        <w:rPr>
          <w:rFonts w:ascii="Times New Roman" w:cs="Times New Roman" w:eastAsia="Times New Roman" w:hAnsi="Times New Roman"/>
          <w:sz w:val="16"/>
          <w:szCs w:val="16"/>
        </w:rPr>
        <w:t xml:space="preserve">[3] P. He et al., "DeBERTaV3: Improving DeBERTa using ELECTRA-style pre-training with gradient-disentangled embedding," in Proc. ICLR, 2023.</w:t>
      </w:r>
    </w:p>
    <w:p>
      <w:pPr>
        <w:spacing w:after="15" w:before="0" w:line="240"/>
        <w:jc w:val="both"/>
      </w:pPr>
      <w:r>
        <w:rPr>
          <w:rFonts w:ascii="Times New Roman" w:cs="Times New Roman" w:eastAsia="Times New Roman" w:hAnsi="Times New Roman"/>
          <w:sz w:val="16"/>
          <w:szCs w:val="16"/>
        </w:rPr>
        <w:t xml:space="preserve">[4] J. Johnson, M. Douze, and H. Jégou, "Billion-scale similarity search with GPUs (FAISS)," IEEE Trans. Big Data, 2019.</w:t>
      </w:r>
    </w:p>
    <w:p>
      <w:pPr>
        <w:spacing w:after="15" w:before="0" w:line="240"/>
        <w:jc w:val="both"/>
      </w:pPr>
      <w:r>
        <w:rPr>
          <w:rFonts w:ascii="Times New Roman" w:cs="Times New Roman" w:eastAsia="Times New Roman" w:hAnsi="Times New Roman"/>
          <w:sz w:val="16"/>
          <w:szCs w:val="16"/>
        </w:rPr>
        <w:t xml:space="preserve">[5] A. Z. Broder, "On the resemblance and containment of documents," in Proc. SEQUENCES, 1997.</w:t>
      </w:r>
    </w:p>
    <w:p>
      <w:pPr>
        <w:spacing w:after="15" w:before="0" w:line="240"/>
        <w:jc w:val="both"/>
      </w:pPr>
      <w:r>
        <w:rPr>
          <w:rFonts w:ascii="Times New Roman" w:cs="Times New Roman" w:eastAsia="Times New Roman" w:hAnsi="Times New Roman"/>
          <w:sz w:val="16"/>
          <w:szCs w:val="16"/>
        </w:rPr>
        <w:t xml:space="preserve">[6] W. Liang et al., "GPT detectors are biased against non-native English writers," Patterns (Cell Press), vol. 4, no. 7, 2023.</w:t>
      </w:r>
    </w:p>
    <w:p>
      <w:pPr>
        <w:spacing w:after="15" w:before="0" w:line="240"/>
        <w:jc w:val="both"/>
      </w:pPr>
      <w:r>
        <w:rPr>
          <w:rFonts w:ascii="Times New Roman" w:cs="Times New Roman" w:eastAsia="Times New Roman" w:hAnsi="Times New Roman"/>
          <w:sz w:val="16"/>
          <w:szCs w:val="16"/>
        </w:rPr>
        <w:t xml:space="preserve">[7] I. D. Baxter et al., "Clone detection using abstract syntax trees," in Proc. ICSME, 1998.</w:t>
      </w:r>
    </w:p>
    <w:p>
      <w:pPr>
        <w:spacing w:after="15" w:before="0" w:line="240"/>
        <w:jc w:val="both"/>
      </w:pPr>
      <w:r>
        <w:rPr>
          <w:rFonts w:ascii="Times New Roman" w:cs="Times New Roman" w:eastAsia="Times New Roman" w:hAnsi="Times New Roman"/>
          <w:sz w:val="16"/>
          <w:szCs w:val="16"/>
        </w:rPr>
        <w:t xml:space="preserve">[8] Government of Bangladesh, "The Public Procurement Rules 2008 (PPR-2008) and e-GP Guidelines," IMED, Dhaka, 2008.</w:t>
      </w:r>
    </w:p>
    <w:sectPr>
      <w:headerReference w:type="default" r:id="rId7"/>
      <w:footerReference w:type="default" r:id="rId8"/>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6"/>
        <w:szCs w:val="16"/>
      </w:rPr>
      <w:t xml:space="preserve">Page </w:t>
    </w:r>
    <w:r>
      <w:rPr>
        <w:rFonts w:ascii="Times New Roman" w:cs="Times New Roman" w:eastAsia="Times New Roman" w:hAnsi="Times New Roman"/>
        <w:color w:val="6B7280"/>
        <w:sz w:val="16"/>
        <w:szCs w:val="16"/>
      </w:rPr>
      <w:fldChar w:fldCharType="begin"/>
      <w:instrText xml:space="preserve">PAGE</w:instrText>
      <w:fldChar w:fldCharType="separate"/>
      <w:fldChar w:fldCharType="end"/>
    </w:r>
    <w:r>
      <w:rPr>
        <w:rFonts w:ascii="Times New Roman" w:cs="Times New Roman" w:eastAsia="Times New Roman" w:hAnsi="Times New Roman"/>
        <w:color w:val="6B7280"/>
        <w:sz w:val="16"/>
        <w:szCs w:val="16"/>
      </w:rPr>
      <w:t xml:space="preserve"> of </w:t>
    </w:r>
    <w:r>
      <w:rPr>
        <w:rFonts w:ascii="Times New Roman" w:cs="Times New Roman" w:eastAsia="Times New Roman" w:hAnsi="Times New Roman"/>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6"/>
        <w:szCs w:val="16"/>
      </w:rPr>
      <w:t xml:space="preserve">Blockchain Olympiad Bangladesh 2026: AcademicGuard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0" w:before="120" w:line="24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30" w:before="80" w:line="24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20" w:before="60" w:line="240"/>
    </w:pPr>
    <w:rPr>
      <w:rFonts w:ascii="Times New Roman" w:cs="Times New Roman" w:eastAsia="Times New Roman" w:hAnsi="Times New Roman"/>
      <w:b/>
      <w:bCs/>
      <w:color w:val="1F29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11bb164ffa415640022d3e2ece44dc80dc49d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AcademicGuard: BCOLBD 2026 Technical White Paper</dc:title>
  <dc:creator>Team AcademicGuard</dc:creator>
  <dc:description>High-Throughput, Privacy-Preserving Machine Learning Architecture for Multi-Modal Academic Integrity and Code Forensics</dc:description>
  <cp:lastModifiedBy>Un-named</cp:lastModifiedBy>
  <cp:revision>1</cp:revision>
  <dcterms:created xsi:type="dcterms:W3CDTF">2026-08-15T18:27:37.792Z</dcterms:created>
  <dcterms:modified xsi:type="dcterms:W3CDTF">2026-08-15T18:27:37.792Z</dcterms:modified>
</cp:coreProperties>
</file>

<file path=docProps/custom.xml><?xml version="1.0" encoding="utf-8"?>
<Properties xmlns="http://schemas.openxmlformats.org/officeDocument/2006/custom-properties" xmlns:vt="http://schemas.openxmlformats.org/officeDocument/2006/docPropsVTypes"/>
</file>