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C49" w:rsidRDefault="007C4C49" w:rsidP="007C4C49">
      <w:pPr>
        <w:pStyle w:val="NormalWeb"/>
        <w:spacing w:before="0" w:beforeAutospacing="0" w:after="240" w:afterAutospacing="0"/>
      </w:pPr>
      <w:r>
        <w:rPr>
          <w:rFonts w:ascii="Arial" w:hAnsi="Arial" w:cs="Arial"/>
          <w:b/>
          <w:bCs/>
          <w:color w:val="1B1C1D"/>
          <w:sz w:val="22"/>
          <w:szCs w:val="22"/>
        </w:rPr>
        <w:t>Two-Wheeler Loan Policy</w:t>
      </w:r>
    </w:p>
    <w:p w:rsidR="007C4C49" w:rsidRDefault="007C4C49" w:rsidP="007C4C49">
      <w:pPr>
        <w:pStyle w:val="NormalWeb"/>
        <w:spacing w:before="0" w:beforeAutospacing="0" w:after="240" w:afterAutospacing="0"/>
      </w:pPr>
      <w:bookmarkStart w:id="0" w:name="_GoBack"/>
      <w:bookmarkEnd w:id="0"/>
      <w:r>
        <w:rPr>
          <w:rFonts w:ascii="Arial" w:hAnsi="Arial" w:cs="Arial"/>
          <w:b/>
          <w:bCs/>
          <w:color w:val="1B1C1D"/>
          <w:sz w:val="22"/>
          <w:szCs w:val="22"/>
        </w:rPr>
        <w:t>1. Introduction</w:t>
      </w:r>
    </w:p>
    <w:p w:rsidR="007C4C49" w:rsidRDefault="007C4C49" w:rsidP="007C4C49">
      <w:pPr>
        <w:pStyle w:val="NormalWeb"/>
        <w:spacing w:before="0" w:beforeAutospacing="0" w:after="240" w:afterAutospacing="0"/>
      </w:pPr>
      <w:r>
        <w:rPr>
          <w:rFonts w:ascii="Arial" w:hAnsi="Arial" w:cs="Arial"/>
          <w:color w:val="1B1C1D"/>
          <w:sz w:val="22"/>
          <w:szCs w:val="22"/>
        </w:rPr>
        <w:t>This document outlines the credit policy for two-wheeler loans offered by [NBFC Name], an Indian Non-Banking Financial Company. It provides guidelines for credit underwriting, documentation requirements, and loan processing procedures.</w:t>
      </w:r>
    </w:p>
    <w:p w:rsidR="007C4C49" w:rsidRDefault="007C4C49" w:rsidP="007C4C49">
      <w:pPr>
        <w:pStyle w:val="NormalWeb"/>
        <w:spacing w:before="0" w:beforeAutospacing="0" w:after="120" w:afterAutospacing="0"/>
      </w:pPr>
      <w:r>
        <w:rPr>
          <w:rFonts w:ascii="Arial" w:hAnsi="Arial" w:cs="Arial"/>
          <w:b/>
          <w:bCs/>
          <w:color w:val="1B1C1D"/>
          <w:sz w:val="22"/>
          <w:szCs w:val="22"/>
        </w:rPr>
        <w:t>2. Objectives</w:t>
      </w:r>
    </w:p>
    <w:p w:rsidR="007C4C49" w:rsidRDefault="007C4C49" w:rsidP="007C4C49">
      <w:pPr>
        <w:pStyle w:val="NormalWeb"/>
        <w:numPr>
          <w:ilvl w:val="0"/>
          <w:numId w:val="1"/>
        </w:numPr>
        <w:spacing w:before="120" w:beforeAutospacing="0" w:after="0" w:afterAutospacing="0"/>
        <w:ind w:left="240"/>
        <w:textAlignment w:val="baseline"/>
        <w:rPr>
          <w:rFonts w:ascii="Arial" w:hAnsi="Arial" w:cs="Arial"/>
          <w:color w:val="000000"/>
          <w:sz w:val="22"/>
          <w:szCs w:val="22"/>
        </w:rPr>
      </w:pPr>
      <w:r>
        <w:rPr>
          <w:rFonts w:ascii="Arial" w:hAnsi="Arial" w:cs="Arial"/>
          <w:color w:val="1B1C1D"/>
          <w:sz w:val="22"/>
          <w:szCs w:val="22"/>
        </w:rPr>
        <w:t>To provide clear and consistent credit underwriting standards for two-wheeler loans.</w:t>
      </w:r>
    </w:p>
    <w:p w:rsidR="007C4C49" w:rsidRDefault="007C4C49" w:rsidP="007C4C49">
      <w:pPr>
        <w:pStyle w:val="NormalWeb"/>
        <w:numPr>
          <w:ilvl w:val="0"/>
          <w:numId w:val="1"/>
        </w:numPr>
        <w:spacing w:before="0" w:beforeAutospacing="0" w:after="0" w:afterAutospacing="0"/>
        <w:ind w:left="240"/>
        <w:textAlignment w:val="baseline"/>
        <w:rPr>
          <w:rFonts w:ascii="Arial" w:hAnsi="Arial" w:cs="Arial"/>
          <w:color w:val="000000"/>
          <w:sz w:val="22"/>
          <w:szCs w:val="22"/>
        </w:rPr>
      </w:pPr>
      <w:r>
        <w:rPr>
          <w:rFonts w:ascii="Arial" w:hAnsi="Arial" w:cs="Arial"/>
          <w:color w:val="1B1C1D"/>
          <w:sz w:val="22"/>
          <w:szCs w:val="22"/>
        </w:rPr>
        <w:t>To ensure compliance with regulatory guidelines and internal risk management policies.</w:t>
      </w:r>
    </w:p>
    <w:p w:rsidR="007C4C49" w:rsidRDefault="007C4C49" w:rsidP="007C4C49">
      <w:pPr>
        <w:pStyle w:val="NormalWeb"/>
        <w:numPr>
          <w:ilvl w:val="0"/>
          <w:numId w:val="1"/>
        </w:numPr>
        <w:spacing w:before="0" w:beforeAutospacing="0" w:after="0" w:afterAutospacing="0"/>
        <w:ind w:left="240"/>
        <w:textAlignment w:val="baseline"/>
        <w:rPr>
          <w:rFonts w:ascii="Arial" w:hAnsi="Arial" w:cs="Arial"/>
          <w:color w:val="000000"/>
          <w:sz w:val="22"/>
          <w:szCs w:val="22"/>
        </w:rPr>
      </w:pPr>
      <w:r>
        <w:rPr>
          <w:rFonts w:ascii="Arial" w:hAnsi="Arial" w:cs="Arial"/>
          <w:color w:val="1B1C1D"/>
          <w:sz w:val="22"/>
          <w:szCs w:val="22"/>
        </w:rPr>
        <w:t>To facilitate efficient and timely loan processing.</w:t>
      </w:r>
    </w:p>
    <w:p w:rsidR="007C4C49" w:rsidRDefault="007C4C49" w:rsidP="007C4C49">
      <w:pPr>
        <w:pStyle w:val="NormalWeb"/>
        <w:numPr>
          <w:ilvl w:val="0"/>
          <w:numId w:val="1"/>
        </w:numPr>
        <w:spacing w:before="0" w:beforeAutospacing="0" w:after="120" w:afterAutospacing="0"/>
        <w:ind w:left="240"/>
        <w:textAlignment w:val="baseline"/>
        <w:rPr>
          <w:rFonts w:ascii="Arial" w:hAnsi="Arial" w:cs="Arial"/>
          <w:color w:val="000000"/>
          <w:sz w:val="22"/>
          <w:szCs w:val="22"/>
        </w:rPr>
      </w:pPr>
      <w:r>
        <w:rPr>
          <w:rFonts w:ascii="Arial" w:hAnsi="Arial" w:cs="Arial"/>
          <w:color w:val="1B1C1D"/>
          <w:sz w:val="22"/>
          <w:szCs w:val="22"/>
        </w:rPr>
        <w:t>To minimize credit risk and delinquency rates.</w:t>
      </w:r>
    </w:p>
    <w:p w:rsidR="007C4C49" w:rsidRDefault="007C4C49" w:rsidP="007C4C49">
      <w:pPr>
        <w:pStyle w:val="NormalWeb"/>
        <w:spacing w:before="240" w:beforeAutospacing="0" w:after="240" w:afterAutospacing="0"/>
      </w:pPr>
      <w:r>
        <w:rPr>
          <w:rFonts w:ascii="Arial" w:hAnsi="Arial" w:cs="Arial"/>
          <w:b/>
          <w:bCs/>
          <w:color w:val="1B1C1D"/>
          <w:sz w:val="22"/>
          <w:szCs w:val="22"/>
        </w:rPr>
        <w:t>3. Eligibility Criteria</w:t>
      </w:r>
    </w:p>
    <w:p w:rsidR="007C4C49" w:rsidRDefault="007C4C49" w:rsidP="007C4C49">
      <w:pPr>
        <w:pStyle w:val="NormalWeb"/>
        <w:spacing w:before="0" w:beforeAutospacing="0" w:after="120" w:afterAutospacing="0"/>
      </w:pPr>
      <w:r>
        <w:rPr>
          <w:rFonts w:ascii="Arial" w:hAnsi="Arial" w:cs="Arial"/>
          <w:b/>
          <w:bCs/>
          <w:color w:val="1B1C1D"/>
          <w:sz w:val="22"/>
          <w:szCs w:val="22"/>
        </w:rPr>
        <w:t>3.1 Borrower Eligibility</w:t>
      </w:r>
    </w:p>
    <w:p w:rsidR="007C4C49" w:rsidRDefault="007C4C49" w:rsidP="007C4C49">
      <w:pPr>
        <w:pStyle w:val="NormalWeb"/>
        <w:numPr>
          <w:ilvl w:val="0"/>
          <w:numId w:val="2"/>
        </w:numPr>
        <w:spacing w:before="12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Age:</w:t>
      </w:r>
      <w:r>
        <w:rPr>
          <w:rFonts w:ascii="Arial" w:hAnsi="Arial" w:cs="Arial"/>
          <w:color w:val="1B1C1D"/>
          <w:sz w:val="22"/>
          <w:szCs w:val="22"/>
        </w:rPr>
        <w:t xml:space="preserve"> Minimum 21 years and maximum 60 years at loan maturity.</w:t>
      </w:r>
    </w:p>
    <w:p w:rsidR="007C4C49" w:rsidRDefault="007C4C49" w:rsidP="007C4C49">
      <w:pPr>
        <w:pStyle w:val="NormalWeb"/>
        <w:numPr>
          <w:ilvl w:val="0"/>
          <w:numId w:val="2"/>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Nationality:</w:t>
      </w:r>
      <w:r>
        <w:rPr>
          <w:rFonts w:ascii="Arial" w:hAnsi="Arial" w:cs="Arial"/>
          <w:color w:val="1B1C1D"/>
          <w:sz w:val="22"/>
          <w:szCs w:val="22"/>
        </w:rPr>
        <w:t xml:space="preserve"> Indian resident.</w:t>
      </w:r>
    </w:p>
    <w:p w:rsidR="007C4C49" w:rsidRDefault="007C4C49" w:rsidP="007C4C49">
      <w:pPr>
        <w:pStyle w:val="NormalWeb"/>
        <w:numPr>
          <w:ilvl w:val="0"/>
          <w:numId w:val="2"/>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Income:</w:t>
      </w:r>
      <w:r>
        <w:rPr>
          <w:rFonts w:ascii="Arial" w:hAnsi="Arial" w:cs="Arial"/>
          <w:color w:val="1B1C1D"/>
          <w:sz w:val="22"/>
          <w:szCs w:val="22"/>
        </w:rPr>
        <w:t xml:space="preserve"> Minimum net monthly income of ₹15,000 (may vary based on location and loan amount).</w:t>
      </w:r>
    </w:p>
    <w:p w:rsidR="007C4C49" w:rsidRDefault="007C4C49" w:rsidP="007C4C49">
      <w:pPr>
        <w:pStyle w:val="NormalWeb"/>
        <w:numPr>
          <w:ilvl w:val="0"/>
          <w:numId w:val="2"/>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Employment:</w:t>
      </w:r>
      <w:r>
        <w:rPr>
          <w:rFonts w:ascii="Arial" w:hAnsi="Arial" w:cs="Arial"/>
          <w:color w:val="1B1C1D"/>
          <w:sz w:val="22"/>
          <w:szCs w:val="22"/>
        </w:rPr>
        <w:t xml:space="preserve"> Salaried individuals with a minimum of 2 years of continuous employment or self-employed individuals with a stable business for at least 3 years.</w:t>
      </w:r>
    </w:p>
    <w:p w:rsidR="007C4C49" w:rsidRDefault="007C4C49" w:rsidP="007C4C49">
      <w:pPr>
        <w:pStyle w:val="NormalWeb"/>
        <w:numPr>
          <w:ilvl w:val="0"/>
          <w:numId w:val="2"/>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Credit Score:</w:t>
      </w:r>
      <w:r>
        <w:rPr>
          <w:rFonts w:ascii="Arial" w:hAnsi="Arial" w:cs="Arial"/>
          <w:color w:val="1B1C1D"/>
          <w:sz w:val="22"/>
          <w:szCs w:val="22"/>
        </w:rPr>
        <w:t xml:space="preserve"> Minimum credit score of 700 (CIBIL or equivalent).</w:t>
      </w:r>
    </w:p>
    <w:p w:rsidR="007C4C49" w:rsidRDefault="007C4C49" w:rsidP="007C4C49">
      <w:pPr>
        <w:pStyle w:val="NormalWeb"/>
        <w:numPr>
          <w:ilvl w:val="0"/>
          <w:numId w:val="2"/>
        </w:numPr>
        <w:spacing w:before="0" w:beforeAutospacing="0" w:after="120" w:afterAutospacing="0"/>
        <w:ind w:left="240"/>
        <w:textAlignment w:val="baseline"/>
        <w:rPr>
          <w:rFonts w:ascii="Arial" w:hAnsi="Arial" w:cs="Arial"/>
          <w:color w:val="000000"/>
          <w:sz w:val="22"/>
          <w:szCs w:val="22"/>
        </w:rPr>
      </w:pPr>
      <w:r>
        <w:rPr>
          <w:rFonts w:ascii="Arial" w:hAnsi="Arial" w:cs="Arial"/>
          <w:b/>
          <w:bCs/>
          <w:color w:val="1B1C1D"/>
          <w:sz w:val="22"/>
          <w:szCs w:val="22"/>
        </w:rPr>
        <w:t>Existing Obligations:</w:t>
      </w:r>
      <w:r>
        <w:rPr>
          <w:rFonts w:ascii="Arial" w:hAnsi="Arial" w:cs="Arial"/>
          <w:color w:val="1B1C1D"/>
          <w:sz w:val="22"/>
          <w:szCs w:val="22"/>
        </w:rPr>
        <w:t xml:space="preserve"> Acceptable debt-to-income ratio (typically not exceeding 40%).</w:t>
      </w:r>
    </w:p>
    <w:p w:rsidR="007C4C49" w:rsidRDefault="007C4C49" w:rsidP="007C4C49">
      <w:pPr>
        <w:pStyle w:val="NormalWeb"/>
        <w:spacing w:before="240" w:beforeAutospacing="0" w:after="120" w:afterAutospacing="0"/>
      </w:pPr>
      <w:r>
        <w:rPr>
          <w:rFonts w:ascii="Arial" w:hAnsi="Arial" w:cs="Arial"/>
          <w:b/>
          <w:bCs/>
          <w:color w:val="1B1C1D"/>
          <w:sz w:val="22"/>
          <w:szCs w:val="22"/>
        </w:rPr>
        <w:t>3.2 Vehicle Eligibility</w:t>
      </w:r>
    </w:p>
    <w:p w:rsidR="007C4C49" w:rsidRDefault="007C4C49" w:rsidP="007C4C49">
      <w:pPr>
        <w:pStyle w:val="NormalWeb"/>
        <w:numPr>
          <w:ilvl w:val="0"/>
          <w:numId w:val="3"/>
        </w:numPr>
        <w:spacing w:before="12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Vehicle Type:</w:t>
      </w:r>
      <w:r>
        <w:rPr>
          <w:rFonts w:ascii="Arial" w:hAnsi="Arial" w:cs="Arial"/>
          <w:color w:val="1B1C1D"/>
          <w:sz w:val="22"/>
          <w:szCs w:val="22"/>
        </w:rPr>
        <w:t xml:space="preserve"> New or used two-wheelers (motorcycles, scooters) of approved makes and models.</w:t>
      </w:r>
    </w:p>
    <w:p w:rsidR="007C4C49" w:rsidRDefault="007C4C49" w:rsidP="007C4C49">
      <w:pPr>
        <w:pStyle w:val="NormalWeb"/>
        <w:numPr>
          <w:ilvl w:val="0"/>
          <w:numId w:val="3"/>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Age of Vehicle:</w:t>
      </w:r>
      <w:r>
        <w:rPr>
          <w:rFonts w:ascii="Arial" w:hAnsi="Arial" w:cs="Arial"/>
          <w:color w:val="1B1C1D"/>
          <w:sz w:val="22"/>
          <w:szCs w:val="22"/>
        </w:rPr>
        <w:t xml:space="preserve"> For used vehicles, the age should not exceed 5 years at the end of the loan tenure.</w:t>
      </w:r>
    </w:p>
    <w:p w:rsidR="007C4C49" w:rsidRDefault="007C4C49" w:rsidP="007C4C49">
      <w:pPr>
        <w:pStyle w:val="NormalWeb"/>
        <w:numPr>
          <w:ilvl w:val="0"/>
          <w:numId w:val="3"/>
        </w:numPr>
        <w:spacing w:before="0" w:beforeAutospacing="0" w:after="120" w:afterAutospacing="0"/>
        <w:ind w:left="240"/>
        <w:textAlignment w:val="baseline"/>
        <w:rPr>
          <w:rFonts w:ascii="Arial" w:hAnsi="Arial" w:cs="Arial"/>
          <w:color w:val="000000"/>
          <w:sz w:val="22"/>
          <w:szCs w:val="22"/>
        </w:rPr>
      </w:pPr>
      <w:r>
        <w:rPr>
          <w:rFonts w:ascii="Arial" w:hAnsi="Arial" w:cs="Arial"/>
          <w:b/>
          <w:bCs/>
          <w:color w:val="1B1C1D"/>
          <w:sz w:val="22"/>
          <w:szCs w:val="22"/>
        </w:rPr>
        <w:t>Registration:</w:t>
      </w:r>
      <w:r>
        <w:rPr>
          <w:rFonts w:ascii="Arial" w:hAnsi="Arial" w:cs="Arial"/>
          <w:color w:val="1B1C1D"/>
          <w:sz w:val="22"/>
          <w:szCs w:val="22"/>
        </w:rPr>
        <w:t xml:space="preserve"> Vehicle should be registered in India.</w:t>
      </w:r>
    </w:p>
    <w:p w:rsidR="007C4C49" w:rsidRDefault="007C4C49" w:rsidP="007C4C49">
      <w:pPr>
        <w:pStyle w:val="NormalWeb"/>
        <w:spacing w:before="240" w:beforeAutospacing="0" w:after="120" w:afterAutospacing="0"/>
      </w:pPr>
      <w:r>
        <w:rPr>
          <w:rFonts w:ascii="Arial" w:hAnsi="Arial" w:cs="Arial"/>
          <w:b/>
          <w:bCs/>
          <w:color w:val="1B1C1D"/>
          <w:sz w:val="22"/>
          <w:szCs w:val="22"/>
        </w:rPr>
        <w:t>4. Loan Parameters</w:t>
      </w:r>
    </w:p>
    <w:p w:rsidR="007C4C49" w:rsidRDefault="007C4C49" w:rsidP="007C4C49">
      <w:pPr>
        <w:pStyle w:val="NormalWeb"/>
        <w:numPr>
          <w:ilvl w:val="0"/>
          <w:numId w:val="4"/>
        </w:numPr>
        <w:spacing w:before="12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Loan Amount:</w:t>
      </w:r>
      <w:r>
        <w:rPr>
          <w:rFonts w:ascii="Arial" w:hAnsi="Arial" w:cs="Arial"/>
          <w:color w:val="1B1C1D"/>
          <w:sz w:val="22"/>
          <w:szCs w:val="22"/>
        </w:rPr>
        <w:t xml:space="preserve"> Minimum ₹20,000 and maximum ₹2,00,000 (may vary based on vehicle and borrower profile).</w:t>
      </w:r>
    </w:p>
    <w:p w:rsidR="007C4C49" w:rsidRDefault="007C4C49" w:rsidP="007C4C49">
      <w:pPr>
        <w:pStyle w:val="NormalWeb"/>
        <w:numPr>
          <w:ilvl w:val="0"/>
          <w:numId w:val="4"/>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Loan Tenure:</w:t>
      </w:r>
      <w:r>
        <w:rPr>
          <w:rFonts w:ascii="Arial" w:hAnsi="Arial" w:cs="Arial"/>
          <w:color w:val="1B1C1D"/>
          <w:sz w:val="22"/>
          <w:szCs w:val="22"/>
        </w:rPr>
        <w:t xml:space="preserve"> Minimum 12 months and maximum 60 months.</w:t>
      </w:r>
    </w:p>
    <w:p w:rsidR="007C4C49" w:rsidRDefault="007C4C49" w:rsidP="007C4C49">
      <w:pPr>
        <w:pStyle w:val="NormalWeb"/>
        <w:numPr>
          <w:ilvl w:val="0"/>
          <w:numId w:val="4"/>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Interest Rate:</w:t>
      </w:r>
      <w:r>
        <w:rPr>
          <w:rFonts w:ascii="Arial" w:hAnsi="Arial" w:cs="Arial"/>
          <w:color w:val="1B1C1D"/>
          <w:sz w:val="22"/>
          <w:szCs w:val="22"/>
        </w:rPr>
        <w:t xml:space="preserve"> Competitive interest rates based on market conditions and borrower risk profile.</w:t>
      </w:r>
    </w:p>
    <w:p w:rsidR="007C4C49" w:rsidRDefault="007C4C49" w:rsidP="007C4C49">
      <w:pPr>
        <w:pStyle w:val="NormalWeb"/>
        <w:numPr>
          <w:ilvl w:val="0"/>
          <w:numId w:val="4"/>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Loan-to-Value (LTV):</w:t>
      </w:r>
      <w:r>
        <w:rPr>
          <w:rFonts w:ascii="Arial" w:hAnsi="Arial" w:cs="Arial"/>
          <w:color w:val="1B1C1D"/>
          <w:sz w:val="22"/>
          <w:szCs w:val="22"/>
        </w:rPr>
        <w:t xml:space="preserve"> Up to 85% for new vehicles and up to 75% for used vehicles.</w:t>
      </w:r>
    </w:p>
    <w:p w:rsidR="007C4C49" w:rsidRDefault="007C4C49" w:rsidP="007C4C49">
      <w:pPr>
        <w:pStyle w:val="NormalWeb"/>
        <w:numPr>
          <w:ilvl w:val="0"/>
          <w:numId w:val="4"/>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Down Payment:</w:t>
      </w:r>
      <w:r>
        <w:rPr>
          <w:rFonts w:ascii="Arial" w:hAnsi="Arial" w:cs="Arial"/>
          <w:color w:val="1B1C1D"/>
          <w:sz w:val="22"/>
          <w:szCs w:val="22"/>
        </w:rPr>
        <w:t xml:space="preserve"> Minimum down payment as per LTV guidelines.</w:t>
      </w:r>
    </w:p>
    <w:p w:rsidR="007C4C49" w:rsidRDefault="007C4C49" w:rsidP="007C4C49">
      <w:pPr>
        <w:pStyle w:val="NormalWeb"/>
        <w:numPr>
          <w:ilvl w:val="0"/>
          <w:numId w:val="4"/>
        </w:numPr>
        <w:spacing w:before="0" w:beforeAutospacing="0" w:after="120" w:afterAutospacing="0"/>
        <w:ind w:left="240"/>
        <w:textAlignment w:val="baseline"/>
        <w:rPr>
          <w:rFonts w:ascii="Arial" w:hAnsi="Arial" w:cs="Arial"/>
          <w:color w:val="000000"/>
          <w:sz w:val="22"/>
          <w:szCs w:val="22"/>
        </w:rPr>
      </w:pPr>
      <w:r>
        <w:rPr>
          <w:rFonts w:ascii="Arial" w:hAnsi="Arial" w:cs="Arial"/>
          <w:b/>
          <w:bCs/>
          <w:color w:val="1B1C1D"/>
          <w:sz w:val="22"/>
          <w:szCs w:val="22"/>
        </w:rPr>
        <w:t>Processing Fees:</w:t>
      </w:r>
      <w:r>
        <w:rPr>
          <w:rFonts w:ascii="Arial" w:hAnsi="Arial" w:cs="Arial"/>
          <w:color w:val="1B1C1D"/>
          <w:sz w:val="22"/>
          <w:szCs w:val="22"/>
        </w:rPr>
        <w:t xml:space="preserve"> As per the NBFC's fee schedule.</w:t>
      </w:r>
    </w:p>
    <w:p w:rsidR="007C4C49" w:rsidRDefault="007C4C49" w:rsidP="007C4C49">
      <w:pPr>
        <w:pStyle w:val="NormalWeb"/>
        <w:spacing w:before="240" w:beforeAutospacing="0" w:after="240" w:afterAutospacing="0"/>
      </w:pPr>
      <w:r>
        <w:rPr>
          <w:rFonts w:ascii="Arial" w:hAnsi="Arial" w:cs="Arial"/>
          <w:b/>
          <w:bCs/>
          <w:color w:val="1B1C1D"/>
          <w:sz w:val="22"/>
          <w:szCs w:val="22"/>
        </w:rPr>
        <w:t>5. Credit Assessment</w:t>
      </w:r>
    </w:p>
    <w:p w:rsidR="007C4C49" w:rsidRDefault="007C4C49" w:rsidP="007C4C49">
      <w:pPr>
        <w:pStyle w:val="NormalWeb"/>
        <w:spacing w:before="0" w:beforeAutospacing="0" w:after="120" w:afterAutospacing="0"/>
      </w:pPr>
      <w:r>
        <w:rPr>
          <w:rFonts w:ascii="Arial" w:hAnsi="Arial" w:cs="Arial"/>
          <w:b/>
          <w:bCs/>
          <w:color w:val="1B1C1D"/>
          <w:sz w:val="22"/>
          <w:szCs w:val="22"/>
        </w:rPr>
        <w:t>5.1 Credit Score and Report</w:t>
      </w:r>
    </w:p>
    <w:p w:rsidR="007C4C49" w:rsidRDefault="007C4C49" w:rsidP="007C4C49">
      <w:pPr>
        <w:pStyle w:val="NormalWeb"/>
        <w:numPr>
          <w:ilvl w:val="0"/>
          <w:numId w:val="5"/>
        </w:numPr>
        <w:spacing w:before="120" w:beforeAutospacing="0" w:after="0" w:afterAutospacing="0"/>
        <w:ind w:left="240"/>
        <w:textAlignment w:val="baseline"/>
        <w:rPr>
          <w:rFonts w:ascii="Arial" w:hAnsi="Arial" w:cs="Arial"/>
          <w:color w:val="000000"/>
          <w:sz w:val="22"/>
          <w:szCs w:val="22"/>
        </w:rPr>
      </w:pPr>
      <w:r>
        <w:rPr>
          <w:rFonts w:ascii="Arial" w:hAnsi="Arial" w:cs="Arial"/>
          <w:color w:val="1B1C1D"/>
          <w:sz w:val="22"/>
          <w:szCs w:val="22"/>
        </w:rPr>
        <w:t>Obtain credit report from approved credit bureaus (CIBIL, Equifax, Experian).</w:t>
      </w:r>
    </w:p>
    <w:p w:rsidR="007C4C49" w:rsidRDefault="007C4C49" w:rsidP="007C4C49">
      <w:pPr>
        <w:pStyle w:val="NormalWeb"/>
        <w:numPr>
          <w:ilvl w:val="0"/>
          <w:numId w:val="5"/>
        </w:numPr>
        <w:spacing w:before="0" w:beforeAutospacing="0" w:after="0" w:afterAutospacing="0"/>
        <w:ind w:left="240"/>
        <w:textAlignment w:val="baseline"/>
        <w:rPr>
          <w:rFonts w:ascii="Arial" w:hAnsi="Arial" w:cs="Arial"/>
          <w:color w:val="000000"/>
          <w:sz w:val="22"/>
          <w:szCs w:val="22"/>
        </w:rPr>
      </w:pPr>
      <w:r>
        <w:rPr>
          <w:rFonts w:ascii="Arial" w:hAnsi="Arial" w:cs="Arial"/>
          <w:color w:val="1B1C1D"/>
          <w:sz w:val="22"/>
          <w:szCs w:val="22"/>
        </w:rPr>
        <w:t>Evaluate credit score, credit history, and outstanding obligations.</w:t>
      </w:r>
    </w:p>
    <w:p w:rsidR="007C4C49" w:rsidRDefault="007C4C49" w:rsidP="007C4C49">
      <w:pPr>
        <w:pStyle w:val="NormalWeb"/>
        <w:numPr>
          <w:ilvl w:val="0"/>
          <w:numId w:val="5"/>
        </w:numPr>
        <w:spacing w:before="0" w:beforeAutospacing="0" w:after="120" w:afterAutospacing="0"/>
        <w:ind w:left="240"/>
        <w:textAlignment w:val="baseline"/>
        <w:rPr>
          <w:rFonts w:ascii="Arial" w:hAnsi="Arial" w:cs="Arial"/>
          <w:color w:val="000000"/>
          <w:sz w:val="22"/>
          <w:szCs w:val="22"/>
        </w:rPr>
      </w:pPr>
      <w:r>
        <w:rPr>
          <w:rFonts w:ascii="Arial" w:hAnsi="Arial" w:cs="Arial"/>
          <w:color w:val="1B1C1D"/>
          <w:sz w:val="22"/>
          <w:szCs w:val="22"/>
        </w:rPr>
        <w:t>Review for any adverse credit events (delinquencies, defaults, settlements).</w:t>
      </w:r>
    </w:p>
    <w:p w:rsidR="007C4C49" w:rsidRDefault="007C4C49" w:rsidP="007C4C49">
      <w:pPr>
        <w:pStyle w:val="NormalWeb"/>
        <w:spacing w:before="240" w:beforeAutospacing="0" w:after="120" w:afterAutospacing="0"/>
      </w:pPr>
      <w:r>
        <w:rPr>
          <w:rFonts w:ascii="Arial" w:hAnsi="Arial" w:cs="Arial"/>
          <w:b/>
          <w:bCs/>
          <w:color w:val="1B1C1D"/>
          <w:sz w:val="22"/>
          <w:szCs w:val="22"/>
        </w:rPr>
        <w:t>5.2 Income Verification</w:t>
      </w:r>
    </w:p>
    <w:p w:rsidR="007C4C49" w:rsidRDefault="007C4C49" w:rsidP="007C4C49">
      <w:pPr>
        <w:pStyle w:val="NormalWeb"/>
        <w:numPr>
          <w:ilvl w:val="0"/>
          <w:numId w:val="6"/>
        </w:numPr>
        <w:spacing w:before="12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Salaried Individuals:</w:t>
      </w:r>
    </w:p>
    <w:p w:rsidR="007C4C49" w:rsidRDefault="007C4C49" w:rsidP="007C4C49">
      <w:pPr>
        <w:pStyle w:val="NormalWeb"/>
        <w:numPr>
          <w:ilvl w:val="0"/>
          <w:numId w:val="7"/>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lastRenderedPageBreak/>
        <w:t>Latest 3 months' salary slips.</w:t>
      </w:r>
    </w:p>
    <w:p w:rsidR="007C4C49" w:rsidRDefault="007C4C49" w:rsidP="007C4C49">
      <w:pPr>
        <w:pStyle w:val="NormalWeb"/>
        <w:numPr>
          <w:ilvl w:val="0"/>
          <w:numId w:val="7"/>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Latest Form 16 or Income Tax Returns.</w:t>
      </w:r>
    </w:p>
    <w:p w:rsidR="007C4C49" w:rsidRDefault="007C4C49" w:rsidP="007C4C49">
      <w:pPr>
        <w:pStyle w:val="NormalWeb"/>
        <w:numPr>
          <w:ilvl w:val="0"/>
          <w:numId w:val="7"/>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Bank statement for the last 6 months.</w:t>
      </w:r>
    </w:p>
    <w:p w:rsidR="007C4C49" w:rsidRDefault="007C4C49" w:rsidP="007C4C49">
      <w:pPr>
        <w:pStyle w:val="NormalWeb"/>
        <w:numPr>
          <w:ilvl w:val="0"/>
          <w:numId w:val="8"/>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Self-Employed Individuals:</w:t>
      </w:r>
    </w:p>
    <w:p w:rsidR="007C4C49" w:rsidRDefault="007C4C49" w:rsidP="007C4C49">
      <w:pPr>
        <w:pStyle w:val="NormalWeb"/>
        <w:numPr>
          <w:ilvl w:val="0"/>
          <w:numId w:val="9"/>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Latest 2 years' Income Tax Returns with computation of income.</w:t>
      </w:r>
    </w:p>
    <w:p w:rsidR="007C4C49" w:rsidRDefault="007C4C49" w:rsidP="007C4C49">
      <w:pPr>
        <w:pStyle w:val="NormalWeb"/>
        <w:numPr>
          <w:ilvl w:val="0"/>
          <w:numId w:val="9"/>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Bank statement for the last 12 months.</w:t>
      </w:r>
    </w:p>
    <w:p w:rsidR="007C4C49" w:rsidRDefault="007C4C49" w:rsidP="007C4C49">
      <w:pPr>
        <w:pStyle w:val="NormalWeb"/>
        <w:numPr>
          <w:ilvl w:val="0"/>
          <w:numId w:val="9"/>
        </w:numPr>
        <w:spacing w:before="0" w:beforeAutospacing="0" w:after="60" w:afterAutospacing="0"/>
        <w:ind w:left="480"/>
        <w:textAlignment w:val="baseline"/>
        <w:rPr>
          <w:rFonts w:ascii="Arial" w:hAnsi="Arial" w:cs="Arial"/>
          <w:color w:val="000000"/>
          <w:sz w:val="22"/>
          <w:szCs w:val="22"/>
        </w:rPr>
      </w:pPr>
      <w:r>
        <w:rPr>
          <w:rFonts w:ascii="Arial" w:hAnsi="Arial" w:cs="Arial"/>
          <w:color w:val="1B1C1D"/>
          <w:sz w:val="22"/>
          <w:szCs w:val="22"/>
        </w:rPr>
        <w:t>Proof of business existence (registration certificate, GST registration, etc.).</w:t>
      </w:r>
    </w:p>
    <w:p w:rsidR="007C4C49" w:rsidRDefault="007C4C49" w:rsidP="007C4C49">
      <w:pPr>
        <w:pStyle w:val="NormalWeb"/>
        <w:spacing w:before="240" w:beforeAutospacing="0" w:after="120" w:afterAutospacing="0"/>
      </w:pPr>
      <w:r>
        <w:rPr>
          <w:rFonts w:ascii="Arial" w:hAnsi="Arial" w:cs="Arial"/>
          <w:b/>
          <w:bCs/>
          <w:color w:val="1B1C1D"/>
          <w:sz w:val="22"/>
          <w:szCs w:val="22"/>
        </w:rPr>
        <w:t>5.3 Employment Verification</w:t>
      </w:r>
    </w:p>
    <w:p w:rsidR="007C4C49" w:rsidRDefault="007C4C49" w:rsidP="007C4C49">
      <w:pPr>
        <w:pStyle w:val="NormalWeb"/>
        <w:numPr>
          <w:ilvl w:val="0"/>
          <w:numId w:val="10"/>
        </w:numPr>
        <w:spacing w:before="12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Salaried Individuals:</w:t>
      </w:r>
    </w:p>
    <w:p w:rsidR="007C4C49" w:rsidRDefault="007C4C49" w:rsidP="007C4C49">
      <w:pPr>
        <w:pStyle w:val="NormalWeb"/>
        <w:numPr>
          <w:ilvl w:val="0"/>
          <w:numId w:val="11"/>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Employment confirmation letter from current employer.</w:t>
      </w:r>
    </w:p>
    <w:p w:rsidR="007C4C49" w:rsidRDefault="007C4C49" w:rsidP="007C4C49">
      <w:pPr>
        <w:pStyle w:val="NormalWeb"/>
        <w:numPr>
          <w:ilvl w:val="0"/>
          <w:numId w:val="12"/>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Self-Employed Individuals:</w:t>
      </w:r>
    </w:p>
    <w:p w:rsidR="007C4C49" w:rsidRDefault="007C4C49" w:rsidP="007C4C49">
      <w:pPr>
        <w:pStyle w:val="NormalWeb"/>
        <w:numPr>
          <w:ilvl w:val="0"/>
          <w:numId w:val="13"/>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Business address verification.</w:t>
      </w:r>
    </w:p>
    <w:p w:rsidR="007C4C49" w:rsidRDefault="007C4C49" w:rsidP="007C4C49">
      <w:pPr>
        <w:pStyle w:val="NormalWeb"/>
        <w:numPr>
          <w:ilvl w:val="0"/>
          <w:numId w:val="13"/>
        </w:numPr>
        <w:spacing w:before="0" w:beforeAutospacing="0" w:after="60" w:afterAutospacing="0"/>
        <w:ind w:left="480"/>
        <w:textAlignment w:val="baseline"/>
        <w:rPr>
          <w:rFonts w:ascii="Arial" w:hAnsi="Arial" w:cs="Arial"/>
          <w:color w:val="000000"/>
          <w:sz w:val="22"/>
          <w:szCs w:val="22"/>
        </w:rPr>
      </w:pPr>
      <w:r>
        <w:rPr>
          <w:rFonts w:ascii="Arial" w:hAnsi="Arial" w:cs="Arial"/>
          <w:color w:val="1B1C1D"/>
          <w:sz w:val="22"/>
          <w:szCs w:val="22"/>
        </w:rPr>
        <w:t>Trade references.</w:t>
      </w:r>
    </w:p>
    <w:p w:rsidR="007C4C49" w:rsidRDefault="007C4C49" w:rsidP="007C4C49">
      <w:pPr>
        <w:pStyle w:val="NormalWeb"/>
        <w:spacing w:before="240" w:beforeAutospacing="0" w:after="120" w:afterAutospacing="0"/>
      </w:pPr>
      <w:r>
        <w:rPr>
          <w:rFonts w:ascii="Arial" w:hAnsi="Arial" w:cs="Arial"/>
          <w:b/>
          <w:bCs/>
          <w:color w:val="1B1C1D"/>
          <w:sz w:val="22"/>
          <w:szCs w:val="22"/>
        </w:rPr>
        <w:t>5.4 Identity and Residence Verification</w:t>
      </w:r>
    </w:p>
    <w:p w:rsidR="007C4C49" w:rsidRDefault="007C4C49" w:rsidP="007C4C49">
      <w:pPr>
        <w:pStyle w:val="NormalWeb"/>
        <w:numPr>
          <w:ilvl w:val="0"/>
          <w:numId w:val="14"/>
        </w:numPr>
        <w:spacing w:before="12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Identity Proof:</w:t>
      </w:r>
      <w:r>
        <w:rPr>
          <w:rFonts w:ascii="Arial" w:hAnsi="Arial" w:cs="Arial"/>
          <w:color w:val="1B1C1D"/>
          <w:sz w:val="22"/>
          <w:szCs w:val="22"/>
        </w:rPr>
        <w:t xml:space="preserve"> Aadhaar card, PAN card, Voter ID, Passport, Driving License.</w:t>
      </w:r>
    </w:p>
    <w:p w:rsidR="007C4C49" w:rsidRDefault="007C4C49" w:rsidP="007C4C49">
      <w:pPr>
        <w:pStyle w:val="NormalWeb"/>
        <w:numPr>
          <w:ilvl w:val="0"/>
          <w:numId w:val="14"/>
        </w:numPr>
        <w:spacing w:before="0" w:beforeAutospacing="0" w:after="120" w:afterAutospacing="0"/>
        <w:ind w:left="240"/>
        <w:textAlignment w:val="baseline"/>
        <w:rPr>
          <w:rFonts w:ascii="Arial" w:hAnsi="Arial" w:cs="Arial"/>
          <w:color w:val="000000"/>
          <w:sz w:val="22"/>
          <w:szCs w:val="22"/>
        </w:rPr>
      </w:pPr>
      <w:r>
        <w:rPr>
          <w:rFonts w:ascii="Arial" w:hAnsi="Arial" w:cs="Arial"/>
          <w:b/>
          <w:bCs/>
          <w:color w:val="1B1C1D"/>
          <w:sz w:val="22"/>
          <w:szCs w:val="22"/>
        </w:rPr>
        <w:t>Residence Proof:</w:t>
      </w:r>
      <w:r>
        <w:rPr>
          <w:rFonts w:ascii="Arial" w:hAnsi="Arial" w:cs="Arial"/>
          <w:color w:val="1B1C1D"/>
          <w:sz w:val="22"/>
          <w:szCs w:val="22"/>
        </w:rPr>
        <w:t xml:space="preserve"> Aadhaar card, Voter ID, Passport, Utility bills (electricity, gas, water) not older than 3 months.</w:t>
      </w:r>
    </w:p>
    <w:p w:rsidR="007C4C49" w:rsidRDefault="007C4C49" w:rsidP="007C4C49">
      <w:pPr>
        <w:pStyle w:val="NormalWeb"/>
        <w:spacing w:before="240" w:beforeAutospacing="0" w:after="120" w:afterAutospacing="0"/>
      </w:pPr>
      <w:r>
        <w:rPr>
          <w:rFonts w:ascii="Arial" w:hAnsi="Arial" w:cs="Arial"/>
          <w:b/>
          <w:bCs/>
          <w:color w:val="1B1C1D"/>
          <w:sz w:val="22"/>
          <w:szCs w:val="22"/>
        </w:rPr>
        <w:t>6. Loan Documentation</w:t>
      </w:r>
    </w:p>
    <w:p w:rsidR="007C4C49" w:rsidRDefault="007C4C49" w:rsidP="007C4C49">
      <w:pPr>
        <w:pStyle w:val="NormalWeb"/>
        <w:numPr>
          <w:ilvl w:val="0"/>
          <w:numId w:val="15"/>
        </w:numPr>
        <w:spacing w:before="12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Application Form:</w:t>
      </w:r>
      <w:r>
        <w:rPr>
          <w:rFonts w:ascii="Arial" w:hAnsi="Arial" w:cs="Arial"/>
          <w:color w:val="1B1C1D"/>
          <w:sz w:val="22"/>
          <w:szCs w:val="22"/>
        </w:rPr>
        <w:t xml:space="preserve"> Duly filled and signed loan application form.</w:t>
      </w:r>
    </w:p>
    <w:p w:rsidR="007C4C49" w:rsidRDefault="007C4C49" w:rsidP="007C4C49">
      <w:pPr>
        <w:pStyle w:val="NormalWeb"/>
        <w:numPr>
          <w:ilvl w:val="0"/>
          <w:numId w:val="15"/>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KYC Documents:</w:t>
      </w:r>
      <w:r>
        <w:rPr>
          <w:rFonts w:ascii="Arial" w:hAnsi="Arial" w:cs="Arial"/>
          <w:color w:val="1B1C1D"/>
          <w:sz w:val="22"/>
          <w:szCs w:val="22"/>
        </w:rPr>
        <w:t xml:space="preserve"> Identity and residence proof as mentioned above.</w:t>
      </w:r>
    </w:p>
    <w:p w:rsidR="007C4C49" w:rsidRDefault="007C4C49" w:rsidP="007C4C49">
      <w:pPr>
        <w:pStyle w:val="NormalWeb"/>
        <w:numPr>
          <w:ilvl w:val="0"/>
          <w:numId w:val="15"/>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Income Documents:</w:t>
      </w:r>
      <w:r>
        <w:rPr>
          <w:rFonts w:ascii="Arial" w:hAnsi="Arial" w:cs="Arial"/>
          <w:color w:val="1B1C1D"/>
          <w:sz w:val="22"/>
          <w:szCs w:val="22"/>
        </w:rPr>
        <w:t xml:space="preserve"> As mentioned in the income verification section.</w:t>
      </w:r>
    </w:p>
    <w:p w:rsidR="007C4C49" w:rsidRDefault="007C4C49" w:rsidP="007C4C49">
      <w:pPr>
        <w:pStyle w:val="NormalWeb"/>
        <w:numPr>
          <w:ilvl w:val="0"/>
          <w:numId w:val="15"/>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Vehicle Documents:</w:t>
      </w:r>
    </w:p>
    <w:p w:rsidR="007C4C49" w:rsidRDefault="007C4C49" w:rsidP="007C4C49">
      <w:pPr>
        <w:pStyle w:val="NormalWeb"/>
        <w:numPr>
          <w:ilvl w:val="0"/>
          <w:numId w:val="16"/>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Proforma invoice or quotation for new vehicles.</w:t>
      </w:r>
    </w:p>
    <w:p w:rsidR="007C4C49" w:rsidRDefault="007C4C49" w:rsidP="007C4C49">
      <w:pPr>
        <w:pStyle w:val="NormalWeb"/>
        <w:numPr>
          <w:ilvl w:val="0"/>
          <w:numId w:val="16"/>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Registration Certificate (RC book) for used vehicles.</w:t>
      </w:r>
    </w:p>
    <w:p w:rsidR="007C4C49" w:rsidRDefault="007C4C49" w:rsidP="007C4C49">
      <w:pPr>
        <w:pStyle w:val="NormalWeb"/>
        <w:numPr>
          <w:ilvl w:val="0"/>
          <w:numId w:val="16"/>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Insurance policy.</w:t>
      </w:r>
    </w:p>
    <w:p w:rsidR="007C4C49" w:rsidRDefault="007C4C49" w:rsidP="007C4C49">
      <w:pPr>
        <w:pStyle w:val="NormalWeb"/>
        <w:numPr>
          <w:ilvl w:val="0"/>
          <w:numId w:val="17"/>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Other Documents:</w:t>
      </w:r>
    </w:p>
    <w:p w:rsidR="007C4C49" w:rsidRDefault="007C4C49" w:rsidP="007C4C49">
      <w:pPr>
        <w:pStyle w:val="NormalWeb"/>
        <w:numPr>
          <w:ilvl w:val="0"/>
          <w:numId w:val="18"/>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Passport size photographs.</w:t>
      </w:r>
    </w:p>
    <w:p w:rsidR="007C4C49" w:rsidRDefault="007C4C49" w:rsidP="007C4C49">
      <w:pPr>
        <w:pStyle w:val="NormalWeb"/>
        <w:numPr>
          <w:ilvl w:val="0"/>
          <w:numId w:val="18"/>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Loan agreement.</w:t>
      </w:r>
    </w:p>
    <w:p w:rsidR="007C4C49" w:rsidRDefault="007C4C49" w:rsidP="007C4C49">
      <w:pPr>
        <w:pStyle w:val="NormalWeb"/>
        <w:numPr>
          <w:ilvl w:val="0"/>
          <w:numId w:val="18"/>
        </w:numPr>
        <w:spacing w:before="0" w:beforeAutospacing="0" w:after="60" w:afterAutospacing="0"/>
        <w:ind w:left="480"/>
        <w:textAlignment w:val="baseline"/>
        <w:rPr>
          <w:rFonts w:ascii="Arial" w:hAnsi="Arial" w:cs="Arial"/>
          <w:color w:val="000000"/>
          <w:sz w:val="22"/>
          <w:szCs w:val="22"/>
        </w:rPr>
      </w:pPr>
      <w:r>
        <w:rPr>
          <w:rFonts w:ascii="Arial" w:hAnsi="Arial" w:cs="Arial"/>
          <w:color w:val="1B1C1D"/>
          <w:sz w:val="22"/>
          <w:szCs w:val="22"/>
        </w:rPr>
        <w:t>Security documents (if applicable).</w:t>
      </w:r>
    </w:p>
    <w:p w:rsidR="007C4C49" w:rsidRDefault="007C4C49" w:rsidP="007C4C49">
      <w:pPr>
        <w:pStyle w:val="NormalWeb"/>
        <w:spacing w:before="240" w:beforeAutospacing="0" w:after="120" w:afterAutospacing="0"/>
      </w:pPr>
      <w:r>
        <w:rPr>
          <w:rFonts w:ascii="Arial" w:hAnsi="Arial" w:cs="Arial"/>
          <w:b/>
          <w:bCs/>
          <w:color w:val="1B1C1D"/>
          <w:sz w:val="22"/>
          <w:szCs w:val="22"/>
        </w:rPr>
        <w:t>7. Underwriting Guidelines</w:t>
      </w:r>
    </w:p>
    <w:p w:rsidR="007C4C49" w:rsidRDefault="007C4C49" w:rsidP="007C4C49">
      <w:pPr>
        <w:pStyle w:val="NormalWeb"/>
        <w:numPr>
          <w:ilvl w:val="0"/>
          <w:numId w:val="19"/>
        </w:numPr>
        <w:spacing w:before="12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Credit Score:</w:t>
      </w:r>
    </w:p>
    <w:p w:rsidR="007C4C49" w:rsidRDefault="007C4C49" w:rsidP="007C4C49">
      <w:pPr>
        <w:pStyle w:val="NormalWeb"/>
        <w:numPr>
          <w:ilvl w:val="0"/>
          <w:numId w:val="20"/>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750 and above: Low risk, eligible for higher LTV and lower interest rates.</w:t>
      </w:r>
    </w:p>
    <w:p w:rsidR="007C4C49" w:rsidRDefault="007C4C49" w:rsidP="007C4C49">
      <w:pPr>
        <w:pStyle w:val="NormalWeb"/>
        <w:numPr>
          <w:ilvl w:val="0"/>
          <w:numId w:val="20"/>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700-749: Moderate risk, standard LTV and interest rates.</w:t>
      </w:r>
    </w:p>
    <w:p w:rsidR="007C4C49" w:rsidRDefault="007C4C49" w:rsidP="007C4C49">
      <w:pPr>
        <w:pStyle w:val="NormalWeb"/>
        <w:numPr>
          <w:ilvl w:val="0"/>
          <w:numId w:val="20"/>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Below 700: High risk, lower LTV, higher interest rates, or loan rejection.</w:t>
      </w:r>
    </w:p>
    <w:p w:rsidR="007C4C49" w:rsidRDefault="007C4C49" w:rsidP="007C4C49">
      <w:pPr>
        <w:pStyle w:val="NormalWeb"/>
        <w:numPr>
          <w:ilvl w:val="0"/>
          <w:numId w:val="21"/>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Income Stability:</w:t>
      </w:r>
    </w:p>
    <w:p w:rsidR="007C4C49" w:rsidRDefault="007C4C49" w:rsidP="007C4C49">
      <w:pPr>
        <w:pStyle w:val="NormalWeb"/>
        <w:numPr>
          <w:ilvl w:val="0"/>
          <w:numId w:val="22"/>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Verify income source and stability.</w:t>
      </w:r>
    </w:p>
    <w:p w:rsidR="007C4C49" w:rsidRDefault="007C4C49" w:rsidP="007C4C49">
      <w:pPr>
        <w:pStyle w:val="NormalWeb"/>
        <w:numPr>
          <w:ilvl w:val="0"/>
          <w:numId w:val="22"/>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Consider employment history and business continuity for self-employed individuals.</w:t>
      </w:r>
    </w:p>
    <w:p w:rsidR="007C4C49" w:rsidRDefault="007C4C49" w:rsidP="007C4C49">
      <w:pPr>
        <w:pStyle w:val="NormalWeb"/>
        <w:numPr>
          <w:ilvl w:val="0"/>
          <w:numId w:val="23"/>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Debt-to-Income Ratio:</w:t>
      </w:r>
    </w:p>
    <w:p w:rsidR="007C4C49" w:rsidRDefault="007C4C49" w:rsidP="007C4C49">
      <w:pPr>
        <w:pStyle w:val="NormalWeb"/>
        <w:numPr>
          <w:ilvl w:val="0"/>
          <w:numId w:val="24"/>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Calculate debt-to-income ratio (total monthly debt obligations divided by net monthly income).</w:t>
      </w:r>
    </w:p>
    <w:p w:rsidR="007C4C49" w:rsidRDefault="007C4C49" w:rsidP="007C4C49">
      <w:pPr>
        <w:pStyle w:val="NormalWeb"/>
        <w:numPr>
          <w:ilvl w:val="0"/>
          <w:numId w:val="24"/>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Ensure the ratio is within acceptable limits (typically not exceeding 40%).</w:t>
      </w:r>
    </w:p>
    <w:p w:rsidR="007C4C49" w:rsidRDefault="007C4C49" w:rsidP="007C4C49">
      <w:pPr>
        <w:pStyle w:val="NormalWeb"/>
        <w:numPr>
          <w:ilvl w:val="0"/>
          <w:numId w:val="25"/>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Vehicle Valuation:</w:t>
      </w:r>
    </w:p>
    <w:p w:rsidR="007C4C49" w:rsidRDefault="007C4C49" w:rsidP="007C4C49">
      <w:pPr>
        <w:pStyle w:val="NormalWeb"/>
        <w:numPr>
          <w:ilvl w:val="0"/>
          <w:numId w:val="26"/>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For used vehicles, verify the current market value through reliable sources.</w:t>
      </w:r>
    </w:p>
    <w:p w:rsidR="007C4C49" w:rsidRDefault="007C4C49" w:rsidP="007C4C49">
      <w:pPr>
        <w:pStyle w:val="NormalWeb"/>
        <w:numPr>
          <w:ilvl w:val="0"/>
          <w:numId w:val="27"/>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Loan Purpose:</w:t>
      </w:r>
    </w:p>
    <w:p w:rsidR="007C4C49" w:rsidRDefault="007C4C49" w:rsidP="007C4C49">
      <w:pPr>
        <w:pStyle w:val="NormalWeb"/>
        <w:numPr>
          <w:ilvl w:val="0"/>
          <w:numId w:val="28"/>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Ensure the loan is for the purchase of a two-wheeler for personal use.</w:t>
      </w:r>
    </w:p>
    <w:p w:rsidR="007C4C49" w:rsidRDefault="007C4C49" w:rsidP="007C4C49">
      <w:pPr>
        <w:pStyle w:val="NormalWeb"/>
        <w:numPr>
          <w:ilvl w:val="0"/>
          <w:numId w:val="29"/>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Field Investigation:</w:t>
      </w:r>
    </w:p>
    <w:p w:rsidR="007C4C49" w:rsidRDefault="007C4C49" w:rsidP="007C4C49">
      <w:pPr>
        <w:pStyle w:val="NormalWeb"/>
        <w:numPr>
          <w:ilvl w:val="0"/>
          <w:numId w:val="30"/>
        </w:numPr>
        <w:spacing w:before="0" w:beforeAutospacing="0" w:after="60" w:afterAutospacing="0"/>
        <w:ind w:left="480"/>
        <w:textAlignment w:val="baseline"/>
        <w:rPr>
          <w:rFonts w:ascii="Arial" w:hAnsi="Arial" w:cs="Arial"/>
          <w:color w:val="000000"/>
          <w:sz w:val="22"/>
          <w:szCs w:val="22"/>
        </w:rPr>
      </w:pPr>
      <w:r>
        <w:rPr>
          <w:rFonts w:ascii="Arial" w:hAnsi="Arial" w:cs="Arial"/>
          <w:color w:val="1B1C1D"/>
          <w:sz w:val="22"/>
          <w:szCs w:val="22"/>
        </w:rPr>
        <w:t>Conduct field investigation to verify residence and employment details, especially for high-value loans or cases with limited credit history.</w:t>
      </w:r>
    </w:p>
    <w:p w:rsidR="007C4C49" w:rsidRDefault="007C4C49" w:rsidP="007C4C49">
      <w:pPr>
        <w:pStyle w:val="NormalWeb"/>
        <w:spacing w:before="240" w:beforeAutospacing="0" w:after="120" w:afterAutospacing="0"/>
      </w:pPr>
      <w:r>
        <w:rPr>
          <w:rFonts w:ascii="Arial" w:hAnsi="Arial" w:cs="Arial"/>
          <w:b/>
          <w:bCs/>
          <w:color w:val="1B1C1D"/>
          <w:sz w:val="22"/>
          <w:szCs w:val="22"/>
        </w:rPr>
        <w:lastRenderedPageBreak/>
        <w:t>8. Loan Approval and Disbursement</w:t>
      </w:r>
    </w:p>
    <w:p w:rsidR="007C4C49" w:rsidRDefault="007C4C49" w:rsidP="007C4C49">
      <w:pPr>
        <w:pStyle w:val="NormalWeb"/>
        <w:numPr>
          <w:ilvl w:val="0"/>
          <w:numId w:val="31"/>
        </w:numPr>
        <w:spacing w:before="12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Loan Approval:</w:t>
      </w:r>
      <w:r>
        <w:rPr>
          <w:rFonts w:ascii="Arial" w:hAnsi="Arial" w:cs="Arial"/>
          <w:color w:val="1B1C1D"/>
          <w:sz w:val="22"/>
          <w:szCs w:val="22"/>
        </w:rPr>
        <w:t xml:space="preserve"> Based on the credit assessment and underwriting guidelines, the loan application is either approved or rejected.</w:t>
      </w:r>
    </w:p>
    <w:p w:rsidR="007C4C49" w:rsidRDefault="007C4C49" w:rsidP="007C4C49">
      <w:pPr>
        <w:pStyle w:val="NormalWeb"/>
        <w:numPr>
          <w:ilvl w:val="0"/>
          <w:numId w:val="31"/>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Loan Sanction Letter:</w:t>
      </w:r>
      <w:r>
        <w:rPr>
          <w:rFonts w:ascii="Arial" w:hAnsi="Arial" w:cs="Arial"/>
          <w:color w:val="1B1C1D"/>
          <w:sz w:val="22"/>
          <w:szCs w:val="22"/>
        </w:rPr>
        <w:t xml:space="preserve"> Issue a loan sanction letter to the borrower with details of the loan amount, tenure, interest rate, and other terms and conditions.</w:t>
      </w:r>
    </w:p>
    <w:p w:rsidR="007C4C49" w:rsidRDefault="007C4C49" w:rsidP="007C4C49">
      <w:pPr>
        <w:pStyle w:val="NormalWeb"/>
        <w:numPr>
          <w:ilvl w:val="0"/>
          <w:numId w:val="31"/>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Loan Agreement:</w:t>
      </w:r>
      <w:r>
        <w:rPr>
          <w:rFonts w:ascii="Arial" w:hAnsi="Arial" w:cs="Arial"/>
          <w:color w:val="1B1C1D"/>
          <w:sz w:val="22"/>
          <w:szCs w:val="22"/>
        </w:rPr>
        <w:t xml:space="preserve"> Execute a loan agreement with the borrower.</w:t>
      </w:r>
    </w:p>
    <w:p w:rsidR="007C4C49" w:rsidRDefault="007C4C49" w:rsidP="007C4C49">
      <w:pPr>
        <w:pStyle w:val="NormalWeb"/>
        <w:numPr>
          <w:ilvl w:val="0"/>
          <w:numId w:val="31"/>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Disbursement:</w:t>
      </w:r>
      <w:r>
        <w:rPr>
          <w:rFonts w:ascii="Arial" w:hAnsi="Arial" w:cs="Arial"/>
          <w:color w:val="1B1C1D"/>
          <w:sz w:val="22"/>
          <w:szCs w:val="22"/>
        </w:rPr>
        <w:t xml:space="preserve"> Disburse the loan amount directly to the dealer or seller of the vehicle.</w:t>
      </w:r>
    </w:p>
    <w:p w:rsidR="007C4C49" w:rsidRDefault="007C4C49" w:rsidP="007C4C49">
      <w:pPr>
        <w:pStyle w:val="NormalWeb"/>
        <w:numPr>
          <w:ilvl w:val="0"/>
          <w:numId w:val="31"/>
        </w:numPr>
        <w:spacing w:before="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Post-Disbursement:</w:t>
      </w:r>
    </w:p>
    <w:p w:rsidR="007C4C49" w:rsidRDefault="007C4C49" w:rsidP="007C4C49">
      <w:pPr>
        <w:pStyle w:val="NormalWeb"/>
        <w:numPr>
          <w:ilvl w:val="0"/>
          <w:numId w:val="32"/>
        </w:numPr>
        <w:spacing w:before="0" w:beforeAutospacing="0" w:after="0" w:afterAutospacing="0"/>
        <w:ind w:left="480"/>
        <w:textAlignment w:val="baseline"/>
        <w:rPr>
          <w:rFonts w:ascii="Arial" w:hAnsi="Arial" w:cs="Arial"/>
          <w:color w:val="000000"/>
          <w:sz w:val="22"/>
          <w:szCs w:val="22"/>
        </w:rPr>
      </w:pPr>
      <w:r>
        <w:rPr>
          <w:rFonts w:ascii="Arial" w:hAnsi="Arial" w:cs="Arial"/>
          <w:color w:val="1B1C1D"/>
          <w:sz w:val="22"/>
          <w:szCs w:val="22"/>
        </w:rPr>
        <w:t>Ensure proper documentation and filing of loan documents.</w:t>
      </w:r>
    </w:p>
    <w:p w:rsidR="007C4C49" w:rsidRDefault="007C4C49" w:rsidP="007C4C49">
      <w:pPr>
        <w:pStyle w:val="NormalWeb"/>
        <w:numPr>
          <w:ilvl w:val="0"/>
          <w:numId w:val="32"/>
        </w:numPr>
        <w:spacing w:before="0" w:beforeAutospacing="0" w:after="60" w:afterAutospacing="0"/>
        <w:ind w:left="480"/>
        <w:textAlignment w:val="baseline"/>
        <w:rPr>
          <w:rFonts w:ascii="Arial" w:hAnsi="Arial" w:cs="Arial"/>
          <w:color w:val="000000"/>
          <w:sz w:val="22"/>
          <w:szCs w:val="22"/>
        </w:rPr>
      </w:pPr>
      <w:r>
        <w:rPr>
          <w:rFonts w:ascii="Arial" w:hAnsi="Arial" w:cs="Arial"/>
          <w:color w:val="1B1C1D"/>
          <w:sz w:val="22"/>
          <w:szCs w:val="22"/>
        </w:rPr>
        <w:t>Monitor loan repayments and take necessary action in case of delinquency.</w:t>
      </w:r>
    </w:p>
    <w:p w:rsidR="007C4C49" w:rsidRDefault="007C4C49" w:rsidP="007C4C49">
      <w:pPr>
        <w:pStyle w:val="NormalWeb"/>
        <w:spacing w:before="240" w:beforeAutospacing="0" w:after="120" w:afterAutospacing="0"/>
      </w:pPr>
      <w:r>
        <w:rPr>
          <w:rFonts w:ascii="Arial" w:hAnsi="Arial" w:cs="Arial"/>
          <w:b/>
          <w:bCs/>
          <w:color w:val="1B1C1D"/>
          <w:sz w:val="22"/>
          <w:szCs w:val="22"/>
        </w:rPr>
        <w:t>9. Monitoring and Review</w:t>
      </w:r>
    </w:p>
    <w:p w:rsidR="007C4C49" w:rsidRDefault="007C4C49" w:rsidP="007C4C49">
      <w:pPr>
        <w:pStyle w:val="NormalWeb"/>
        <w:numPr>
          <w:ilvl w:val="0"/>
          <w:numId w:val="33"/>
        </w:numPr>
        <w:spacing w:before="120" w:beforeAutospacing="0" w:after="0" w:afterAutospacing="0"/>
        <w:ind w:left="240"/>
        <w:textAlignment w:val="baseline"/>
        <w:rPr>
          <w:rFonts w:ascii="Arial" w:hAnsi="Arial" w:cs="Arial"/>
          <w:color w:val="000000"/>
          <w:sz w:val="22"/>
          <w:szCs w:val="22"/>
        </w:rPr>
      </w:pPr>
      <w:r>
        <w:rPr>
          <w:rFonts w:ascii="Arial" w:hAnsi="Arial" w:cs="Arial"/>
          <w:b/>
          <w:bCs/>
          <w:color w:val="1B1C1D"/>
          <w:sz w:val="22"/>
          <w:szCs w:val="22"/>
        </w:rPr>
        <w:t>Regular Monitoring:</w:t>
      </w:r>
      <w:r>
        <w:rPr>
          <w:rFonts w:ascii="Arial" w:hAnsi="Arial" w:cs="Arial"/>
          <w:color w:val="1B1C1D"/>
          <w:sz w:val="22"/>
          <w:szCs w:val="22"/>
        </w:rPr>
        <w:t xml:space="preserve"> Monitor loan portfolio for early warning signs of delinquency.</w:t>
      </w:r>
    </w:p>
    <w:p w:rsidR="007C4C49" w:rsidRDefault="007C4C49" w:rsidP="007C4C49">
      <w:pPr>
        <w:pStyle w:val="NormalWeb"/>
        <w:numPr>
          <w:ilvl w:val="0"/>
          <w:numId w:val="33"/>
        </w:numPr>
        <w:spacing w:before="0" w:beforeAutospacing="0" w:after="120" w:afterAutospacing="0"/>
        <w:ind w:left="240"/>
        <w:textAlignment w:val="baseline"/>
        <w:rPr>
          <w:rFonts w:ascii="Arial" w:hAnsi="Arial" w:cs="Arial"/>
          <w:color w:val="000000"/>
          <w:sz w:val="22"/>
          <w:szCs w:val="22"/>
        </w:rPr>
      </w:pPr>
      <w:r>
        <w:rPr>
          <w:rFonts w:ascii="Arial" w:hAnsi="Arial" w:cs="Arial"/>
          <w:b/>
          <w:bCs/>
          <w:color w:val="1B1C1D"/>
          <w:sz w:val="22"/>
          <w:szCs w:val="22"/>
        </w:rPr>
        <w:t>Periodic Review:</w:t>
      </w:r>
      <w:r>
        <w:rPr>
          <w:rFonts w:ascii="Arial" w:hAnsi="Arial" w:cs="Arial"/>
          <w:color w:val="1B1C1D"/>
          <w:sz w:val="22"/>
          <w:szCs w:val="22"/>
        </w:rPr>
        <w:t xml:space="preserve"> Review the credit policy periodically and update it based on market conditions, regulatory changes, and internal risk assessment.</w:t>
      </w:r>
    </w:p>
    <w:p w:rsidR="007C4C49" w:rsidRDefault="007C4C49" w:rsidP="007C4C49">
      <w:pPr>
        <w:pStyle w:val="NormalWeb"/>
        <w:spacing w:before="240" w:beforeAutospacing="0" w:after="240" w:afterAutospacing="0"/>
      </w:pPr>
      <w:r>
        <w:rPr>
          <w:rFonts w:ascii="Arial" w:hAnsi="Arial" w:cs="Arial"/>
          <w:b/>
          <w:bCs/>
          <w:color w:val="1B1C1D"/>
          <w:sz w:val="22"/>
          <w:szCs w:val="22"/>
        </w:rPr>
        <w:t>10. Disclaimer</w:t>
      </w:r>
    </w:p>
    <w:p w:rsidR="007C4C49" w:rsidRDefault="007C4C49" w:rsidP="007C4C49">
      <w:pPr>
        <w:pStyle w:val="NormalWeb"/>
        <w:spacing w:before="0" w:beforeAutospacing="0" w:after="240" w:afterAutospacing="0"/>
      </w:pPr>
      <w:r>
        <w:rPr>
          <w:rFonts w:ascii="Arial" w:hAnsi="Arial" w:cs="Arial"/>
          <w:color w:val="1B1C1D"/>
          <w:sz w:val="22"/>
          <w:szCs w:val="22"/>
        </w:rPr>
        <w:t>This policy document provides general guidelines for two-wheeler loans. The NBFC reserves the right to deviate from these guidelines on a case-by-case basis based on its own discretion and risk assessment.</w:t>
      </w:r>
    </w:p>
    <w:p w:rsidR="007C4C49" w:rsidRDefault="007C4C49" w:rsidP="007C4C49">
      <w:pPr>
        <w:pStyle w:val="NormalWeb"/>
        <w:spacing w:before="0" w:beforeAutospacing="0" w:after="240" w:afterAutospacing="0"/>
      </w:pPr>
      <w:r>
        <w:rPr>
          <w:rFonts w:ascii="Arial" w:hAnsi="Arial" w:cs="Arial"/>
          <w:b/>
          <w:bCs/>
          <w:color w:val="1B1C1D"/>
          <w:sz w:val="22"/>
          <w:szCs w:val="22"/>
        </w:rPr>
        <w:t>Note:</w:t>
      </w:r>
      <w:r>
        <w:rPr>
          <w:rFonts w:ascii="Arial" w:hAnsi="Arial" w:cs="Arial"/>
          <w:color w:val="1B1C1D"/>
          <w:sz w:val="22"/>
          <w:szCs w:val="22"/>
        </w:rPr>
        <w:t xml:space="preserve"> This is a sample policy document and may need to be adapted based on the specific requirements and risk appetite of the NBFC. It is recommended to consult with legal and financial experts before finalizing the policy.</w:t>
      </w:r>
    </w:p>
    <w:p w:rsidR="002F00A7" w:rsidRDefault="005F1ABF"/>
    <w:sectPr w:rsidR="002F00A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ABF" w:rsidRDefault="005F1ABF" w:rsidP="007C4C49">
      <w:pPr>
        <w:spacing w:after="0" w:line="240" w:lineRule="auto"/>
      </w:pPr>
      <w:r>
        <w:separator/>
      </w:r>
    </w:p>
  </w:endnote>
  <w:endnote w:type="continuationSeparator" w:id="0">
    <w:p w:rsidR="005F1ABF" w:rsidRDefault="005F1ABF" w:rsidP="007C4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C49" w:rsidRDefault="007C4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C49" w:rsidRDefault="007C4C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C49" w:rsidRDefault="007C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ABF" w:rsidRDefault="005F1ABF" w:rsidP="007C4C49">
      <w:pPr>
        <w:spacing w:after="0" w:line="240" w:lineRule="auto"/>
      </w:pPr>
      <w:r>
        <w:separator/>
      </w:r>
    </w:p>
  </w:footnote>
  <w:footnote w:type="continuationSeparator" w:id="0">
    <w:p w:rsidR="005F1ABF" w:rsidRDefault="005F1ABF" w:rsidP="007C4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C49" w:rsidRDefault="007C4C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C49" w:rsidRDefault="007C4C49">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-322580</wp:posOffset>
              </wp:positionV>
              <wp:extent cx="929833" cy="254000"/>
              <wp:effectExtent l="0" t="0" r="0" b="0"/>
              <wp:wrapNone/>
              <wp:docPr id="1" name="expertsource_Lsetting"/>
              <wp:cNvGraphicFramePr/>
              <a:graphic xmlns:a="http://schemas.openxmlformats.org/drawingml/2006/main">
                <a:graphicData uri="http://schemas.microsoft.com/office/word/2010/wordprocessingShape">
                  <wps:wsp>
                    <wps:cNvSpPr txBox="1"/>
                    <wps:spPr>
                      <a:xfrm>
                        <a:off x="0" y="0"/>
                        <a:ext cx="929833" cy="254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C4C49" w:rsidRPr="007C4C49" w:rsidRDefault="007C4C49">
                          <w:pPr>
                            <w:rPr>
                              <w:rFonts w:ascii="Calibri" w:hAnsi="Calibri" w:cs="Calibri"/>
                              <w:color w:val="35AA33"/>
                            </w:rPr>
                          </w:pPr>
                          <w:r w:rsidRPr="007C4C49">
                            <w:rPr>
                              <w:rFonts w:ascii="Calibri" w:hAnsi="Calibri" w:cs="Calibri"/>
                              <w:color w:val="35AA33"/>
                            </w:rPr>
                            <w:t>PUBLIC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expertsource_Lsetting" o:spid="_x0000_s1026" type="#_x0000_t202" style="position:absolute;margin-left:-48pt;margin-top:-25.4pt;width:73.2pt;height:20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" filled="f" stroked="f" strokeweight=".5pt">
              <v:fill o:detectmouseclick="t"/>
              <v:textbox>
                <w:txbxContent>
                  <w:p w:rsidR="007C4C49" w:rsidRPr="007C4C49" w:rsidRDefault="007C4C49">
                    <w:pPr>
                      <w:rPr>
                        <w:rFonts w:ascii="Calibri" w:hAnsi="Calibri" w:cs="Calibri"/>
                        <w:color w:val="35AA33"/>
                      </w:rPr>
                    </w:pPr>
                    <w:r w:rsidRPr="007C4C49">
                      <w:rPr>
                        <w:rFonts w:ascii="Calibri" w:hAnsi="Calibri" w:cs="Calibri"/>
                        <w:color w:val="35AA33"/>
                      </w:rPr>
                      <w:t>PUBLIC</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C49" w:rsidRDefault="007C4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3E3"/>
    <w:multiLevelType w:val="multilevel"/>
    <w:tmpl w:val="2530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C23DA"/>
    <w:multiLevelType w:val="multilevel"/>
    <w:tmpl w:val="389E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200F7"/>
    <w:multiLevelType w:val="multilevel"/>
    <w:tmpl w:val="6BC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6896"/>
    <w:multiLevelType w:val="multilevel"/>
    <w:tmpl w:val="1FA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738B6"/>
    <w:multiLevelType w:val="multilevel"/>
    <w:tmpl w:val="D528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90739"/>
    <w:multiLevelType w:val="multilevel"/>
    <w:tmpl w:val="828E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C4FA2"/>
    <w:multiLevelType w:val="multilevel"/>
    <w:tmpl w:val="88A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A6900"/>
    <w:multiLevelType w:val="multilevel"/>
    <w:tmpl w:val="C23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869E2"/>
    <w:multiLevelType w:val="multilevel"/>
    <w:tmpl w:val="B570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B3A48"/>
    <w:multiLevelType w:val="multilevel"/>
    <w:tmpl w:val="2F12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70EDF"/>
    <w:multiLevelType w:val="multilevel"/>
    <w:tmpl w:val="465E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C1230"/>
    <w:multiLevelType w:val="multilevel"/>
    <w:tmpl w:val="D636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84704"/>
    <w:multiLevelType w:val="multilevel"/>
    <w:tmpl w:val="6A5C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E642C"/>
    <w:multiLevelType w:val="multilevel"/>
    <w:tmpl w:val="612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95123"/>
    <w:multiLevelType w:val="multilevel"/>
    <w:tmpl w:val="CED0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544A8"/>
    <w:multiLevelType w:val="multilevel"/>
    <w:tmpl w:val="63C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446CB"/>
    <w:multiLevelType w:val="multilevel"/>
    <w:tmpl w:val="4D3E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B1A35"/>
    <w:multiLevelType w:val="multilevel"/>
    <w:tmpl w:val="4A18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64FC8"/>
    <w:multiLevelType w:val="multilevel"/>
    <w:tmpl w:val="E53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318C1"/>
    <w:multiLevelType w:val="multilevel"/>
    <w:tmpl w:val="D52A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5158D5"/>
    <w:multiLevelType w:val="multilevel"/>
    <w:tmpl w:val="4E8C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A7F85"/>
    <w:multiLevelType w:val="multilevel"/>
    <w:tmpl w:val="BA06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A25FC8"/>
    <w:multiLevelType w:val="multilevel"/>
    <w:tmpl w:val="ACDC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30DA6"/>
    <w:multiLevelType w:val="multilevel"/>
    <w:tmpl w:val="996A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C7C45"/>
    <w:multiLevelType w:val="multilevel"/>
    <w:tmpl w:val="83E8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70CEB"/>
    <w:multiLevelType w:val="multilevel"/>
    <w:tmpl w:val="85DE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C56BB"/>
    <w:multiLevelType w:val="multilevel"/>
    <w:tmpl w:val="26BC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520FF"/>
    <w:multiLevelType w:val="multilevel"/>
    <w:tmpl w:val="2C3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A0557"/>
    <w:multiLevelType w:val="multilevel"/>
    <w:tmpl w:val="1FB8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D6982"/>
    <w:multiLevelType w:val="multilevel"/>
    <w:tmpl w:val="CA6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374EB"/>
    <w:multiLevelType w:val="multilevel"/>
    <w:tmpl w:val="5E7A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A0BF0"/>
    <w:multiLevelType w:val="multilevel"/>
    <w:tmpl w:val="6878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D3E8B"/>
    <w:multiLevelType w:val="multilevel"/>
    <w:tmpl w:val="2970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9"/>
  </w:num>
  <w:num w:numId="3">
    <w:abstractNumId w:val="15"/>
  </w:num>
  <w:num w:numId="4">
    <w:abstractNumId w:val="7"/>
  </w:num>
  <w:num w:numId="5">
    <w:abstractNumId w:val="23"/>
  </w:num>
  <w:num w:numId="6">
    <w:abstractNumId w:val="3"/>
  </w:num>
  <w:num w:numId="7">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21"/>
  </w:num>
  <w:num w:numId="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6"/>
  </w:num>
  <w:num w:numId="11">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31"/>
  </w:num>
  <w:num w:numId="1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4"/>
  </w:num>
  <w:num w:numId="15">
    <w:abstractNumId w:val="0"/>
  </w:num>
  <w:num w:numId="1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7"/>
  </w:num>
  <w:num w:numId="18">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0"/>
  </w:num>
  <w:num w:numId="2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7"/>
  </w:num>
  <w:num w:numId="2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9"/>
  </w:num>
  <w:num w:numId="2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2"/>
  </w:num>
  <w:num w:numId="2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20"/>
  </w:num>
  <w:num w:numId="28">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
  </w:num>
  <w:num w:numId="3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4"/>
  </w:num>
  <w:num w:numId="32">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49"/>
    <w:rsid w:val="005F1ABF"/>
    <w:rsid w:val="007C4C49"/>
    <w:rsid w:val="00860473"/>
    <w:rsid w:val="008F2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745A19-A028-4FF8-BE47-A42E35BD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C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C4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C49"/>
  </w:style>
  <w:style w:type="paragraph" w:styleId="Footer">
    <w:name w:val="footer"/>
    <w:basedOn w:val="Normal"/>
    <w:link w:val="FooterChar"/>
    <w:uiPriority w:val="99"/>
    <w:unhideWhenUsed/>
    <w:rsid w:val="007C4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88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Klassify>
  <SNO>1</SNO>
  <KDate>2025-02-04 13:29:15</KDate>
  <Classification>PUBLIC</Classification>
  <Subclassification/>
  <HostName>LTFBNG60862</HostName>
  <Domain_User>LNTFINSVCS/50089431</Domain_User>
  <IPAdd>10.105.16.155</IPAdd>
  <FilePath>Document1</FilePath>
  <KID>2C98119FEAA5638742725557233475</KID>
  <UniqueName/>
  <Suggested/>
  <Justification/>
</Klassify>
</file>

<file path=customXml/itemProps1.xml><?xml version="1.0" encoding="utf-8"?>
<ds:datastoreItem xmlns:ds="http://schemas.openxmlformats.org/officeDocument/2006/customXml" ds:itemID="{C509C104-E035-44D4-B836-2D9D5263A73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Agarwal</dc:creator>
  <cp:keywords/>
  <dc:description/>
  <cp:lastModifiedBy>Arushi Agarwal</cp:lastModifiedBy>
  <cp:revision>1</cp:revision>
  <dcterms:created xsi:type="dcterms:W3CDTF">2025-02-04T07:58:00Z</dcterms:created>
  <dcterms:modified xsi:type="dcterms:W3CDTF">2025-02-04T07:59:00Z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Rules">
    <vt:lpwstr/>
  </property>
  <property fmtid="{D5CDD505-2E9C-101B-9397-08002B2CF9AE}" pid="4" name="Reclassification">
    <vt:lpwstr>No</vt:lpwstr>
  </property>
  <property fmtid="{D5CDD505-2E9C-101B-9397-08002B2CF9AE}" pid="5" name="Hostname">
    <vt:lpwstr>LTFBNG60862</vt:lpwstr>
  </property>
  <property fmtid="{D5CDD505-2E9C-101B-9397-08002B2CF9AE}" pid="6" name="Department">
    <vt:lpwstr>DevOps</vt:lpwstr>
  </property>
  <property fmtid="{D5CDD505-2E9C-101B-9397-08002B2CF9AE}" pid="7" name="Author">
    <vt:lpwstr>50089431</vt:lpwstr>
  </property>
  <property fmtid="{D5CDD505-2E9C-101B-9397-08002B2CF9AE}" pid="8" name="KID">
    <vt:lpwstr>2C98119FEAA5638742725557233475</vt:lpwstr>
  </property>
</Properties>
</file>