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60" w:after="240"/>
        <w:jc w:val="center"/>
      </w:pPr>
      <w:r>
        <w:rPr>
          <w:rFonts w:ascii="Calibri" w:hAnsi="Calibri"/>
          <w:b/>
          <w:i w:val="0"/>
          <w:color w:val="1F4E79"/>
          <w:sz w:val="24"/>
        </w:rPr>
        <w:t>LITERATURE SYNTHESIS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7324D"/>
          <w:sz w:val="48"/>
        </w:rPr>
        <w:t>Accuracy, Calibration, Autonomy, and Physical Integration of Low-Cost Outdoor Sensor Boxes</w:t>
      </w:r>
    </w:p>
    <w:p>
      <w:pPr>
        <w:spacing w:after="440"/>
        <w:jc w:val="center"/>
      </w:pPr>
      <w:r>
        <w:rPr>
          <w:rFonts w:ascii="Calibri" w:hAnsi="Calibri"/>
          <w:b w:val="0"/>
          <w:i/>
          <w:color w:val="667085"/>
          <w:sz w:val="24"/>
        </w:rPr>
        <w:t>26-source synthesis: the 23-source base plus 3 field-reliability and data-yield additions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800"/>
            <w:shd w:fill="EAF2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Prepared for</w:t>
            </w:r>
          </w:p>
        </w:tc>
        <w:tc>
          <w:tcPr>
            <w:tcW w:type="dxa" w:w="71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Principal Investigator review</w:t>
            </w:r>
          </w:p>
        </w:tc>
      </w:tr>
      <w:tr>
        <w:tc>
          <w:tcPr>
            <w:tcW w:type="dxa" w:w="1800"/>
            <w:shd w:fill="EAF2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Working paper</w:t>
            </w:r>
          </w:p>
        </w:tc>
        <w:tc>
          <w:tcPr>
            <w:tcW w:type="dxa" w:w="71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Calibration, Ambient Conditions, and Integration Effects on the Accuracy and Autonomy of a Low-Cost Outdoor Multi-Sensor Box</w:t>
            </w:r>
          </w:p>
        </w:tc>
      </w:tr>
      <w:tr>
        <w:tc>
          <w:tcPr>
            <w:tcW w:type="dxa" w:w="1800"/>
            <w:shd w:fill="EAF2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Date</w:t>
            </w:r>
          </w:p>
        </w:tc>
        <w:tc>
          <w:tcPr>
            <w:tcW w:type="dxa" w:w="71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July 27, 2026</w:t>
            </w:r>
          </w:p>
        </w:tc>
      </w:tr>
    </w:tbl>
    <w:p>
      <w:pPr>
        <w:spacing w:before="520" w:after="120"/>
        <w:jc w:val="center"/>
      </w:pPr>
      <w:r>
        <w:rPr>
          <w:rFonts w:ascii="Calibri" w:hAnsi="Calibri"/>
          <w:b/>
          <w:i w:val="0"/>
          <w:color w:val="1F4E79"/>
          <w:sz w:val="22"/>
        </w:rPr>
        <w:t>Purpose</w:t>
      </w:r>
    </w:p>
    <w:p>
      <w:pPr>
        <w:spacing w:after="0"/>
        <w:ind w:left="792" w:right="792"/>
        <w:jc w:val="center"/>
      </w:pPr>
      <w:r>
        <w:rPr>
          <w:rFonts w:ascii="Calibri" w:hAnsi="Calibri"/>
          <w:b w:val="0"/>
          <w:i w:val="0"/>
          <w:color w:val="17324D"/>
          <w:sz w:val="21"/>
        </w:rPr>
        <w:t>This report connects each literature source to the proposed study, summarizes the reported sensors, materials, and geometries, and identifies evidence-supported considerations for the next experimental phase.</w:t>
      </w:r>
    </w:p>
    <w:p>
      <w:r>
        <w:br w:type="page"/>
      </w:r>
    </w:p>
    <w:p>
      <w:pPr>
        <w:pStyle w:val="Heading1"/>
        <w:keepNext/>
      </w:pPr>
      <w:r>
        <w:t>Executive Summary</w:t>
      </w:r>
    </w:p>
    <w:p>
      <w:pPr>
        <w:keepNext w:val="0"/>
        <w:spacing w:after="140" w:line="264" w:lineRule="auto"/>
      </w:pPr>
      <w:r>
        <w:rPr>
          <w:rFonts w:ascii="Calibri" w:hAnsi="Calibri"/>
          <w:b w:val="0"/>
          <w:i w:val="0"/>
          <w:color w:val="000000"/>
          <w:sz w:val="21"/>
        </w:rPr>
        <w:t>The literature supports framing the lab's sensor box as an integrated measurement instrument rather than as a collection of individual sensors or an enclosure-only design. Field accuracy depends on calibration, but it also depends on airflow, direct and reflected radiation, sensor placement, electronics self-heating, moisture protection, power, communication, storage, and maintenance.</w:t>
      </w:r>
    </w:p>
    <w:p>
      <w:pPr>
        <w:keepNext w:val="0"/>
        <w:spacing w:after="140" w:line="264" w:lineRule="auto"/>
      </w:pPr>
      <w:r>
        <w:rPr>
          <w:rFonts w:ascii="Calibri" w:hAnsi="Calibri"/>
          <w:b w:val="0"/>
          <w:i w:val="0"/>
          <w:color w:val="000000"/>
          <w:sz w:val="21"/>
        </w:rPr>
        <w:t>The strongest recurring result is that passive shields fail most noticeably during high-solar, low-wind conditions. Stacked plates, overlapping louvers, reflective surfaces, and separated electronics improve performance without consuming power. Active aspiration can further reduce airflow-dependent bias, but the fan directly reduces autonomy and adds a failure mode. Long-duration deployments consistently show that connectors, mounts, batteries, charging, storage, communications, and firmware may fail before the sensing element itself.</w:t>
      </w:r>
    </w:p>
    <w:p>
      <w:pPr>
        <w:keepNext w:val="0"/>
        <w:spacing w:after="140" w:line="264" w:lineRule="auto"/>
      </w:pPr>
      <w:r>
        <w:rPr>
          <w:rFonts w:ascii="Calibri" w:hAnsi="Calibri"/>
          <w:b w:val="0"/>
          <w:i w:val="0"/>
          <w:color w:val="000000"/>
          <w:sz w:val="21"/>
        </w:rPr>
        <w:t>This update preserves the 23-source base (19 research papers and four standards or protocols) and adds three field-reliability studies. Together they anchor siting, metrics, completeness, deployment records, and failure analysis.</w:t>
      </w:r>
    </w:p>
    <w:p>
      <w:pPr>
        <w:pStyle w:val="Heading2"/>
        <w:keepNext/>
      </w:pPr>
      <w:r>
        <w:t>Implications for the Proposed Paper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Begin with the current lab box as an unchanged baseline and compare it with reference instruments.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Separate the sealed electronics/power region from sensors that require ambient airflow.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Evaluate raw and calibrated accuracy, but do not use calibration to conceal avoidable enclosure heating or airflow problems.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Report autonomy using runtime before intervention, expected versus received samples, uptime, maintenance events, and failure types.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Use a small, justified design comparison: current box, strong passive shield, and optional aspirated benchmark.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Treat material, color/finish, geometry, airflow, sealing, and sensor-to-electronics distance as measurable factors.</w:t>
      </w:r>
    </w:p>
    <w:p>
      <w:pPr>
        <w:pStyle w:val="Heading2"/>
        <w:keepNext/>
      </w:pPr>
      <w:r>
        <w:t>Cross-Paper Findings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Sensor selection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Digital temperature/RH sensors are compact and easy to integrate, but their readings are strongly affected by shielding, airflow, condensation, and placement.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Optical PM and electrochemical gas sensors require environmental correction, repeated calibration, and controlled exposure to ambient air.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Reference-grade Pt100 studies provide strong shield-comparison methods, even when the final lab sensor is lower cost.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Material and geometry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White/off-white ASA is the best-supported printed outdoor material; PLA is useful for prototypes but requires durability caution.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Reflective foil and white corrugated plastic provide very low-cost geometry benchmarks.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Passive stacked plates generally outperform open or weakly ventilated tube geometries.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IP-rated boxes are appropriate for electronics, but ambient sensors should be external or in a separately ventilated region.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Autonomy and reliability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Battery life alone is not autonomy; physical intervention can be triggered by water, corrosion, memory, fan, firmware, RF, connector, or mounting failures.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Pre/post co-location and device-health logging improve the ability to identify drift and limiting failures.</w:t>
      </w:r>
    </w:p>
    <w:p>
      <w:pPr>
        <w:pStyle w:val="Heading1"/>
        <w:keepNext/>
      </w:pPr>
      <w:r>
        <w:t>Literature at a Glance</w:t>
      </w:r>
    </w:p>
    <w:p>
      <w:pPr>
        <w:keepNext w:val="0"/>
        <w:spacing w:after="160" w:line="264" w:lineRule="auto"/>
      </w:pPr>
      <w:r>
        <w:rPr>
          <w:rFonts w:ascii="Calibri" w:hAnsi="Calibri"/>
          <w:b w:val="0"/>
          <w:i w:val="0"/>
          <w:color w:val="667085"/>
          <w:sz w:val="19"/>
        </w:rPr>
        <w:t>The table below identifies the primary contribution of all 26 sources: the 23-source base followed by three field-reliability and data-yield additions. Detailed source profiles follow.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6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3096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Paper</w:t>
            </w:r>
          </w:p>
        </w:tc>
        <w:tc>
          <w:tcPr>
            <w:tcW w:type="dxa" w:w="252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Primary contribution</w:t>
            </w:r>
          </w:p>
        </w:tc>
        <w:tc>
          <w:tcPr>
            <w:tcW w:type="dxa" w:w="295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Most relevant design issue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1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Theisen et al. (2020)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Complete system / autonomy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The sensing element is only one part of field accuracy and lifetime. Integration and maintenance failures can dominate.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2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Tatsumi et al. (2021)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Complete system / autonomy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Low-cost, modular hardware is practical, but exact material reporting and external-connection protection are necessary for reproducibility.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3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Grimsley et al. (2021)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Complete system / autonomy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 modular sealed logger can support long deployments when sensing, power, communications, and maintenance are designed together.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4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Daepp et al. (2022)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Complete system / autonomy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Completeness and remote serviceability are central measures of whether a low-cost box is useful in practice.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5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Lazarescu (2015)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Complete system / autonomy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Theoretical battery life does not establish autonomy; observed mechanical, thermal, RF, and firmware behavior does.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6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Botero-Valencia et al. (2022)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Shield geometry / material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 modular passive cone-stack shield is a defensible low-cost baseline, but material and color were not fully isolated.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7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Tarara and Hoheisel (2007)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Shield geometry / material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Radiation blocking alone is insufficient: reflected radiation and ventilation area determine passive-shield error.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8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Holden et al. (2013)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Shield geometry / material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Simple, inexpensive geometry can be effective enough for distributed sensing, but passive limitations remain.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9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Liu et al. (2023)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Shield geometry / material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Mixed surface finishes and guided natural ventilation offer performance gains, with added fabrication and coating-maintenance complexity.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10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García Izquierdo et al. (2024)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Shield geometry / material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Long-duration comparison must evaluate operational reliability as well as thermometer error.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11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Deford et al. (2025)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Shield geometry / material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Active airflow is a useful accuracy benchmark and a direct test of the accuracy-autonomy tradeoff.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12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Jin et al. (2026)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Shield geometry / material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Advanced passive geometry may reduce error without fan power, but complexity and weathering must be assessed.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13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deSouza et al. (2022)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Calibration / drift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Calibration performance must be tested beyond the location and period used to fit the model.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14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Clements et al. (2017)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Calibration / drift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Low-cost sensor boxes need a defined quality-assurance workflow rather than a one-time validation.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15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Giordano et al. (2021)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Calibration / drift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PM calibration and enclosure design are deployment-specific and cannot be treated independently.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16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Vajs et al. (2021)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Calibration / drift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Interpretable linear and multiple-linear models provide a defensible baseline before more complex methods.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17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Schneider et al. (2023)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Calibration / drift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Pre- and post-deployment co-location improves detection of drift and field-induced change.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18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Diez et al. (2024)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Calibration / drift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Long-term validation requires documentation of hardware, firmware, processing, location, and uncertainty.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19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Winter et al. (2025)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Calibration / drift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Recalibration interval and physical-maintenance interval are separate engineering quantities.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20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Duvall et al. (2021; EPA/600/R-20/280)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Protocol / evaluation standard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The protocol supplies a repeatable PM2.5 performance framework, but it does not certify a sensor or justify enclosure design choices.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21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World Meteorological Organization (2023)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Protocol / evaluation standard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WMO practice defines the measurement target and reference context, but not a specific low-cost enclosure solution.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22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ASTM International (2022)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Protocol / evaluation standard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ASTM D8406-22 strengthens the methods basis for gas and PM evaluation but cannot support enclosure claims from its public scope alone.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23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European Committee for Standardization (2021)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Protocol / evaluation standard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The specification supports class-based gas-sensor evaluation but does not justify physical enclosure choices.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24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Szewczyk et al. (2004)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Field reliability / data yield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Deployment reliability and completeness can limit scientific value even when individual sensors function as expected.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25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Barrenetxea et al. (2008)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Field reliability / data yield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Protocol discipline and field-realistic pre-deployment checks are essential to interpreting sensor-network results.</w:t>
            </w:r>
          </w:p>
        </w:tc>
      </w:tr>
      <w:tr>
        <w:tc>
          <w:tcPr>
            <w:tcW w:type="dxa" w:w="648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26</w:t>
            </w:r>
          </w:p>
        </w:tc>
        <w:tc>
          <w:tcPr>
            <w:tcW w:type="dxa" w:w="3096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Feinberg et al. (2018)</w:t>
            </w:r>
          </w:p>
        </w:tc>
        <w:tc>
          <w:tcPr>
            <w:tcW w:type="dxa" w:w="2520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Field reliability / data yield</w:t>
            </w:r>
          </w:p>
        </w:tc>
        <w:tc>
          <w:tcPr>
            <w:tcW w:type="dxa" w:w="2952"/>
            <w:tcMar>
              <w:top w:w="70" w:type="dxa"/>
              <w:start w:w="120" w:type="dxa"/>
              <w:bottom w:w="7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A long deployment can reveal completeness and repeatability limits that a short calibration exercise cannot.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Complete Sensor-Box and Field-System Studies</w:t>
      </w:r>
    </w:p>
    <w:p>
      <w:pPr>
        <w:keepNext w:val="0"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9"/>
        </w:rPr>
        <w:t>These papers show how sensors, packaging, power, communication, and maintenance behave as one deployed system.</w:t>
      </w:r>
    </w:p>
    <w:p>
      <w:pPr>
        <w:pStyle w:val="Heading2"/>
        <w:keepNext/>
      </w:pPr>
      <w:r>
        <w:t>1. Theisen et al. (2020)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More Science with Less: Evaluation of a 3D-Printed Weather Station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https://doi.org/10.5194/amt-13-4699-2020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MCP9808; HTU21D; BMP280; SI1145; Hall-effect wind, direction, and rain sensors.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Off-white/gray ASA; PVC frame; electrical junction box; polyurethane, PTFE filter, conformal coating, and silicone.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Integrated 3D-PAWS station; naturally aspirated shield; crossbar-mounted wind/UV sensors; separate junction box for logger.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Eight-month outdoor deployment beside an Oklahoma Mesonet reference station.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Several low-cost measurements can be useful, but wind dependence, corrosion, moisture, connectors, printed fasteners, and moving parts strongly affect total system performance.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The sensing element is only one part of field accuracy and lifetime. Integration and maintenance failures can dominate.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Provides the closest precedent for evaluating the lab box as a complete deployed instrument and for recording both accuracy and failure events.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Log internal box temperature and wind speed so radiation-shield performance can be separated from sensor calibration.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Use metal structural fasteners and explicitly inspect connectors, drain paths, coatings, and exposed printed parts.</w:t>
      </w:r>
    </w:p>
    <w:p>
      <w:pPr>
        <w:pStyle w:val="Heading2"/>
        <w:keepNext/>
      </w:pPr>
      <w:r>
        <w:t>2. Tatsumi et al. (2021)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An Open-Source, Low-Cost Measurement System for Collecting Hydrometeorological Data in the Open Field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https://doi.org/10.3390/technologies9040078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LM60BIZ air/soil temperature; YL-69 soil moisture; G2711-01 GaAsP photodiode; GPS and micro-SD.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3D-printed protective case using unspecified resin; handmade photodiode cover.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Compact rectangular logger case with external sensors connected through detachable terminals; solar-powered system.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Grass-field deployment with reference comparisons; 30-day temperature and 19-day soil-moisture/PPFD measurements.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An open-field system must be evaluated as a package of sensing, power, storage, enclosure, and external connections.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Low-cost, modular hardware is practical, but exact material reporting and external-connection protection are necessary for reproducibility.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Supports the baseline inventory and reinforces documenting the complete lab box before modification.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Record exact material chemistry rather than only stating that a case is 3D printed.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Include connector sealing, strain relief, and external-probe replacement in maintainability testing.</w:t>
      </w:r>
    </w:p>
    <w:p>
      <w:pPr>
        <w:pStyle w:val="Heading2"/>
        <w:keepNext/>
      </w:pPr>
      <w:r>
        <w:t>3. Grimsley et al. (2021)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Experiences in LP-IoT: EnviSense Deployment of Remotely Reprogrammable Environmental Sensors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https://doi.org/10.1145/3477085.3478988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MaxBotix ultrasonic range sensor or SDI-12 pressure transducer; internal T/RH/pressure; battery voltage/current; GPS; LoRa.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Commercial IP67 enclosure; exact enclosure material not reported.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Sealed rectangular logger with four sealed ports and external measurement probes.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More than 12 nodes at two sites; six months of continuous field measurement discussed.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Sealed electronics, external probes, remote management, and device-health sensing improve autonomy and diagnosability.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A modular sealed logger can support long deployments when sensing, power, communications, and maintenance are designed together.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Strong precedent for a two-zone architecture and for treating battery and communication health as measurement-system outputs.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Separate protected electronics from ambient-air sensors.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Log battery, resets, and communication health alongside environmental data.</w:t>
      </w:r>
    </w:p>
    <w:p>
      <w:pPr>
        <w:pStyle w:val="Heading2"/>
        <w:keepNext/>
      </w:pPr>
      <w:r>
        <w:t>4. Daepp et al. (2022)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Eclipse: An End-to-End Platform for Low-Cost, Hyperlocal Environmental Sensing in Cities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https://doi.org/10.1109/IPSN54338.2022.00010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PM2.5; temperature; RH; pressure; optional O3, NO2, SO2, and CO modules.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Custom weatherproof enclosure; exact material and airflow path not reported.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Modular solar-powered, cellular-connected urban sensor box.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115 devices deployed across Chicago; more than 90% of expected sensor-hours collected during the reported period.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Large-scale deployment is possible when the platform is modular and expected sensor-hours are treated as an operational metric.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Completeness and remote serviceability are central measures of whether a low-cost box is useful in practice.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Provides a clear autonomy metric and supports designing reset/service actions that do not require opening the box.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Report expected versus received sensor-hours.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Evaluate site-specific mounting and solar-panel heating effects.</w:t>
      </w:r>
    </w:p>
    <w:p>
      <w:pPr>
        <w:pStyle w:val="Heading2"/>
        <w:keepNext/>
      </w:pPr>
      <w:r>
        <w:t>5. Lazarescu (2015)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Design and Field Test of a WSN Platform Prototype for Long-Term Environmental Monitoring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https://doi.org/10.3390/s150409481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NTC temperature transducer; low-power radio; battery and system-health measurements.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Protective resin; compact node package; sealed plastic gateway package inside a divided wooden housing.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Downward-facing vented node; solar-powered gateway with separated compartments.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Fifty sensor nodes and two gateways deployed for approximately 2.5 months in an olive field.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Solar heating, solder fatigue, antenna placement, charger failure, RF attenuation, and faulty-node traffic can limit autonomy.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Theoretical battery life does not establish autonomy; observed mechanical, thermal, RF, and firmware behavior does.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Directly informs the paper's failure-mode and maintenance-event framework.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Test antenna clearance and enclosure effects on communication.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Include heartbeats, self-test, battery-state validation, and failure propagation in the deployment plan.</w:t>
      </w:r>
    </w:p>
    <w:p>
      <w:r>
        <w:br w:type="page"/>
      </w:r>
    </w:p>
    <w:p>
      <w:pPr>
        <w:pStyle w:val="Heading1"/>
        <w:keepNext/>
      </w:pPr>
      <w:r>
        <w:t>Radiation-Shield Geometry and Material Studies</w:t>
      </w:r>
    </w:p>
    <w:p>
      <w:pPr>
        <w:keepNext w:val="0"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9"/>
        </w:rPr>
        <w:t>These papers provide the strongest evidence for selecting and comparing passive and active shield designs.</w:t>
      </w:r>
    </w:p>
    <w:p>
      <w:pPr>
        <w:pStyle w:val="Heading2"/>
        <w:keepNext/>
      </w:pPr>
      <w:r>
        <w:t>6. Botero-Valencia et al. (2022)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Design and Implementation of 3-D Printed Radiation Shields for Environmental Sensors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https://doi.org/10.1016/j.ohx.2022.e00267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Three identical SHT10 temperature/RH sensors; Vantage Pro reference; Particle Argon logger.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Orange PLA and white ASA; PVC mount; metal spacers; IP69 electronics box.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Six truncated cones: five perforated cones and a solid roof, separated by 20 mm spacers.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Exposed, PLA-shielded, and ASA-shielded sensors compared outdoors, plus 30/90-day weathering tests.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Both printed shields reduced radiation error; ASA was favored for outdoor UV resistance and durability.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A modular passive cone-stack shield is a defensible low-cost baseline, but material and color were not fully isolated.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Provides the most direct literature basis for testing printed passive shields and comparing material/weathering behavior.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Control color and surface finish when comparing base materials.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Treat cone count, spacing, and open area as independent geometry variables.</w:t>
      </w:r>
    </w:p>
    <w:p>
      <w:pPr>
        <w:pStyle w:val="Heading2"/>
        <w:keepNext/>
      </w:pPr>
      <w:r>
        <w:t>7. Tarara and Hoheisel (2007)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Low-Cost Shielding to Minimize Radiation Errors of Temperature Sensors in the Field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https://doi.org/10.21273/HORTSCI.42.6.1372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Same temperature-sensor type used across test and comparison shields.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Reflective foil insulation with high albedo and low emissivity.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Plate, stacked-plate, cone, double-cone, tube, rocket, pagoda, and perforated-tube variants.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Controlled outdoor comparison under changing solar irradiance and wind.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Stacked plates performed best; open bottoms admitted reflected radiation; tube shields needed substantial sidewall perforation.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Radiation blocking alone is insufficient: reflected radiation and ventilation area determine passive-shield error.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Provides the clearest evidence for selecting and parameterizing passive geometry variants.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Measure vent/open-area ratio and include reflected ground radiation.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Avoid open-bottom and weakly perforated tube designs.</w:t>
      </w:r>
    </w:p>
    <w:p>
      <w:pPr>
        <w:pStyle w:val="Heading2"/>
        <w:keepNext/>
      </w:pPr>
      <w:r>
        <w:t>8. Holden et al. (2013)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Design and Evaluation of an Inexpensive Radiation Shield for Monitoring Surface Air Temperatures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https://doi.org/10.1016/j.agrformet.2013.06.011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Low-cost temperature sensors, including LogTag units.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White corrugated-plastic sheet.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Folded Gill-style series of plates.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Three-site outdoor comparison against commercial passive shields, RAWS, and aspirated ASOS reference.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A roughly USD 3 shield performed similarly to a commercial passive shield, while low-wind full-sun bias remained.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Simple, inexpensive geometry can be effective enough for distributed sensing, but passive limitations remain.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Creates a useful low-cost manufacturability benchmark for the lab's enclosure comparisons.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Compare build repeatability, weathering, and cost alongside accuracy.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Use an aspirated or higher-grade reference to quantify remaining passive bias.</w:t>
      </w:r>
    </w:p>
    <w:p>
      <w:pPr>
        <w:pStyle w:val="Heading2"/>
        <w:keepNext/>
      </w:pPr>
      <w:r>
        <w:t>9. Liu et al. (2023)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Design and Experiments of a Naturally-Ventilated Radiation Shield for Ground Temperature Measurement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https://doi.org/10.3390/atmos14030523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Pt100 platinum resistance thermometer.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Silver-coated aluminum outer plates; black inner surfaces; white-resin internal parts.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Multilayer shield with two square plates, annular layers, diversion pipe, eight vents, and truncated-cone reflector.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CFD-informed design followed by outdoor experimental validation.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Outer reflectivity, inner surface treatment, venting, and lower reflectors can address direct and reflected radiation together.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Mixed surface finishes and guided natural ventilation offer performance gains, with added fabrication and coating-maintenance complexity.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Expands the paper beyond polymer choice to include surface finish and reflected-radiation management.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Treat exterior reflectance and interior finish as separate variables.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Include vent count/area and coating degradation in the decision framework.</w:t>
      </w:r>
    </w:p>
    <w:p>
      <w:pPr>
        <w:pStyle w:val="Heading2"/>
        <w:keepNext/>
      </w:pPr>
      <w:r>
        <w:t>10. García Izquierdo et al. (2024)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COAT Project: Intercomparison of Thermometer Radiation Shields in the Arctic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https://doi.org/10.3390/atmos15070841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Forty-one calibrated four-wire Pt100 thermometers; ultrasonic anemometers and reference meteorology.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Ten commercial shield models; detailed proprietary materials vary.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Natural and active shields, including multiplate and Stevenson-screen configurations.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Fourteen-month Arctic intercomparison with pre/post calibration.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Shield differences depend strongly on wind and radiation; fan, logger, power, memory, mounting, and storm failures caused data loss.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Long-duration comparison must evaluate operational reliability as well as thermometer error.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Provides a strong precedent for long-term failure logging and passive-versus-active comparison.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Log fan operation, storage capacity, power status, and mount condition.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Use redundant probes where possible to distinguish shield effects from sensor failure.</w:t>
      </w:r>
    </w:p>
    <w:p>
      <w:pPr>
        <w:pStyle w:val="Heading2"/>
        <w:keepNext/>
      </w:pPr>
      <w:r>
        <w:t>11. Deford et al. (2025)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Development of a Low-Cost, 3D-Printed, Aspirated Air Temperature Measurement Radiation Shield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https://doi.org/10.1175/JTECH-D-24-0006.1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Compact air-temperature sensor; Sunon 5 V fan.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White PLA; hot glue during testing; fan and exposed circuits.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Three-part double-wall 90-degree elbow with insect screen, central supports, and angled fan diffuser.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Outdoor comparison with passive and commercial aspirated reference shields.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Low-cost aspiration can achieve strong accuracy, but the fan consumes 680 mW and creates durability and maintenance risks.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Active airflow is a useful accuracy benchmark and a direct test of the accuracy-autonomy tradeoff.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Provides the clearest candidate active design for comparison with passive lab-box options.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Measure fan power, flow, and failure behavior.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Replace temporary PLA/glue/exposed circuitry with weatherable materials and permanent assembly for long deployment.</w:t>
      </w:r>
    </w:p>
    <w:p>
      <w:pPr>
        <w:pStyle w:val="Heading2"/>
        <w:keepNext/>
      </w:pPr>
      <w:r>
        <w:t>12. Jin et al. (2026)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Design and Experimental Validation of a High-Accuracy Naturally Ventilated Radiation Shield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https://doi.org/10.3390/atmos17030272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Thin-film Pt100 in an 8 mm copper spherical shell.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CFD comparison of plastic, wood, Fe-Ni alloy, and aluminum; mirror-finish aluminum considered.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Two square shading plates with symmetric bowl-cover flow-guiding shrouds and 30 mm spacing.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CFD material/geometry optimization followed by outdoor validation.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Material thermal properties and guided passive airflow jointly affect radiation error.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Advanced passive geometry may reduce error without fan power, but complexity and weathering must be assessed.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Supports evaluating airflow guidance and upward/reflected radiation rather than only plate count.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Balance modeled accuracy against manufacturability, size, mounting, and coating durability.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Validate CFD-derived designs across multiple weather states.</w:t>
      </w:r>
    </w:p>
    <w:p>
      <w:r>
        <w:br w:type="page"/>
      </w:r>
    </w:p>
    <w:p>
      <w:pPr>
        <w:pStyle w:val="Heading1"/>
        <w:keepNext/>
      </w:pPr>
      <w:r>
        <w:t>Calibration, Drift, and Air-Quality Sensor Studies</w:t>
      </w:r>
    </w:p>
    <w:p>
      <w:pPr>
        <w:keepNext w:val="0"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9"/>
        </w:rPr>
        <w:t>These papers define calibration, drift, environmental correction, and long-term validation requirements.</w:t>
      </w:r>
    </w:p>
    <w:p>
      <w:pPr>
        <w:pStyle w:val="Heading2"/>
        <w:keepNext/>
      </w:pPr>
      <w:r>
        <w:t>13. deSouza et al. (2022)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Calibrating Networks of Low-Cost Air Quality Sensors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https://doi.org/10.5194/amt-15-6309-2022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Canary-S boxes using Plantower PMS5003 PM sensing with integrated temperature/RH.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Commercial outdoor box; material and internal airflow not reported.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Commercial networked box; detailed inlet/outlet and internal layout not reported.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Twenty-four school deployments; seven boxes co-located with five FEM reference sites.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Calibration evaluated at one co-location may fail to transfer across time or space.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Calibration performance must be tested beyond the location and period used to fit the model.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Directly supports time-separated and, if possible, site-separated validation of the lab box.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Document PM inlet, fan path, sensor placement, and enclosure material.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Report calibration transfer performance rather than only training/co-location error.</w:t>
      </w:r>
    </w:p>
    <w:p>
      <w:pPr>
        <w:pStyle w:val="Heading2"/>
        <w:keepNext/>
      </w:pPr>
      <w:r>
        <w:t>14. Clements et al. (2017)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Low-Cost Air Quality Monitoring Tools: From Research to Practice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https://doi.org/10.3390/s17112478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Optical PM, electrochemical gas, metal-oxide gas, and multi-sensor systems discussed generally.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 single enclosure material reported.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 single geometry; air exchange and internal heat are identified as important.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Workshop summary synthesizing laboratory, co-location, mobile, community, and network experience.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Co-location, repeated calibration, drift checks, and environmental measurements are common requirements.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Low-cost sensor boxes need a defined quality-assurance workflow rather than a one-time validation.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Provides broad best-practice justification for calibration and enclosure-condition logging.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Measure internal heat and air exchange rather than treating the box as neutral.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Place environmental-correction sensors close to pollutant sensors while exposing them to ambient air.</w:t>
      </w:r>
    </w:p>
    <w:p>
      <w:pPr>
        <w:pStyle w:val="Heading2"/>
        <w:keepNext/>
      </w:pPr>
      <w:r>
        <w:t>15. Giordano et al. (2021)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From Low-Cost Sensors to High-Quality Data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https://doi.org/10.1016/j.jaerosci.2021.105833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Low-cost optical particulate-matter sensors as a class.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 single enclosure material reported.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 single enclosure; packaging and airflow identified as influences.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Review of laboratory evaluation, co-location, and network deployment studies.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PM response depends on humidity, aerosol properties, sensor age, site, and packaging/airflow.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PM calibration and enclosure design are deployment-specific and cannot be treated independently.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Defines environmental covariates and limitations that must be considered if the lab box includes PM sensing.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Include humidity, inlet airflow, aging, and local aerosol conditions in PM analysis.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Do not infer a universally transferable calibration.</w:t>
      </w:r>
    </w:p>
    <w:p>
      <w:pPr>
        <w:pStyle w:val="Heading2"/>
        <w:keepNext/>
      </w:pPr>
      <w:r>
        <w:t>16. Vajs et al. (2021)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Developing Relative Humidity and Temperature Corrections for Low-Cost Sensors Using Machine Learning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https://doi.org/10.3390/s21103338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Alphasense gas cells; Bosch BME280; Plantower PMS7003.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Commercial AQ10x enclosure; material and airflow not reported.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Commercial outdoor air-quality station; internal layout not reported.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One station co-located with a Serbian public monitoring station; LR, MLR, and ML corrections compared.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Temperature and RH correction can improve low-cost gas/PM measurements, but sensor-specific sensitivity remains.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Interpretable linear and multiple-linear models provide a defensible baseline before more complex methods.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Directly supports the proposed calibration sequence for the lab box.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Start with linear and multiple-linear calibration and use a time-separated test period.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Ensure T/RH sensors measure the air reaching the pollutant sensors, not only the electronics-box microclimate.</w:t>
      </w:r>
    </w:p>
    <w:p>
      <w:pPr>
        <w:pStyle w:val="Heading2"/>
        <w:keepNext/>
      </w:pPr>
      <w:r>
        <w:t>17. Schneider et al. (2023)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Deployment and Evaluation of a Network of Open Low-Cost Air Quality Sensor Systems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https://doi.org/10.3390/atmos14030540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Alphasense NO2, CO, NO, O3; ELT D-300 CO2; OPC-N3 PM; T/RH/pressure.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AirSensEUR boxes; enclosure material not reported.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 boxes co-located together, then distributed to roadside sites.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Five-week pre-deployment co-location, roadside deployment, and post-deployment evaluation.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High RH affected optical PM; unit-to-unit differences, drift, and failures required pre/post deployment evaluation.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Pre- and post-deployment co-location improves detection of drift and field-induced change.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Supports comparing multiple lab boxes and checking calibration after deployment.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Perform pre/post co-location if deployment duration permits.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Treat humidity, unit variability, and multi-sensor maintenance as primary factors.</w:t>
      </w:r>
    </w:p>
    <w:p>
      <w:pPr>
        <w:pStyle w:val="Heading2"/>
        <w:keepNext/>
      </w:pPr>
      <w:r>
        <w:t>18. Diez et al. (2024)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Long-Term Evaluation of Commercial Air Quality Sensors: The QUANT Study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https://doi.org/10.5194/amt-17-3809-2024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Forty-three commercial devices containing 119 gas and 118 PM sensors.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Commercial protective cases; materials and internal layouts generally proprietary.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Multiple commercial black-box systems.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Three-year evaluation across UK urban environments, including relocation and uncertainty analysis.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Performance varied substantially between systems; relocation and manufacturer correction changes affected results.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Long-term validation requires documentation of hardware, firmware, processing, location, and uncertainty.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Supports treating the lab box as a transparent system and evaluating more than RMSE alone.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Document every hardware, firmware, and calibration change.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Evaluate inter-device precision, uncertainty, relocation, and long-term stability.</w:t>
      </w:r>
    </w:p>
    <w:p>
      <w:pPr>
        <w:pStyle w:val="Heading2"/>
        <w:keepNext/>
      </w:pPr>
      <w:r>
        <w:t>19. Winter et al. (2025)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Sustained Performance of Low-Cost Air Quality Sensors in Long-Term Deployments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https://doi.org/10.1021/acssensors.5c00566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Alphasense NO2-B43F, Ox-B431, NO-B4, and CO-B4 electrochemical sensors.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BEACO2N node enclosure not described in detail.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Dense-network node packaging; geometry not the focus.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Three-year San Francisco Bay Area network evaluation.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Calibrated electrochemical performance can remain stable for years, while mechanical/electrical failures may occur first.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Recalibration interval and physical-maintenance interval are separate engineering quantities.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Strengthens the paper's focus on identifying the true limiting factor rather than assuming sensor drift dominates.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Track recalibration need separately from physical interventions.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Record board, connector, power, and enclosure failures alongside sensing-element behavior.</w:t>
      </w:r>
    </w:p>
    <w:p>
      <w:r>
        <w:br w:type="page"/>
      </w:r>
    </w:p>
    <w:p>
      <w:pPr>
        <w:pStyle w:val="Heading1"/>
        <w:keepNext/>
      </w:pPr>
      <w:r>
        <w:t>Standards and Evaluation Protocols (23-Source Base)</w:t>
      </w:r>
    </w:p>
    <w:p>
      <w:pPr>
        <w:keepNext w:val="0"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9"/>
        </w:rPr>
        <w:t>These four sources complete the documented 23-source base by anchoring siting, co-location, metrics, and performance-class framing. They are standards or protocols, not experimental papers.</w:t>
      </w:r>
    </w:p>
    <w:p>
      <w:pPr>
        <w:pStyle w:val="Heading2"/>
        <w:keepNext/>
      </w:pPr>
      <w:r>
        <w:t>20. Duvall et al. (2021; EPA/600/R-20/280)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Performance Testing Protocols, Metrics, and Target Values for Fine Particulate Matter Air Sensors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Source: https://cfpub.epa.gov/si/si_public_record_report.cfm?dirEntryId=350785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 specific model; applies to PM2.5 air sensors used for ambient, outdoor, fixed-site, non-regulatory monitoring.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Not addressed; the protocol evaluates a sensor system as a unit.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Not addressed; enclosure design and shielding are outside the protocol's scope.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Base field testing recommends at least three identical units co-located with FRM/FEM reference monitors for at least 30 days per site.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A defensible evaluation should report R², slope, intercept, RMSE/NRMSE, and data completeness under a defined co-location protocol.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The protocol supplies a repeatable PM2.5 performance framework, but it does not certify a sensor or justify enclosure design choices.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Anchors the proposed 30-day co-location target and the accuracy and completeness metrics for any PM channel.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Use the EPA metric set consistently across enclosure variants.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Do not transfer PM2.5 target values to temperature, RH, pressure, or gas channels.</w:t>
      </w:r>
    </w:p>
    <w:p>
      <w:pPr>
        <w:pStyle w:val="Heading2"/>
        <w:keepNext/>
      </w:pPr>
      <w:r>
        <w:t>21. World Meteorological Organization (2023)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Guide to Instruments and Methods of Observation (WMO-No. 8), Volume I: Measurement of Meteorological Variables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Source: https://library.wmo.int/records/item/68695-guide-to-instruments-and-methods-of-observation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 specific models; covers measurement practice for temperature, humidity, pressure, wind, radiation, and precipitation instruments.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Discusses radiation screens and shields as measurement practice; does not compare printed enclosure materials.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Defines exposure and siting considerations such as shielding, mounting height, and distance from surfaces and obstructions.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Operational meteorological guidance for instrument exposure, reference practice, and measurement uncertainty.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Reference quality depends on documented siting, shielding, exposure, and uncertainty—not only sensor specification.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WMO practice defines the measurement target and reference context, but not a specific low-cost enclosure solution.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Anchors the deployment-siting rules and the requirement to document reference-instrument uncertainty.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State which WMO exposure practices the deployment follows and document any unavoidable departures.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Use the shield literature, not WMO-No. 8 alone, to select low-cost materials and geometry.</w:t>
      </w:r>
    </w:p>
    <w:p>
      <w:pPr>
        <w:pStyle w:val="Heading2"/>
        <w:keepNext/>
      </w:pPr>
      <w:r>
        <w:t>22. ASTM International (2022)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ASTM D8406-22: Standard Practice for Performance Evaluation of Ambient Outdoor Air Quality Sensors and Sensor-Based Instruments for Portable and Fixed-Point Measurement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Source: https://store.astm.org/d8406-22.html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 specific models; applies to outdoor sensor instruments for O3, CO, NO2, SO2, PM10, and PM2.5.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Not addressed; the practice evaluates instrument performance rather than enclosure materials.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Not addressed; portable and fixed-point instruments are evaluated as complete systems.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Standardized field performance evaluation for ambient outdoor air-quality sensor instruments; characterization here is limited to the published scope.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A consensus standard exists for the same broad fixed-point outdoor instrument class as the proposed box.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ASTM D8406-22 strengthens the methods basis for gas and PM evaluation but cannot support enclosure claims from its public scope alone.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Provides a citable consensus-standard counterpart to the EPA protocol for gas and particulate channels.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Keep claims at scope level until the paywalled full standard is obtained and reviewed.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Use separate meteorological guidance and shield evidence for T/RH siting and enclosure design.</w:t>
      </w:r>
    </w:p>
    <w:p>
      <w:pPr>
        <w:pStyle w:val="Heading2"/>
        <w:keepNext/>
      </w:pPr>
      <w:r>
        <w:t>23. European Committee for Standardization (2021)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CEN/TS 17660-1:2021: Air Quality—Performance Evaluation of Air Quality Sensor Systems—Part 1: Gaseous Pollutants in Ambient Air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Source: https://standards.cencenelec.eu/dyn/www/f?p=205:110:0::::FSP_PROJECT:65599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 specific models; applies to systems for O3, NO/NO2/NOx, CO, SO2, and benzene in ambient air.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Not addressed; the specification classifies system performance, not enclosure materials.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Not addressed; enclosure and airflow design are outside the published scope.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Harmonized laboratory and field evaluation with performance classes, including a class for non-regulatory applications; characterization here is limited to the published scope.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Performance classes offer a useful model for tiered acceptance thresholds rather than one universal pass/fail line.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The specification supports class-based gas-sensor evaluation but does not justify physical enclosure choices.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Provides a European framework for tiered acceptance criteria for gaseous-pollutant channels.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Keep claims at scope level until the paywalled full specification is obtained and reviewed.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Do not apply Part 1 gas criteria to PM or meteorological channels.</w:t>
      </w:r>
    </w:p>
    <w:p>
      <w:r>
        <w:br w:type="page"/>
      </w:r>
    </w:p>
    <w:p>
      <w:pPr>
        <w:pStyle w:val="Heading1"/>
        <w:keepNext/>
      </w:pPr>
      <w:r>
        <w:t>Additional Field-Reliability and Data-Yield Studies</w:t>
      </w:r>
    </w:p>
    <w:p>
      <w:pPr>
        <w:keepNext w:val="0"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9"/>
        </w:rPr>
        <w:t>These three later additions strengthen the evidence for completeness, deployment documentation, unit variability, and failure analysis. Their enclosure details are not used beyond what was verified.</w:t>
      </w:r>
    </w:p>
    <w:p>
      <w:pPr>
        <w:pStyle w:val="Heading2"/>
        <w:keepNext/>
      </w:pPr>
      <w:r>
        <w:t>24. Szewczyk et al. (2004)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An Analysis of a Large Scale Habitat Monitoring Application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https://doi.org/10.1145/1031495.1031521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Habitat-monitoring motes with temperature, humidity, and light-class sensing; exact part numbers were not re-verified for this synthesis update.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Weatherproofed mote packaging; detailed material and packaging information was not re-verified and is not used as enclosure evidence here.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Approximately 150 devices organized across single-hop and multi-hop network tiers; shield geometry was not a study variable.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Four-month Great Duck Island field deployment focused on lifetime, node mortality, reliability, and data yield.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Multi-month field studies should treat node mortality and usable data yield as primary results, not implementation footnotes.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Deployment reliability and completeness can limit scientific value even when individual sensors function as expected.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Supports reporting uptime, data yield, and failure analysis as first-class results in the enclosure paper.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Separate deployment-phase failures from bench behavior and sensor-calibration error.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Do not cite this paper for enclosure material or geometry choices without re-verifying the full packaging description.</w:t>
      </w:r>
    </w:p>
    <w:p>
      <w:pPr>
        <w:pStyle w:val="Heading2"/>
        <w:keepNext/>
      </w:pPr>
      <w:r>
        <w:t>25. Barrenetxea et al. (2008)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The Hitchhiker's Guide to Successful Wireless Sensor Network Deployments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https://doi.org/10.1145/1460412.1460418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SensorScope solar-powered environmental stations with a meteorological sensing suite; exact sensor models were not re-verified for this synthesis update.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Mast-mounted station packaging; detailed materials were not re-verified and are not used as enclosure evidence here.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Distributed outdoor stations used across multiple campaigns; enclosure thermal geometry was not isolated experimentally.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Experience and methodology synthesis drawn from repeated SensorScope environmental-monitoring campaigns.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A technically functioning network does not guarantee meaningful data; deployment problems span development, packaging, power, and on-site validation.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Protocol discipline and field-realistic pre-deployment checks are essential to interpreting sensor-network results.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Supports documenting placement, retrieval, power configuration, maintenance, and validation rather than reconstructing the deployment timeline afterward.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Bench-test the complete system under the same power and communication conditions expected in the field.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Do not cite this source as direct evidence for shield geometry or material selection.</w:t>
      </w:r>
    </w:p>
    <w:p>
      <w:pPr>
        <w:pStyle w:val="Heading2"/>
        <w:keepNext/>
      </w:pPr>
      <w:r>
        <w:t>26. Feinberg et al. (2018)</w:t>
      </w:r>
    </w:p>
    <w:p>
      <w:pPr>
        <w:keepNext/>
        <w:spacing w:after="60" w:line="264" w:lineRule="auto"/>
      </w:pPr>
      <w:r>
        <w:rPr>
          <w:rFonts w:ascii="Calibri" w:hAnsi="Calibri"/>
          <w:b w:val="0"/>
          <w:i/>
          <w:color w:val="17324D"/>
          <w:sz w:val="22"/>
        </w:rPr>
        <w:t>Long-Term Evaluation of Air Sensor Technology under Ambient Conditions in Denver, Colorado</w:t>
      </w:r>
    </w:p>
    <w:p>
      <w:pPr>
        <w:keepNext/>
        <w:spacing w:after="120" w:line="264" w:lineRule="auto"/>
      </w:pPr>
      <w:r>
        <w:rPr>
          <w:rFonts w:ascii="Calibri" w:hAnsi="Calibri"/>
          <w:b w:val="0"/>
          <w:i w:val="0"/>
          <w:color w:val="667085"/>
          <w:sz w:val="17"/>
        </w:rPr>
        <w:t>DOI: https://doi.org/10.5194/amt-11-4605-2018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Sensors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Commercial low-cost PM, ozone, and NO2 sensor packages deployed in triplicate against FEM monitors; model-level details were not re-verified for this update.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Materials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Manufacturer-supplied sensor-package enclosures; enclosure construction was not re-verified and was not an isolated study variable.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Geometry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Triplicate packages co-located at an urban regulatory monitoring site.</w:t>
            </w:r>
          </w:p>
        </w:tc>
      </w:tr>
      <w:tr>
        <w:tc>
          <w:tcPr>
            <w:tcW w:type="dxa" w:w="1944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Experimental setup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Seven-month Denver field evaluation spanning seasonal conditions and comparing completeness, correlation, and trend reproduction with FEM references.</w:t>
            </w:r>
          </w:p>
        </w:tc>
      </w:tr>
    </w:tbl>
    <w:p>
      <w:pPr>
        <w:spacing w:after="0"/>
      </w:pP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What it shows: </w:t>
      </w:r>
      <w:r>
        <w:rPr>
          <w:rFonts w:ascii="Calibri" w:hAnsi="Calibri"/>
          <w:b w:val="0"/>
          <w:i w:val="0"/>
          <w:color w:val="000000"/>
          <w:sz w:val="21"/>
        </w:rPr>
        <w:t>Data completeness belongs beside accuracy as a long-term performance metric, and triplicate units help expose unit-to-unit variability.</w:t>
      </w:r>
    </w:p>
    <w:p>
      <w:pPr>
        <w:keepNext w:val="0"/>
        <w:spacing w:after="8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Brief conclusion: </w:t>
      </w:r>
      <w:r>
        <w:rPr>
          <w:rFonts w:ascii="Calibri" w:hAnsi="Calibri"/>
          <w:b w:val="0"/>
          <w:i w:val="0"/>
          <w:color w:val="000000"/>
          <w:sz w:val="21"/>
        </w:rPr>
        <w:t>A long deployment can reveal completeness and repeatability limits that a short calibration exercise cannot.</w:t>
      </w:r>
    </w:p>
    <w:p>
      <w:pPr>
        <w:keepNext w:val="0"/>
        <w:spacing w:after="6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Importance to this research: </w:t>
      </w:r>
      <w:r>
        <w:rPr>
          <w:rFonts w:ascii="Calibri" w:hAnsi="Calibri"/>
          <w:b w:val="0"/>
          <w:i w:val="0"/>
          <w:color w:val="000000"/>
          <w:sz w:val="21"/>
        </w:rPr>
        <w:t>Directly supports the manuscript's completeness analysis and the need to establish whether deployment logs represent separate units.</w:t>
      </w:r>
    </w:p>
    <w:p>
      <w:pPr>
        <w:keepNext/>
        <w:spacing w:after="40" w:line="264" w:lineRule="auto"/>
      </w:pPr>
      <w:r>
        <w:rPr>
          <w:rFonts w:ascii="Calibri" w:hAnsi="Calibri"/>
          <w:b/>
          <w:i w:val="0"/>
          <w:color w:val="000000"/>
          <w:sz w:val="21"/>
        </w:rPr>
        <w:t>Things to consider moving forward</w:t>
      </w:r>
      <w:r>
        <w:rPr>
          <w:rFonts w:ascii="Calibri" w:hAnsi="Calibri"/>
          <w:b w:val="0"/>
          <w:i w:val="0"/>
          <w:color w:val="000000"/>
          <w:sz w:val="21"/>
        </w:rPr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Deploy more than one identical unit when possible to bound unit-to-unit variability.</w:t>
      </w:r>
    </w:p>
    <w:p>
      <w:pPr>
        <w:pStyle w:val="ListBullet"/>
        <w:spacing w:after="4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Do not generalize Denver-specific performance values or infer enclosure effects that the study did not isolate.</w:t>
      </w:r>
    </w:p>
    <w:p>
      <w:r>
        <w:br w:type="page"/>
      </w:r>
    </w:p>
    <w:p>
      <w:pPr>
        <w:pStyle w:val="Heading1"/>
        <w:keepNext/>
      </w:pPr>
      <w:r>
        <w:t>Recommended Experimental Framing</w:t>
      </w:r>
    </w:p>
    <w:p>
      <w:pPr>
        <w:keepNext w:val="0"/>
        <w:spacing w:after="120" w:line="264" w:lineRule="auto"/>
      </w:pPr>
      <w:r>
        <w:rPr>
          <w:rFonts w:ascii="Calibri" w:hAnsi="Calibri"/>
          <w:b w:val="0"/>
          <w:i w:val="0"/>
          <w:color w:val="000000"/>
          <w:sz w:val="21"/>
        </w:rPr>
        <w:t>The literature supports an engineering comparison centered on the lab's existing box. The primary result should be identification of the limiting factor: sensor calibration, physical integration, power, firmware/data handling, or maintenance.</w:t>
      </w:r>
    </w:p>
    <w:p>
      <w:pPr>
        <w:pStyle w:val="Heading2"/>
        <w:keepNext/>
      </w:pPr>
      <w:r>
        <w:t>Recommended Initial Designs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52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Design</w:t>
            </w:r>
          </w:p>
        </w:tc>
        <w:tc>
          <w:tcPr>
            <w:tcW w:type="dxa" w:w="6696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Current lab box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Unmodified baseline that establishes present accuracy, autonomy, and failure modes.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Strong passive option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White reflective stacked-plate or truncated-cone shield with electronics isolated in an IP-rated compartment.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>Active benchmark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Aspirated shield used only if the power budget permits; records fan power and fan-operating status.</w:t>
            </w:r>
          </w:p>
        </w:tc>
      </w:tr>
    </w:tbl>
    <w:p>
      <w:pPr>
        <w:pStyle w:val="Heading2"/>
        <w:keepNext/>
      </w:pPr>
      <w:r>
        <w:t>Measurements Needed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Reference-matched sensor readings and timestamps.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Solar exposure or radiation proxy, wind, rain, ambient temperature, and RH.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Battery voltage/current, fan state if used, resets, storage and communication health.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Expected and received sample counts by sensor channel.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Maintenance, calibration, physical inspection, and failure-event log.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Material, color/finish, geometry dimensions, vent/open-area ratio, and sensor placement.</w:t>
      </w:r>
    </w:p>
    <w:p>
      <w:pPr>
        <w:pStyle w:val="Heading2"/>
        <w:keepNext/>
      </w:pPr>
      <w:r>
        <w:t>Questions to Resolve Before Deployment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What variables must the lab box measure, and what reference instruments are available for each?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What calibrated-error, completeness, and autonomy thresholds define a useful deployment?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Which current component is most likely to limit performance: sensor, enclosure, power, firmware, or maintenance?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Can the lab fabricate ASA reliably, or should PETG/coated PETG and purchased IP-rated boxes be the practical candidates?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Is active aspiration justified by the expected accuracy improvement and available power budget?</w:t>
      </w:r>
    </w:p>
    <w:p>
      <w:pPr>
        <w:pStyle w:val="ListBullet"/>
        <w:spacing w:after="60" w:line="259" w:lineRule="auto"/>
      </w:pPr>
      <w:r>
        <w:rPr>
          <w:rFonts w:ascii="Calibri" w:hAnsi="Calibri"/>
          <w:b w:val="0"/>
          <w:i w:val="0"/>
          <w:color w:val="000000"/>
          <w:sz w:val="20"/>
        </w:rPr>
        <w:t>How long must the deployment run to capture representative solar, wind, humidity, rain, and temperature conditions?</w:t>
      </w:r>
    </w:p>
    <w:p>
      <w:pPr>
        <w:pStyle w:val="Heading1"/>
        <w:keepNext/>
      </w:pPr>
      <w:r>
        <w:t>Overall Conclusion</w:t>
      </w:r>
    </w:p>
    <w:p>
      <w:pPr>
        <w:keepNext w:val="0"/>
        <w:spacing w:after="160" w:line="264" w:lineRule="auto"/>
      </w:pPr>
      <w:r>
        <w:rPr>
          <w:rFonts w:ascii="Calibri" w:hAnsi="Calibri"/>
          <w:b w:val="0"/>
          <w:i w:val="0"/>
          <w:color w:val="000000"/>
          <w:sz w:val="21"/>
        </w:rPr>
        <w:t>Across the 26 sources (22 research papers and four standards or protocols), the strongest evidence supports a two-zone outdoor sensor-box architecture: protected electronics and power in a sealed, serviceable enclosure, with ambient sensors placed in an external or separately ventilated shield. A light-colored passive stacked-plate or cone shield is the most defensible low-power baseline. Active aspiration is valuable as an accuracy benchmark but must be evaluated against its power and maintenance cost. The paper should therefore report calibration improvement and physical-design performance together, while using observed intervention-free runtime and data completeness to define autonomy.</w:t>
      </w:r>
    </w:p>
    <w:p>
      <w:pPr>
        <w:keepNext w:val="0"/>
        <w:spacing w:after="160" w:line="264" w:lineRule="auto"/>
      </w:pPr>
      <w:r>
        <w:rPr>
          <w:rFonts w:ascii="Calibri" w:hAnsi="Calibri"/>
          <w:b w:val="0"/>
          <w:i w:val="0"/>
          <w:color w:val="000000"/>
          <w:sz w:val="21"/>
        </w:rPr>
        <w:t>The final contribution should be a practical decision framework showing which design factors most affect the lab's sensor box and which changes provide measurable improvement without unnecessary complexity.</w:t>
      </w:r>
    </w:p>
    <w:p>
      <w:pPr>
        <w:pStyle w:val="Heading1"/>
        <w:keepNext/>
      </w:pPr>
      <w:r>
        <w:t>Reference List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Theisen et al. (2020). </w:t>
      </w:r>
      <w:r>
        <w:rPr>
          <w:rFonts w:ascii="Calibri" w:hAnsi="Calibri"/>
          <w:b w:val="0"/>
          <w:i/>
          <w:color w:val="000000"/>
          <w:sz w:val="18"/>
        </w:rPr>
        <w:t xml:space="preserve">More Science with Less: Evaluation of a 3D-Printed Weather Station. </w:t>
      </w:r>
      <w:r>
        <w:rPr>
          <w:rFonts w:ascii="Calibri" w:hAnsi="Calibri"/>
          <w:b w:val="0"/>
          <w:i w:val="0"/>
          <w:color w:val="1F4E79"/>
          <w:sz w:val="18"/>
        </w:rPr>
        <w:t>https://doi.org/10.5194/amt-13-4699-2020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Tatsumi et al. (2021). </w:t>
      </w:r>
      <w:r>
        <w:rPr>
          <w:rFonts w:ascii="Calibri" w:hAnsi="Calibri"/>
          <w:b w:val="0"/>
          <w:i/>
          <w:color w:val="000000"/>
          <w:sz w:val="18"/>
        </w:rPr>
        <w:t xml:space="preserve">An Open-Source, Low-Cost Measurement System for Collecting Hydrometeorological Data in the Open Field. </w:t>
      </w:r>
      <w:r>
        <w:rPr>
          <w:rFonts w:ascii="Calibri" w:hAnsi="Calibri"/>
          <w:b w:val="0"/>
          <w:i w:val="0"/>
          <w:color w:val="1F4E79"/>
          <w:sz w:val="18"/>
        </w:rPr>
        <w:t>https://doi.org/10.3390/technologies9040078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Grimsley et al. (2021). </w:t>
      </w:r>
      <w:r>
        <w:rPr>
          <w:rFonts w:ascii="Calibri" w:hAnsi="Calibri"/>
          <w:b w:val="0"/>
          <w:i/>
          <w:color w:val="000000"/>
          <w:sz w:val="18"/>
        </w:rPr>
        <w:t xml:space="preserve">Experiences in LP-IoT: EnviSense Deployment of Remotely Reprogrammable Environmental Sensors. </w:t>
      </w:r>
      <w:r>
        <w:rPr>
          <w:rFonts w:ascii="Calibri" w:hAnsi="Calibri"/>
          <w:b w:val="0"/>
          <w:i w:val="0"/>
          <w:color w:val="1F4E79"/>
          <w:sz w:val="18"/>
        </w:rPr>
        <w:t>https://doi.org/10.1145/3477085.3478988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Daepp et al. (2022). </w:t>
      </w:r>
      <w:r>
        <w:rPr>
          <w:rFonts w:ascii="Calibri" w:hAnsi="Calibri"/>
          <w:b w:val="0"/>
          <w:i/>
          <w:color w:val="000000"/>
          <w:sz w:val="18"/>
        </w:rPr>
        <w:t xml:space="preserve">Eclipse: An End-to-End Platform for Low-Cost, Hyperlocal Environmental Sensing in Cities. </w:t>
      </w:r>
      <w:r>
        <w:rPr>
          <w:rFonts w:ascii="Calibri" w:hAnsi="Calibri"/>
          <w:b w:val="0"/>
          <w:i w:val="0"/>
          <w:color w:val="1F4E79"/>
          <w:sz w:val="18"/>
        </w:rPr>
        <w:t>https://doi.org/10.1109/IPSN54338.2022.00010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Lazarescu (2015). </w:t>
      </w:r>
      <w:r>
        <w:rPr>
          <w:rFonts w:ascii="Calibri" w:hAnsi="Calibri"/>
          <w:b w:val="0"/>
          <w:i/>
          <w:color w:val="000000"/>
          <w:sz w:val="18"/>
        </w:rPr>
        <w:t xml:space="preserve">Design and Field Test of a WSN Platform Prototype for Long-Term Environmental Monitoring. </w:t>
      </w:r>
      <w:r>
        <w:rPr>
          <w:rFonts w:ascii="Calibri" w:hAnsi="Calibri"/>
          <w:b w:val="0"/>
          <w:i w:val="0"/>
          <w:color w:val="1F4E79"/>
          <w:sz w:val="18"/>
        </w:rPr>
        <w:t>https://doi.org/10.3390/s150409481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Botero-Valencia et al. (2022). </w:t>
      </w:r>
      <w:r>
        <w:rPr>
          <w:rFonts w:ascii="Calibri" w:hAnsi="Calibri"/>
          <w:b w:val="0"/>
          <w:i/>
          <w:color w:val="000000"/>
          <w:sz w:val="18"/>
        </w:rPr>
        <w:t xml:space="preserve">Design and Implementation of 3-D Printed Radiation Shields for Environmental Sensors. </w:t>
      </w:r>
      <w:r>
        <w:rPr>
          <w:rFonts w:ascii="Calibri" w:hAnsi="Calibri"/>
          <w:b w:val="0"/>
          <w:i w:val="0"/>
          <w:color w:val="1F4E79"/>
          <w:sz w:val="18"/>
        </w:rPr>
        <w:t>https://doi.org/10.1016/j.ohx.2022.e00267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Tarara and Hoheisel (2007). </w:t>
      </w:r>
      <w:r>
        <w:rPr>
          <w:rFonts w:ascii="Calibri" w:hAnsi="Calibri"/>
          <w:b w:val="0"/>
          <w:i/>
          <w:color w:val="000000"/>
          <w:sz w:val="18"/>
        </w:rPr>
        <w:t xml:space="preserve">Low-Cost Shielding to Minimize Radiation Errors of Temperature Sensors in the Field. </w:t>
      </w:r>
      <w:r>
        <w:rPr>
          <w:rFonts w:ascii="Calibri" w:hAnsi="Calibri"/>
          <w:b w:val="0"/>
          <w:i w:val="0"/>
          <w:color w:val="1F4E79"/>
          <w:sz w:val="18"/>
        </w:rPr>
        <w:t>https://doi.org/10.21273/HORTSCI.42.6.1372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Holden et al. (2013). </w:t>
      </w:r>
      <w:r>
        <w:rPr>
          <w:rFonts w:ascii="Calibri" w:hAnsi="Calibri"/>
          <w:b w:val="0"/>
          <w:i/>
          <w:color w:val="000000"/>
          <w:sz w:val="18"/>
        </w:rPr>
        <w:t xml:space="preserve">Design and Evaluation of an Inexpensive Radiation Shield for Monitoring Surface Air Temperatures. </w:t>
      </w:r>
      <w:r>
        <w:rPr>
          <w:rFonts w:ascii="Calibri" w:hAnsi="Calibri"/>
          <w:b w:val="0"/>
          <w:i w:val="0"/>
          <w:color w:val="1F4E79"/>
          <w:sz w:val="18"/>
        </w:rPr>
        <w:t>https://doi.org/10.1016/j.agrformet.2013.06.011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Liu et al. (2023). </w:t>
      </w:r>
      <w:r>
        <w:rPr>
          <w:rFonts w:ascii="Calibri" w:hAnsi="Calibri"/>
          <w:b w:val="0"/>
          <w:i/>
          <w:color w:val="000000"/>
          <w:sz w:val="18"/>
        </w:rPr>
        <w:t xml:space="preserve">Design and Experiments of a Naturally-Ventilated Radiation Shield for Ground Temperature Measurement. </w:t>
      </w:r>
      <w:r>
        <w:rPr>
          <w:rFonts w:ascii="Calibri" w:hAnsi="Calibri"/>
          <w:b w:val="0"/>
          <w:i w:val="0"/>
          <w:color w:val="1F4E79"/>
          <w:sz w:val="18"/>
        </w:rPr>
        <w:t>https://doi.org/10.3390/atmos14030523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García Izquierdo et al. (2024). </w:t>
      </w:r>
      <w:r>
        <w:rPr>
          <w:rFonts w:ascii="Calibri" w:hAnsi="Calibri"/>
          <w:b w:val="0"/>
          <w:i/>
          <w:color w:val="000000"/>
          <w:sz w:val="18"/>
        </w:rPr>
        <w:t xml:space="preserve">COAT Project: Intercomparison of Thermometer Radiation Shields in the Arctic. </w:t>
      </w:r>
      <w:r>
        <w:rPr>
          <w:rFonts w:ascii="Calibri" w:hAnsi="Calibri"/>
          <w:b w:val="0"/>
          <w:i w:val="0"/>
          <w:color w:val="1F4E79"/>
          <w:sz w:val="18"/>
        </w:rPr>
        <w:t>https://doi.org/10.3390/atmos15070841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Deford et al. (2025). </w:t>
      </w:r>
      <w:r>
        <w:rPr>
          <w:rFonts w:ascii="Calibri" w:hAnsi="Calibri"/>
          <w:b w:val="0"/>
          <w:i/>
          <w:color w:val="000000"/>
          <w:sz w:val="18"/>
        </w:rPr>
        <w:t xml:space="preserve">Development of a Low-Cost, 3D-Printed, Aspirated Air Temperature Measurement Radiation Shield. </w:t>
      </w:r>
      <w:r>
        <w:rPr>
          <w:rFonts w:ascii="Calibri" w:hAnsi="Calibri"/>
          <w:b w:val="0"/>
          <w:i w:val="0"/>
          <w:color w:val="1F4E79"/>
          <w:sz w:val="18"/>
        </w:rPr>
        <w:t>https://doi.org/10.1175/JTECH-D-24-0006.1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Jin et al. (2026). </w:t>
      </w:r>
      <w:r>
        <w:rPr>
          <w:rFonts w:ascii="Calibri" w:hAnsi="Calibri"/>
          <w:b w:val="0"/>
          <w:i/>
          <w:color w:val="000000"/>
          <w:sz w:val="18"/>
        </w:rPr>
        <w:t xml:space="preserve">Design and Experimental Validation of a High-Accuracy Naturally Ventilated Radiation Shield. </w:t>
      </w:r>
      <w:r>
        <w:rPr>
          <w:rFonts w:ascii="Calibri" w:hAnsi="Calibri"/>
          <w:b w:val="0"/>
          <w:i w:val="0"/>
          <w:color w:val="1F4E79"/>
          <w:sz w:val="18"/>
        </w:rPr>
        <w:t>https://doi.org/10.3390/atmos17030272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deSouza et al. (2022). </w:t>
      </w:r>
      <w:r>
        <w:rPr>
          <w:rFonts w:ascii="Calibri" w:hAnsi="Calibri"/>
          <w:b w:val="0"/>
          <w:i/>
          <w:color w:val="000000"/>
          <w:sz w:val="18"/>
        </w:rPr>
        <w:t xml:space="preserve">Calibrating Networks of Low-Cost Air Quality Sensors. </w:t>
      </w:r>
      <w:r>
        <w:rPr>
          <w:rFonts w:ascii="Calibri" w:hAnsi="Calibri"/>
          <w:b w:val="0"/>
          <w:i w:val="0"/>
          <w:color w:val="1F4E79"/>
          <w:sz w:val="18"/>
        </w:rPr>
        <w:t>https://doi.org/10.5194/amt-15-6309-2022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Clements et al. (2017). </w:t>
      </w:r>
      <w:r>
        <w:rPr>
          <w:rFonts w:ascii="Calibri" w:hAnsi="Calibri"/>
          <w:b w:val="0"/>
          <w:i/>
          <w:color w:val="000000"/>
          <w:sz w:val="18"/>
        </w:rPr>
        <w:t xml:space="preserve">Low-Cost Air Quality Monitoring Tools: From Research to Practice. </w:t>
      </w:r>
      <w:r>
        <w:rPr>
          <w:rFonts w:ascii="Calibri" w:hAnsi="Calibri"/>
          <w:b w:val="0"/>
          <w:i w:val="0"/>
          <w:color w:val="1F4E79"/>
          <w:sz w:val="18"/>
        </w:rPr>
        <w:t>https://doi.org/10.3390/s17112478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Giordano et al. (2021). </w:t>
      </w:r>
      <w:r>
        <w:rPr>
          <w:rFonts w:ascii="Calibri" w:hAnsi="Calibri"/>
          <w:b w:val="0"/>
          <w:i/>
          <w:color w:val="000000"/>
          <w:sz w:val="18"/>
        </w:rPr>
        <w:t xml:space="preserve">From Low-Cost Sensors to High-Quality Data. </w:t>
      </w:r>
      <w:r>
        <w:rPr>
          <w:rFonts w:ascii="Calibri" w:hAnsi="Calibri"/>
          <w:b w:val="0"/>
          <w:i w:val="0"/>
          <w:color w:val="1F4E79"/>
          <w:sz w:val="18"/>
        </w:rPr>
        <w:t>https://doi.org/10.1016/j.jaerosci.2021.105833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Vajs et al. (2021). </w:t>
      </w:r>
      <w:r>
        <w:rPr>
          <w:rFonts w:ascii="Calibri" w:hAnsi="Calibri"/>
          <w:b w:val="0"/>
          <w:i/>
          <w:color w:val="000000"/>
          <w:sz w:val="18"/>
        </w:rPr>
        <w:t xml:space="preserve">Developing Relative Humidity and Temperature Corrections for Low-Cost Sensors Using Machine Learning. </w:t>
      </w:r>
      <w:r>
        <w:rPr>
          <w:rFonts w:ascii="Calibri" w:hAnsi="Calibri"/>
          <w:b w:val="0"/>
          <w:i w:val="0"/>
          <w:color w:val="1F4E79"/>
          <w:sz w:val="18"/>
        </w:rPr>
        <w:t>https://doi.org/10.3390/s21103338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Schneider et al. (2023). </w:t>
      </w:r>
      <w:r>
        <w:rPr>
          <w:rFonts w:ascii="Calibri" w:hAnsi="Calibri"/>
          <w:b w:val="0"/>
          <w:i/>
          <w:color w:val="000000"/>
          <w:sz w:val="18"/>
        </w:rPr>
        <w:t xml:space="preserve">Deployment and Evaluation of a Network of Open Low-Cost Air Quality Sensor Systems. </w:t>
      </w:r>
      <w:r>
        <w:rPr>
          <w:rFonts w:ascii="Calibri" w:hAnsi="Calibri"/>
          <w:b w:val="0"/>
          <w:i w:val="0"/>
          <w:color w:val="1F4E79"/>
          <w:sz w:val="18"/>
        </w:rPr>
        <w:t>https://doi.org/10.3390/atmos14030540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Diez et al. (2024). </w:t>
      </w:r>
      <w:r>
        <w:rPr>
          <w:rFonts w:ascii="Calibri" w:hAnsi="Calibri"/>
          <w:b w:val="0"/>
          <w:i/>
          <w:color w:val="000000"/>
          <w:sz w:val="18"/>
        </w:rPr>
        <w:t xml:space="preserve">Long-Term Evaluation of Commercial Air Quality Sensors: The QUANT Study. </w:t>
      </w:r>
      <w:r>
        <w:rPr>
          <w:rFonts w:ascii="Calibri" w:hAnsi="Calibri"/>
          <w:b w:val="0"/>
          <w:i w:val="0"/>
          <w:color w:val="1F4E79"/>
          <w:sz w:val="18"/>
        </w:rPr>
        <w:t>https://doi.org/10.5194/amt-17-3809-2024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Winter et al. (2025). </w:t>
      </w:r>
      <w:r>
        <w:rPr>
          <w:rFonts w:ascii="Calibri" w:hAnsi="Calibri"/>
          <w:b w:val="0"/>
          <w:i/>
          <w:color w:val="000000"/>
          <w:sz w:val="18"/>
        </w:rPr>
        <w:t xml:space="preserve">Sustained Performance of Low-Cost Air Quality Sensors in Long-Term Deployments. </w:t>
      </w:r>
      <w:r>
        <w:rPr>
          <w:rFonts w:ascii="Calibri" w:hAnsi="Calibri"/>
          <w:b w:val="0"/>
          <w:i w:val="0"/>
          <w:color w:val="1F4E79"/>
          <w:sz w:val="18"/>
        </w:rPr>
        <w:t>https://doi.org/10.1021/acssensors.5c00566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Duvall et al. (2021; EPA/600/R-20/280). </w:t>
      </w:r>
      <w:r>
        <w:rPr>
          <w:rFonts w:ascii="Calibri" w:hAnsi="Calibri"/>
          <w:b w:val="0"/>
          <w:i/>
          <w:color w:val="000000"/>
          <w:sz w:val="18"/>
        </w:rPr>
        <w:t xml:space="preserve">Performance Testing Protocols, Metrics, and Target Values for Fine Particulate Matter Air Sensors. </w:t>
      </w:r>
      <w:r>
        <w:rPr>
          <w:rFonts w:ascii="Calibri" w:hAnsi="Calibri"/>
          <w:b w:val="0"/>
          <w:i w:val="0"/>
          <w:color w:val="1F4E79"/>
          <w:sz w:val="18"/>
        </w:rPr>
        <w:t>https://cfpub.epa.gov/si/si_public_record_report.cfm?dirEntryId=350785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World Meteorological Organization (2023). </w:t>
      </w:r>
      <w:r>
        <w:rPr>
          <w:rFonts w:ascii="Calibri" w:hAnsi="Calibri"/>
          <w:b w:val="0"/>
          <w:i/>
          <w:color w:val="000000"/>
          <w:sz w:val="18"/>
        </w:rPr>
        <w:t xml:space="preserve">Guide to Instruments and Methods of Observation (WMO-No. 8), Volume I: Measurement of Meteorological Variables. </w:t>
      </w:r>
      <w:r>
        <w:rPr>
          <w:rFonts w:ascii="Calibri" w:hAnsi="Calibri"/>
          <w:b w:val="0"/>
          <w:i w:val="0"/>
          <w:color w:val="1F4E79"/>
          <w:sz w:val="18"/>
        </w:rPr>
        <w:t>https://library.wmo.int/records/item/68695-guide-to-instruments-and-methods-of-observation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ASTM International (2022). </w:t>
      </w:r>
      <w:r>
        <w:rPr>
          <w:rFonts w:ascii="Calibri" w:hAnsi="Calibri"/>
          <w:b w:val="0"/>
          <w:i/>
          <w:color w:val="000000"/>
          <w:sz w:val="18"/>
        </w:rPr>
        <w:t xml:space="preserve">ASTM D8406-22: Standard Practice for Performance Evaluation of Ambient Outdoor Air Quality Sensors and Sensor-Based Instruments for Portable and Fixed-Point Measurement. </w:t>
      </w:r>
      <w:r>
        <w:rPr>
          <w:rFonts w:ascii="Calibri" w:hAnsi="Calibri"/>
          <w:b w:val="0"/>
          <w:i w:val="0"/>
          <w:color w:val="1F4E79"/>
          <w:sz w:val="18"/>
        </w:rPr>
        <w:t>https://store.astm.org/d8406-22.html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European Committee for Standardization (2021). </w:t>
      </w:r>
      <w:r>
        <w:rPr>
          <w:rFonts w:ascii="Calibri" w:hAnsi="Calibri"/>
          <w:b w:val="0"/>
          <w:i/>
          <w:color w:val="000000"/>
          <w:sz w:val="18"/>
        </w:rPr>
        <w:t xml:space="preserve">CEN/TS 17660-1:2021: Air Quality—Performance Evaluation of Air Quality Sensor Systems—Part 1: Gaseous Pollutants in Ambient Air. </w:t>
      </w:r>
      <w:r>
        <w:rPr>
          <w:rFonts w:ascii="Calibri" w:hAnsi="Calibri"/>
          <w:b w:val="0"/>
          <w:i w:val="0"/>
          <w:color w:val="1F4E79"/>
          <w:sz w:val="18"/>
        </w:rPr>
        <w:t>https://standards.cencenelec.eu/dyn/www/f?p=205:110:0::::FSP_PROJECT:65599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Szewczyk et al. (2004). </w:t>
      </w:r>
      <w:r>
        <w:rPr>
          <w:rFonts w:ascii="Calibri" w:hAnsi="Calibri"/>
          <w:b w:val="0"/>
          <w:i/>
          <w:color w:val="000000"/>
          <w:sz w:val="18"/>
        </w:rPr>
        <w:t xml:space="preserve">An Analysis of a Large Scale Habitat Monitoring Application. </w:t>
      </w:r>
      <w:r>
        <w:rPr>
          <w:rFonts w:ascii="Calibri" w:hAnsi="Calibri"/>
          <w:b w:val="0"/>
          <w:i w:val="0"/>
          <w:color w:val="1F4E79"/>
          <w:sz w:val="18"/>
        </w:rPr>
        <w:t>https://doi.org/10.1145/1031495.1031521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Barrenetxea et al. (2008). </w:t>
      </w:r>
      <w:r>
        <w:rPr>
          <w:rFonts w:ascii="Calibri" w:hAnsi="Calibri"/>
          <w:b w:val="0"/>
          <w:i/>
          <w:color w:val="000000"/>
          <w:sz w:val="18"/>
        </w:rPr>
        <w:t xml:space="preserve">The Hitchhiker's Guide to Successful Wireless Sensor Network Deployments. </w:t>
      </w:r>
      <w:r>
        <w:rPr>
          <w:rFonts w:ascii="Calibri" w:hAnsi="Calibri"/>
          <w:b w:val="0"/>
          <w:i w:val="0"/>
          <w:color w:val="1F4E79"/>
          <w:sz w:val="18"/>
        </w:rPr>
        <w:t>https://doi.org/10.1145/1460412.1460418</w:t>
      </w:r>
    </w:p>
    <w:p>
      <w:pPr>
        <w:spacing w:after="60" w:line="252" w:lineRule="auto"/>
      </w:pPr>
      <w:r>
        <w:rPr>
          <w:rFonts w:ascii="Calibri" w:hAnsi="Calibri"/>
          <w:b/>
          <w:i w:val="0"/>
          <w:color w:val="17324D"/>
          <w:sz w:val="18"/>
        </w:rPr>
        <w:t xml:space="preserve">Feinberg et al. (2018). </w:t>
      </w:r>
      <w:r>
        <w:rPr>
          <w:rFonts w:ascii="Calibri" w:hAnsi="Calibri"/>
          <w:b w:val="0"/>
          <w:i/>
          <w:color w:val="000000"/>
          <w:sz w:val="18"/>
        </w:rPr>
        <w:t xml:space="preserve">Long-Term Evaluation of Air Sensor Technology under Ambient Conditions in Denver, Colorado. </w:t>
      </w:r>
      <w:r>
        <w:rPr>
          <w:rFonts w:ascii="Calibri" w:hAnsi="Calibri"/>
          <w:b w:val="0"/>
          <w:i w:val="0"/>
          <w:color w:val="1F4E79"/>
          <w:sz w:val="18"/>
        </w:rPr>
        <w:t>https://doi.org/10.5194/amt-11-4605-2018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080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b w:val="0"/>
        <w:i w:val="0"/>
        <w:color w:val="667085"/>
        <w:sz w:val="17"/>
      </w:rPr>
      <w:t xml:space="preserve">Research working report  |  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b w:val="0"/>
        <w:i w:val="0"/>
        <w:color w:val="667085"/>
        <w:sz w:val="17"/>
      </w:rPr>
      <w:t>Outdoor Multi-Sensor Box | Literature Synthesis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