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DATASCIENTIST HEALTHRISK AI</w:t>
      </w:r>
    </w:p>
    <w:p>
      <w:pPr>
        <w:jc w:val="center"/>
      </w:pPr>
      <w:r>
        <w:rPr>
          <w:rFonts w:ascii="Arial" w:hAnsi="Arial"/>
          <w:b/>
          <w:sz w:val="28"/>
        </w:rPr>
        <w:t>Zetheta Project 1D – Technical Project Report</w:t>
      </w:r>
    </w:p>
    <w:p>
      <w:pPr>
        <w:jc w:val="center"/>
      </w:pPr>
      <w:r>
        <w:rPr>
          <w:rFonts w:ascii="Arial" w:hAnsi="Arial"/>
          <w:b w:val="0"/>
          <w:sz w:val="24"/>
        </w:rPr>
        <w:t>Dual-Domain Healthcare &amp; Financial Risk Intelligence Platform</w:t>
      </w:r>
    </w:p>
    <w:p/>
    <w:p>
      <w:pPr>
        <w:jc w:val="center"/>
      </w:pPr>
      <w:r>
        <w:rPr>
          <w:rFonts w:ascii="Arial" w:hAnsi="Arial"/>
          <w:b w:val="0"/>
          <w:sz w:val="20"/>
        </w:rPr>
        <w:t>Submitted By</w:t>
      </w:r>
    </w:p>
    <w:p>
      <w:pPr>
        <w:jc w:val="center"/>
      </w:pPr>
      <w:r>
        <w:rPr>
          <w:rFonts w:ascii="Arial" w:hAnsi="Arial"/>
          <w:b/>
          <w:sz w:val="32"/>
        </w:rPr>
        <w:t>ANJALI SINGH</w:t>
      </w:r>
    </w:p>
    <w:p>
      <w:pPr>
        <w:jc w:val="center"/>
      </w:pPr>
      <w:r>
        <w:rPr>
          <w:rFonts w:ascii="Arial" w:hAnsi="Arial"/>
          <w:b w:val="0"/>
          <w:sz w:val="20"/>
        </w:rPr>
        <w:t>Project Theme: Data Science, Healthcare Analytics, Financial Risk &amp; AI</w:t>
      </w:r>
    </w:p>
    <w:p/>
    <w:p>
      <w:pPr>
        <w:pStyle w:val="Heading2"/>
      </w:pPr>
      <w:r>
        <w:t>Project Overview</w:t>
      </w:r>
    </w:p>
    <w:p>
      <w:r>
        <w:t>HealthRisk AI is designed as a dual-domain artificial intelligence system that connects healthcare intelligence with financial risk modelling. The platform is intended for use cases such as clinical outcome prediction, epidemiological modelling, patient risk stratification, pharmaceutical efficacy analysis, health-insurance actuarial analysis, hospital credit-risk scoring, pharmaceutical portfolio optimisation and health-sector ESG analytics.</w:t>
      </w:r>
    </w:p>
    <w:p>
      <w:r>
        <w:t>The project also introduces HealthRisk Lab, a gamified simulation environment in which a learner manages insurance, hospital-credit, pharmaceutical and diversified positions while healthcare-related shocks change the financial environment. The system is structured as an educational prototype and is not a clinical or investment decision-making product.</w:t>
      </w:r>
    </w:p>
    <w:p>
      <w:pPr>
        <w:pStyle w:val="Heading2"/>
      </w:pPr>
      <w:r>
        <w:t>Key Deliverables</w:t>
      </w:r>
    </w:p>
    <w:p>
      <w:pPr>
        <w:pStyle w:val="ListBullet"/>
        <w:spacing w:after="40"/>
      </w:pPr>
      <w:r>
        <w:t>Patient-level readmission-risk and healthcare-cost prediction.</w:t>
      </w:r>
    </w:p>
    <w:p>
      <w:pPr>
        <w:pStyle w:val="ListBullet"/>
        <w:spacing w:after="40"/>
      </w:pPr>
      <w:r>
        <w:t>SIR-based epidemiological modelling and financial shock translation.</w:t>
      </w:r>
    </w:p>
    <w:p>
      <w:pPr>
        <w:pStyle w:val="ListBullet"/>
        <w:spacing w:after="40"/>
      </w:pPr>
      <w:r>
        <w:t>Health-insurance premium, expected-claim and risk calculations.</w:t>
      </w:r>
    </w:p>
    <w:p>
      <w:pPr>
        <w:pStyle w:val="ListBullet"/>
        <w:spacing w:after="40"/>
      </w:pPr>
      <w:r>
        <w:t>Hospital probability-of-default and expected-loss scoring.</w:t>
      </w:r>
    </w:p>
    <w:p>
      <w:pPr>
        <w:pStyle w:val="ListBullet"/>
        <w:spacing w:after="40"/>
      </w:pPr>
      <w:r>
        <w:t>Pharmaceutical risk-adjusted NPV and portfolio analytics.</w:t>
      </w:r>
    </w:p>
    <w:p>
      <w:pPr>
        <w:pStyle w:val="ListBullet"/>
        <w:spacing w:after="40"/>
      </w:pPr>
      <w:r>
        <w:t>Health-sector ESG scoring and materiality classification.</w:t>
      </w:r>
    </w:p>
    <w:p>
      <w:pPr>
        <w:pStyle w:val="ListBullet"/>
        <w:spacing w:after="40"/>
      </w:pPr>
      <w:r>
        <w:t>HealthRisk Lab 40-quarter integrated simulation with an AI opponent.</w:t>
      </w:r>
    </w:p>
    <w:p>
      <w:pPr>
        <w:pStyle w:val="ListBullet"/>
        <w:spacing w:after="40"/>
      </w:pPr>
      <w:r>
        <w:t>Explainability, model cards, feature engineering, data dictionary and governance documentation.</w:t>
      </w:r>
    </w:p>
    <w:p>
      <w:pPr>
        <w:pStyle w:val="Heading2"/>
      </w:pPr>
      <w:r>
        <w:t>Important Note</w:t>
      </w:r>
    </w:p>
    <w:p>
      <w:r>
        <w:t>The runnable demonstration uses deterministic synthetic data so that the project can be executed without exposing private patient information. Real public datasets can be connected through controlled adapters after access, licensing, privacy and governance requirements are satisfied.</w:t>
      </w:r>
    </w:p>
    <w:p>
      <w:r>
        <w:br w:type="page"/>
      </w:r>
    </w:p>
    <w:p>
      <w:pPr>
        <w:pStyle w:val="Heading1"/>
      </w:pPr>
      <w:r>
        <w:t>1. Introduction and Problem Statement</w:t>
      </w:r>
    </w:p>
    <w:p>
      <w:r>
        <w:t>Healthcare organisations, insurers, pharmaceutical companies and investors generate large amounts of clinical, epidemiological, operational and financial information. These information streams are often analysed separately. A hospital may monitor readmissions and operating margins, an insurer may estimate claims and medical-loss ratios, and an investor may evaluate pharmaceutical pipelines, while an epidemiological event can affect all of them simultaneously.</w:t>
      </w:r>
    </w:p>
    <w:p>
      <w:r>
        <w:t>HealthRisk AI addresses this fragmentation by providing a common analytical layer. The system transforms healthcare signals into measurable financial-risk indicators and then uses those indicators inside financial decision simulations. The central idea is not to replace domain experts, but to demonstrate how data science can connect clinical and financial risk in one reproducible framework.</w:t>
      </w:r>
    </w:p>
    <w:p>
      <w:pPr>
        <w:pStyle w:val="Heading2"/>
      </w:pPr>
      <w:r>
        <w:t>Objectives</w:t>
      </w:r>
    </w:p>
    <w:p>
      <w:pPr>
        <w:pStyle w:val="ListBullet"/>
        <w:spacing w:after="40"/>
      </w:pPr>
      <w:r>
        <w:t>Build a modular healthcare-risk analytics pipeline.</w:t>
      </w:r>
    </w:p>
    <w:p>
      <w:pPr>
        <w:pStyle w:val="ListBullet"/>
        <w:spacing w:after="40"/>
      </w:pPr>
      <w:r>
        <w:t>Estimate patient readmission and cost risk from structured clinical features.</w:t>
      </w:r>
    </w:p>
    <w:p>
      <w:pPr>
        <w:pStyle w:val="ListBullet"/>
        <w:spacing w:after="40"/>
      </w:pPr>
      <w:r>
        <w:t>Model disease spread using an interpretable SIR framework.</w:t>
      </w:r>
    </w:p>
    <w:p>
      <w:pPr>
        <w:pStyle w:val="ListBullet"/>
        <w:spacing w:after="40"/>
      </w:pPr>
      <w:r>
        <w:t>Translate epidemiological shocks into insurance and hospital financial effects.</w:t>
      </w:r>
    </w:p>
    <w:p>
      <w:pPr>
        <w:pStyle w:val="ListBullet"/>
        <w:spacing w:after="40"/>
      </w:pPr>
      <w:r>
        <w:t>Score hospital credit risk using operational and quality indicators.</w:t>
      </w:r>
    </w:p>
    <w:p>
      <w:pPr>
        <w:pStyle w:val="ListBullet"/>
        <w:spacing w:after="40"/>
      </w:pPr>
      <w:r>
        <w:t>Evaluate pharmaceutical pipeline opportunities using probability-adjusted valuation.</w:t>
      </w:r>
    </w:p>
    <w:p>
      <w:pPr>
        <w:pStyle w:val="ListBullet"/>
        <w:spacing w:after="40"/>
      </w:pPr>
      <w:r>
        <w:t>Add ESG indicators relevant to healthcare and pharmaceutical activity.</w:t>
      </w:r>
    </w:p>
    <w:p>
      <w:pPr>
        <w:pStyle w:val="ListBullet"/>
        <w:spacing w:after="40"/>
      </w:pPr>
      <w:r>
        <w:t>Create an interactive learning simulation that tests portfolio decisions under shocks.</w:t>
      </w:r>
    </w:p>
    <w:p>
      <w:pPr>
        <w:pStyle w:val="ListBullet"/>
        <w:spacing w:after="40"/>
      </w:pPr>
      <w:r>
        <w:t>Provide explainability, validation, documentation and governance controls.</w:t>
      </w:r>
    </w:p>
    <w:p>
      <w:pPr>
        <w:pStyle w:val="Heading2"/>
      </w:pPr>
      <w:r>
        <w:t>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Domain</w:t>
            </w:r>
          </w:p>
        </w:tc>
        <w:tc>
          <w:tcPr>
            <w:tcW w:type="dxa" w:w="3360"/>
          </w:tcPr>
          <w:p>
            <w:r>
              <w:rPr>
                <w:b/>
                <w:sz w:val="17"/>
              </w:rPr>
              <w:t>Primary Output</w:t>
            </w:r>
          </w:p>
        </w:tc>
        <w:tc>
          <w:tcPr>
            <w:tcW w:type="dxa" w:w="3360"/>
          </w:tcPr>
          <w:p>
            <w:r>
              <w:rPr>
                <w:b/>
                <w:sz w:val="17"/>
              </w:rPr>
              <w:t>Decision Context</w:t>
            </w:r>
          </w:p>
        </w:tc>
      </w:tr>
      <w:tr>
        <w:tc>
          <w:tcPr>
            <w:tcW w:type="dxa" w:w="3360"/>
          </w:tcPr>
          <w:p>
            <w:r>
              <w:rPr>
                <w:sz w:val="16"/>
              </w:rPr>
              <w:t>Clinical</w:t>
            </w:r>
          </w:p>
        </w:tc>
        <w:tc>
          <w:tcPr>
            <w:tcW w:type="dxa" w:w="3360"/>
          </w:tcPr>
          <w:p>
            <w:r>
              <w:rPr>
                <w:sz w:val="16"/>
              </w:rPr>
              <w:t>Readmission probability, cost estimate</w:t>
            </w:r>
          </w:p>
        </w:tc>
        <w:tc>
          <w:tcPr>
            <w:tcW w:type="dxa" w:w="3360"/>
          </w:tcPr>
          <w:p>
            <w:r>
              <w:rPr>
                <w:sz w:val="16"/>
              </w:rPr>
              <w:t>Patient-risk stratification</w:t>
            </w:r>
          </w:p>
        </w:tc>
      </w:tr>
      <w:tr>
        <w:tc>
          <w:tcPr>
            <w:tcW w:type="dxa" w:w="3360"/>
          </w:tcPr>
          <w:p>
            <w:r>
              <w:rPr>
                <w:sz w:val="16"/>
              </w:rPr>
              <w:t>Epidemiology</w:t>
            </w:r>
          </w:p>
        </w:tc>
        <w:tc>
          <w:tcPr>
            <w:tcW w:type="dxa" w:w="3360"/>
          </w:tcPr>
          <w:p>
            <w:r>
              <w:rPr>
                <w:sz w:val="16"/>
              </w:rPr>
              <w:t>SIR curves, R0, peak infections</w:t>
            </w:r>
          </w:p>
        </w:tc>
        <w:tc>
          <w:tcPr>
            <w:tcW w:type="dxa" w:w="3360"/>
          </w:tcPr>
          <w:p>
            <w:r>
              <w:rPr>
                <w:sz w:val="16"/>
              </w:rPr>
              <w:t>Shock forecasting</w:t>
            </w:r>
          </w:p>
        </w:tc>
      </w:tr>
      <w:tr>
        <w:tc>
          <w:tcPr>
            <w:tcW w:type="dxa" w:w="3360"/>
          </w:tcPr>
          <w:p>
            <w:r>
              <w:rPr>
                <w:sz w:val="16"/>
              </w:rPr>
              <w:t>Insurance</w:t>
            </w:r>
          </w:p>
        </w:tc>
        <w:tc>
          <w:tcPr>
            <w:tcW w:type="dxa" w:w="3360"/>
          </w:tcPr>
          <w:p>
            <w:r>
              <w:rPr>
                <w:sz w:val="16"/>
              </w:rPr>
              <w:t>Claims, premium, MLR, risk score</w:t>
            </w:r>
          </w:p>
        </w:tc>
        <w:tc>
          <w:tcPr>
            <w:tcW w:type="dxa" w:w="3360"/>
          </w:tcPr>
          <w:p>
            <w:r>
              <w:rPr>
                <w:sz w:val="16"/>
              </w:rPr>
              <w:t>Actuarial desk</w:t>
            </w:r>
          </w:p>
        </w:tc>
      </w:tr>
      <w:tr>
        <w:tc>
          <w:tcPr>
            <w:tcW w:type="dxa" w:w="3360"/>
          </w:tcPr>
          <w:p>
            <w:r>
              <w:rPr>
                <w:sz w:val="16"/>
              </w:rPr>
              <w:t>Hospital</w:t>
            </w:r>
          </w:p>
        </w:tc>
        <w:tc>
          <w:tcPr>
            <w:tcW w:type="dxa" w:w="3360"/>
          </w:tcPr>
          <w:p>
            <w:r>
              <w:rPr>
                <w:sz w:val="16"/>
              </w:rPr>
              <w:t>PD, grade, expected loss</w:t>
            </w:r>
          </w:p>
        </w:tc>
        <w:tc>
          <w:tcPr>
            <w:tcW w:type="dxa" w:w="3360"/>
          </w:tcPr>
          <w:p>
            <w:r>
              <w:rPr>
                <w:sz w:val="16"/>
              </w:rPr>
              <w:t>Credit analysis</w:t>
            </w:r>
          </w:p>
        </w:tc>
      </w:tr>
      <w:tr>
        <w:tc>
          <w:tcPr>
            <w:tcW w:type="dxa" w:w="3360"/>
          </w:tcPr>
          <w:p>
            <w:r>
              <w:rPr>
                <w:sz w:val="16"/>
              </w:rPr>
              <w:t>Pharma</w:t>
            </w:r>
          </w:p>
        </w:tc>
        <w:tc>
          <w:tcPr>
            <w:tcW w:type="dxa" w:w="3360"/>
          </w:tcPr>
          <w:p>
            <w:r>
              <w:rPr>
                <w:sz w:val="16"/>
              </w:rPr>
              <w:t>rNPV, trial signal, weights</w:t>
            </w:r>
          </w:p>
        </w:tc>
        <w:tc>
          <w:tcPr>
            <w:tcW w:type="dxa" w:w="3360"/>
          </w:tcPr>
          <w:p>
            <w:r>
              <w:rPr>
                <w:sz w:val="16"/>
              </w:rPr>
              <w:t>Equity portfolio</w:t>
            </w:r>
          </w:p>
        </w:tc>
      </w:tr>
      <w:tr>
        <w:tc>
          <w:tcPr>
            <w:tcW w:type="dxa" w:w="3360"/>
          </w:tcPr>
          <w:p>
            <w:r>
              <w:rPr>
                <w:sz w:val="16"/>
              </w:rPr>
              <w:t>ESG</w:t>
            </w:r>
          </w:p>
        </w:tc>
        <w:tc>
          <w:tcPr>
            <w:tcW w:type="dxa" w:w="3360"/>
          </w:tcPr>
          <w:p>
            <w:r>
              <w:rPr>
                <w:sz w:val="16"/>
              </w:rPr>
              <w:t>Composite score, materiality</w:t>
            </w:r>
          </w:p>
        </w:tc>
        <w:tc>
          <w:tcPr>
            <w:tcW w:type="dxa" w:w="3360"/>
          </w:tcPr>
          <w:p>
            <w:r>
              <w:rPr>
                <w:sz w:val="16"/>
              </w:rPr>
              <w:t>Sustainability risk</w:t>
            </w:r>
          </w:p>
        </w:tc>
      </w:tr>
      <w:tr>
        <w:tc>
          <w:tcPr>
            <w:tcW w:type="dxa" w:w="3360"/>
          </w:tcPr>
          <w:p>
            <w:r>
              <w:rPr>
                <w:sz w:val="16"/>
              </w:rPr>
              <w:t>Simulation</w:t>
            </w:r>
          </w:p>
        </w:tc>
        <w:tc>
          <w:tcPr>
            <w:tcW w:type="dxa" w:w="3360"/>
          </w:tcPr>
          <w:p>
            <w:r>
              <w:rPr>
                <w:sz w:val="16"/>
              </w:rPr>
              <w:t>Capital, score, AI opponent</w:t>
            </w:r>
          </w:p>
        </w:tc>
        <w:tc>
          <w:tcPr>
            <w:tcW w:type="dxa" w:w="3360"/>
          </w:tcPr>
          <w:p>
            <w:r>
              <w:rPr>
                <w:sz w:val="16"/>
              </w:rPr>
              <w:t>Learning/game environment</w:t>
            </w:r>
          </w:p>
        </w:tc>
      </w:tr>
    </w:tbl>
    <w:p>
      <w:pPr>
        <w:pStyle w:val="Heading2"/>
      </w:pPr>
      <w:r>
        <w:t>Design Principle</w:t>
      </w:r>
    </w:p>
    <w:p>
      <w:r>
        <w:t>Every module is designed to be replaceable. The demonstration can run with synthetic data, while production-oriented adapters can later connect approved public sources. This separation supports reproducibility, privacy and controlled experimentation.</w:t>
      </w:r>
    </w:p>
    <w:p>
      <w:r>
        <w:br w:type="page"/>
      </w:r>
    </w:p>
    <w:p>
      <w:pPr>
        <w:pStyle w:val="Heading1"/>
      </w:pPr>
      <w:r>
        <w:t>2. Data Architecture and Feature Engineering</w:t>
      </w:r>
    </w:p>
    <w:p>
      <w:r>
        <w:t>The data layer contains deterministic generators for demonstration and a documented pathway for real-data integration. The synthetic patient dataset contains 3,000 records and includes demographic, clinical-utilisation, medication, adherence and cost variables. Hospital and pharmaceutical datasets are represented as small structured tables for analytics and simulation.</w:t>
      </w:r>
    </w:p>
    <w:p>
      <w:pPr>
        <w:pStyle w:val="Heading2"/>
      </w:pPr>
      <w:r>
        <w:t>Patient Data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Feature</w:t>
            </w:r>
          </w:p>
        </w:tc>
        <w:tc>
          <w:tcPr>
            <w:tcW w:type="dxa" w:w="3360"/>
          </w:tcPr>
          <w:p>
            <w:r>
              <w:rPr>
                <w:b/>
                <w:sz w:val="17"/>
              </w:rPr>
              <w:t>Meaning</w:t>
            </w:r>
          </w:p>
        </w:tc>
        <w:tc>
          <w:tcPr>
            <w:tcW w:type="dxa" w:w="3360"/>
          </w:tcPr>
          <w:p>
            <w:r>
              <w:rPr>
                <w:b/>
                <w:sz w:val="17"/>
              </w:rPr>
              <w:t>Role</w:t>
            </w:r>
          </w:p>
        </w:tc>
      </w:tr>
      <w:tr>
        <w:tc>
          <w:tcPr>
            <w:tcW w:type="dxa" w:w="3360"/>
          </w:tcPr>
          <w:p>
            <w:r>
              <w:rPr>
                <w:sz w:val="16"/>
              </w:rPr>
              <w:t>age</w:t>
            </w:r>
          </w:p>
        </w:tc>
        <w:tc>
          <w:tcPr>
            <w:tcW w:type="dxa" w:w="3360"/>
          </w:tcPr>
          <w:p>
            <w:r>
              <w:rPr>
                <w:sz w:val="16"/>
              </w:rPr>
              <w:t>Patient age</w:t>
            </w:r>
          </w:p>
        </w:tc>
        <w:tc>
          <w:tcPr>
            <w:tcW w:type="dxa" w:w="3360"/>
          </w:tcPr>
          <w:p>
            <w:r>
              <w:rPr>
                <w:sz w:val="16"/>
              </w:rPr>
              <w:t>Risk factor</w:t>
            </w:r>
          </w:p>
        </w:tc>
      </w:tr>
      <w:tr>
        <w:tc>
          <w:tcPr>
            <w:tcW w:type="dxa" w:w="3360"/>
          </w:tcPr>
          <w:p>
            <w:r>
              <w:rPr>
                <w:sz w:val="16"/>
              </w:rPr>
              <w:t>chronic_conditions</w:t>
            </w:r>
          </w:p>
        </w:tc>
        <w:tc>
          <w:tcPr>
            <w:tcW w:type="dxa" w:w="3360"/>
          </w:tcPr>
          <w:p>
            <w:r>
              <w:rPr>
                <w:sz w:val="16"/>
              </w:rPr>
              <w:t>Count of chronic conditions</w:t>
            </w:r>
          </w:p>
        </w:tc>
        <w:tc>
          <w:tcPr>
            <w:tcW w:type="dxa" w:w="3360"/>
          </w:tcPr>
          <w:p>
            <w:r>
              <w:rPr>
                <w:sz w:val="16"/>
              </w:rPr>
              <w:t>Comorbidity</w:t>
            </w:r>
          </w:p>
        </w:tc>
      </w:tr>
      <w:tr>
        <w:tc>
          <w:tcPr>
            <w:tcW w:type="dxa" w:w="3360"/>
          </w:tcPr>
          <w:p>
            <w:r>
              <w:rPr>
                <w:sz w:val="16"/>
              </w:rPr>
              <w:t>hba1c</w:t>
            </w:r>
          </w:p>
        </w:tc>
        <w:tc>
          <w:tcPr>
            <w:tcW w:type="dxa" w:w="3360"/>
          </w:tcPr>
          <w:p>
            <w:r>
              <w:rPr>
                <w:sz w:val="16"/>
              </w:rPr>
              <w:t>Glycaemic control indicator</w:t>
            </w:r>
          </w:p>
        </w:tc>
        <w:tc>
          <w:tcPr>
            <w:tcW w:type="dxa" w:w="3360"/>
          </w:tcPr>
          <w:p>
            <w:r>
              <w:rPr>
                <w:sz w:val="16"/>
              </w:rPr>
              <w:t>Clinical risk</w:t>
            </w:r>
          </w:p>
        </w:tc>
      </w:tr>
      <w:tr>
        <w:tc>
          <w:tcPr>
            <w:tcW w:type="dxa" w:w="3360"/>
          </w:tcPr>
          <w:p>
            <w:r>
              <w:rPr>
                <w:sz w:val="16"/>
              </w:rPr>
              <w:t>egfr</w:t>
            </w:r>
          </w:p>
        </w:tc>
        <w:tc>
          <w:tcPr>
            <w:tcW w:type="dxa" w:w="3360"/>
          </w:tcPr>
          <w:p>
            <w:r>
              <w:rPr>
                <w:sz w:val="16"/>
              </w:rPr>
              <w:t>Kidney-function indicator</w:t>
            </w:r>
          </w:p>
        </w:tc>
        <w:tc>
          <w:tcPr>
            <w:tcW w:type="dxa" w:w="3360"/>
          </w:tcPr>
          <w:p>
            <w:r>
              <w:rPr>
                <w:sz w:val="16"/>
              </w:rPr>
              <w:t>Clinical risk</w:t>
            </w:r>
          </w:p>
        </w:tc>
      </w:tr>
      <w:tr>
        <w:tc>
          <w:tcPr>
            <w:tcW w:type="dxa" w:w="3360"/>
          </w:tcPr>
          <w:p>
            <w:r>
              <w:rPr>
                <w:sz w:val="16"/>
              </w:rPr>
              <w:t>admissions</w:t>
            </w:r>
          </w:p>
        </w:tc>
        <w:tc>
          <w:tcPr>
            <w:tcW w:type="dxa" w:w="3360"/>
          </w:tcPr>
          <w:p>
            <w:r>
              <w:rPr>
                <w:sz w:val="16"/>
              </w:rPr>
              <w:t>Previous admissions</w:t>
            </w:r>
          </w:p>
        </w:tc>
        <w:tc>
          <w:tcPr>
            <w:tcW w:type="dxa" w:w="3360"/>
          </w:tcPr>
          <w:p>
            <w:r>
              <w:rPr>
                <w:sz w:val="16"/>
              </w:rPr>
              <w:t>Utilisation</w:t>
            </w:r>
          </w:p>
        </w:tc>
      </w:tr>
      <w:tr>
        <w:tc>
          <w:tcPr>
            <w:tcW w:type="dxa" w:w="3360"/>
          </w:tcPr>
          <w:p>
            <w:r>
              <w:rPr>
                <w:sz w:val="16"/>
              </w:rPr>
              <w:t>ed_visits</w:t>
            </w:r>
          </w:p>
        </w:tc>
        <w:tc>
          <w:tcPr>
            <w:tcW w:type="dxa" w:w="3360"/>
          </w:tcPr>
          <w:p>
            <w:r>
              <w:rPr>
                <w:sz w:val="16"/>
              </w:rPr>
              <w:t>Emergency-department visits</w:t>
            </w:r>
          </w:p>
        </w:tc>
        <w:tc>
          <w:tcPr>
            <w:tcW w:type="dxa" w:w="3360"/>
          </w:tcPr>
          <w:p>
            <w:r>
              <w:rPr>
                <w:sz w:val="16"/>
              </w:rPr>
              <w:t>Utilisation</w:t>
            </w:r>
          </w:p>
        </w:tc>
      </w:tr>
      <w:tr>
        <w:tc>
          <w:tcPr>
            <w:tcW w:type="dxa" w:w="3360"/>
          </w:tcPr>
          <w:p>
            <w:r>
              <w:rPr>
                <w:sz w:val="16"/>
              </w:rPr>
              <w:t>medication_count</w:t>
            </w:r>
          </w:p>
        </w:tc>
        <w:tc>
          <w:tcPr>
            <w:tcW w:type="dxa" w:w="3360"/>
          </w:tcPr>
          <w:p>
            <w:r>
              <w:rPr>
                <w:sz w:val="16"/>
              </w:rPr>
              <w:t>Number of medications</w:t>
            </w:r>
          </w:p>
        </w:tc>
        <w:tc>
          <w:tcPr>
            <w:tcW w:type="dxa" w:w="3360"/>
          </w:tcPr>
          <w:p>
            <w:r>
              <w:rPr>
                <w:sz w:val="16"/>
              </w:rPr>
              <w:t>Complexity</w:t>
            </w:r>
          </w:p>
        </w:tc>
      </w:tr>
      <w:tr>
        <w:tc>
          <w:tcPr>
            <w:tcW w:type="dxa" w:w="3360"/>
          </w:tcPr>
          <w:p>
            <w:r>
              <w:rPr>
                <w:sz w:val="16"/>
              </w:rPr>
              <w:t>adherence</w:t>
            </w:r>
          </w:p>
        </w:tc>
        <w:tc>
          <w:tcPr>
            <w:tcW w:type="dxa" w:w="3360"/>
          </w:tcPr>
          <w:p>
            <w:r>
              <w:rPr>
                <w:sz w:val="16"/>
              </w:rPr>
              <w:t>Medication adherence proxy</w:t>
            </w:r>
          </w:p>
        </w:tc>
        <w:tc>
          <w:tcPr>
            <w:tcW w:type="dxa" w:w="3360"/>
          </w:tcPr>
          <w:p>
            <w:r>
              <w:rPr>
                <w:sz w:val="16"/>
              </w:rPr>
              <w:t>Protective/risk</w:t>
            </w:r>
          </w:p>
        </w:tc>
      </w:tr>
      <w:tr>
        <w:tc>
          <w:tcPr>
            <w:tcW w:type="dxa" w:w="3360"/>
          </w:tcPr>
          <w:p>
            <w:r>
              <w:rPr>
                <w:sz w:val="16"/>
              </w:rPr>
              <w:t>prior_cost</w:t>
            </w:r>
          </w:p>
        </w:tc>
        <w:tc>
          <w:tcPr>
            <w:tcW w:type="dxa" w:w="3360"/>
          </w:tcPr>
          <w:p>
            <w:r>
              <w:rPr>
                <w:sz w:val="16"/>
              </w:rPr>
              <w:t>Previous healthcare cost</w:t>
            </w:r>
          </w:p>
        </w:tc>
        <w:tc>
          <w:tcPr>
            <w:tcW w:type="dxa" w:w="3360"/>
          </w:tcPr>
          <w:p>
            <w:r>
              <w:rPr>
                <w:sz w:val="16"/>
              </w:rPr>
              <w:t>Cost predictor</w:t>
            </w:r>
          </w:p>
        </w:tc>
      </w:tr>
      <w:tr>
        <w:tc>
          <w:tcPr>
            <w:tcW w:type="dxa" w:w="3360"/>
          </w:tcPr>
          <w:p>
            <w:r>
              <w:rPr>
                <w:sz w:val="16"/>
              </w:rPr>
              <w:t>readmission_30d</w:t>
            </w:r>
          </w:p>
        </w:tc>
        <w:tc>
          <w:tcPr>
            <w:tcW w:type="dxa" w:w="3360"/>
          </w:tcPr>
          <w:p>
            <w:r>
              <w:rPr>
                <w:sz w:val="16"/>
              </w:rPr>
              <w:t>30-day readmission indicator</w:t>
            </w:r>
          </w:p>
        </w:tc>
        <w:tc>
          <w:tcPr>
            <w:tcW w:type="dxa" w:w="3360"/>
          </w:tcPr>
          <w:p>
            <w:r>
              <w:rPr>
                <w:sz w:val="16"/>
              </w:rPr>
              <w:t>Classification target</w:t>
            </w:r>
          </w:p>
        </w:tc>
      </w:tr>
      <w:tr>
        <w:tc>
          <w:tcPr>
            <w:tcW w:type="dxa" w:w="3360"/>
          </w:tcPr>
          <w:p>
            <w:r>
              <w:rPr>
                <w:sz w:val="16"/>
              </w:rPr>
              <w:t>total_cost</w:t>
            </w:r>
          </w:p>
        </w:tc>
        <w:tc>
          <w:tcPr>
            <w:tcW w:type="dxa" w:w="3360"/>
          </w:tcPr>
          <w:p>
            <w:r>
              <w:rPr>
                <w:sz w:val="16"/>
              </w:rPr>
              <w:t>Healthcare cost</w:t>
            </w:r>
          </w:p>
        </w:tc>
        <w:tc>
          <w:tcPr>
            <w:tcW w:type="dxa" w:w="3360"/>
          </w:tcPr>
          <w:p>
            <w:r>
              <w:rPr>
                <w:sz w:val="16"/>
              </w:rPr>
              <w:t>Regression target</w:t>
            </w:r>
          </w:p>
        </w:tc>
      </w:tr>
    </w:tbl>
    <w:p>
      <w:pPr>
        <w:pStyle w:val="Heading2"/>
      </w:pPr>
      <w:r>
        <w:t>Feature Engineering Strategy</w:t>
      </w:r>
    </w:p>
    <w:p>
      <w:r>
        <w:t>The feature-engineering layer converts raw variables into model-ready information while attempting to preserve interpretability. Utilisation variables capture historical healthcare demand; chronic conditions and laboratory indicators capture clinical complexity; adherence and medication count capture treatment-management characteristics; prior cost provides a financial baseline.</w:t>
      </w:r>
    </w:p>
    <w:p>
      <w:pPr>
        <w:pStyle w:val="ListBullet"/>
        <w:spacing w:after="40"/>
      </w:pPr>
      <w:r>
        <w:t>Numerical features are retained in interpretable form for tree-based models.</w:t>
      </w:r>
    </w:p>
    <w:p>
      <w:pPr>
        <w:pStyle w:val="ListBullet"/>
        <w:spacing w:after="40"/>
      </w:pPr>
      <w:r>
        <w:t>Target variables are separated from predictors to reduce leakage.</w:t>
      </w:r>
    </w:p>
    <w:p>
      <w:pPr>
        <w:pStyle w:val="ListBullet"/>
        <w:spacing w:after="40"/>
      </w:pPr>
      <w:r>
        <w:t>Cost modelling uses a logarithmic target transformation in the baseline pipeline.</w:t>
      </w:r>
    </w:p>
    <w:p>
      <w:pPr>
        <w:pStyle w:val="ListBullet"/>
        <w:spacing w:after="40"/>
      </w:pPr>
      <w:r>
        <w:t>Categorical or text-rich healthcare data can be extended with NLP adapters.</w:t>
      </w:r>
    </w:p>
    <w:p>
      <w:pPr>
        <w:pStyle w:val="ListBullet"/>
        <w:spacing w:after="40"/>
      </w:pPr>
      <w:r>
        <w:t>Feature definitions are documented in the project data dictionary.</w:t>
      </w:r>
    </w:p>
    <w:p>
      <w:pPr>
        <w:pStyle w:val="Heading2"/>
      </w:pPr>
      <w:r>
        <w:t>Potential Public Data Adapters</w:t>
      </w:r>
    </w:p>
    <w:p>
      <w:r>
        <w:t>The research notes identify MIMIC-IV/PhysioNet, WHO Global Health Observatory, ClinicalTrials.gov, FDA FAERS/openFDA, CDC WONDER, CMS public-use datasets, AHRQ HCUP, IHME GBD and SEC EDGAR as candidate sources. Access restrictions, licensing, de-identification and terms of use must be checked before integration.</w:t>
      </w:r>
    </w:p>
    <w:p>
      <w:pPr>
        <w:pStyle w:val="Heading2"/>
      </w:pPr>
      <w:r>
        <w:t>Data Governance</w:t>
      </w:r>
    </w:p>
    <w:p>
      <w:r>
        <w:t>No private patient information is required for the demonstration. A production deployment would require access control, audit logging, data minimisation, encryption, retention policies, model monitoring and documented approval for every data source.</w:t>
      </w:r>
    </w:p>
    <w:p>
      <w:r>
        <w:br w:type="page"/>
      </w:r>
    </w:p>
    <w:p>
      <w:pPr>
        <w:pStyle w:val="Heading1"/>
      </w:pPr>
      <w:r>
        <w:t>3. Clinical AI and Epidemiological Modelling</w:t>
      </w:r>
    </w:p>
    <w:p>
      <w:pPr>
        <w:pStyle w:val="Heading2"/>
      </w:pPr>
      <w:r>
        <w:t>Patient Risk Prediction</w:t>
      </w:r>
    </w:p>
    <w:p>
      <w:r>
        <w:t>The baseline clinical model uses Gradient Boosting classifiers and regressors. The classifier estimates the probability of 30-day readmission, while the regression model estimates healthcare cost. Gradient boosting is appropriate for a prototype because it captures nonlinear interactions while remaining practical on structured tabular data.</w:t>
      </w:r>
    </w:p>
    <w:p>
      <w:pPr>
        <w:pStyle w:val="Heading2"/>
      </w:pPr>
      <w:r>
        <w:t>Demonstration Results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Metric</w:t>
            </w:r>
          </w:p>
        </w:tc>
        <w:tc>
          <w:tcPr>
            <w:tcW w:type="dxa" w:w="5040"/>
          </w:tcPr>
          <w:p>
            <w:r>
              <w:rPr>
                <w:b/>
                <w:sz w:val="17"/>
              </w:rPr>
              <w:t>Demonstration Value</w:t>
            </w:r>
          </w:p>
        </w:tc>
      </w:tr>
      <w:tr>
        <w:tc>
          <w:tcPr>
            <w:tcW w:type="dxa" w:w="5040"/>
          </w:tcPr>
          <w:p>
            <w:r>
              <w:rPr>
                <w:sz w:val="16"/>
              </w:rPr>
              <w:t>Rows</w:t>
            </w:r>
          </w:p>
        </w:tc>
        <w:tc>
          <w:tcPr>
            <w:tcW w:type="dxa" w:w="5040"/>
          </w:tcPr>
          <w:p>
            <w:r>
              <w:rPr>
                <w:sz w:val="16"/>
              </w:rPr>
              <w:t>3,000</w:t>
            </w:r>
          </w:p>
        </w:tc>
      </w:tr>
      <w:tr>
        <w:tc>
          <w:tcPr>
            <w:tcW w:type="dxa" w:w="5040"/>
          </w:tcPr>
          <w:p>
            <w:r>
              <w:rPr>
                <w:sz w:val="16"/>
              </w:rPr>
              <w:t>Readmission AUROC</w:t>
            </w:r>
          </w:p>
        </w:tc>
        <w:tc>
          <w:tcPr>
            <w:tcW w:type="dxa" w:w="5040"/>
          </w:tcPr>
          <w:p>
            <w:r>
              <w:rPr>
                <w:sz w:val="16"/>
              </w:rPr>
              <w:t>0.6670</w:t>
            </w:r>
          </w:p>
        </w:tc>
      </w:tr>
      <w:tr>
        <w:tc>
          <w:tcPr>
            <w:tcW w:type="dxa" w:w="5040"/>
          </w:tcPr>
          <w:p>
            <w:r>
              <w:rPr>
                <w:sz w:val="16"/>
              </w:rPr>
              <w:t>Readmission AUPRC</w:t>
            </w:r>
          </w:p>
        </w:tc>
        <w:tc>
          <w:tcPr>
            <w:tcW w:type="dxa" w:w="5040"/>
          </w:tcPr>
          <w:p>
            <w:r>
              <w:rPr>
                <w:sz w:val="16"/>
              </w:rPr>
              <w:t>0.2767</w:t>
            </w:r>
          </w:p>
        </w:tc>
      </w:tr>
      <w:tr>
        <w:tc>
          <w:tcPr>
            <w:tcW w:type="dxa" w:w="5040"/>
          </w:tcPr>
          <w:p>
            <w:r>
              <w:rPr>
                <w:sz w:val="16"/>
              </w:rPr>
              <w:t>Readmission Brier score</w:t>
            </w:r>
          </w:p>
        </w:tc>
        <w:tc>
          <w:tcPr>
            <w:tcW w:type="dxa" w:w="5040"/>
          </w:tcPr>
          <w:p>
            <w:r>
              <w:rPr>
                <w:sz w:val="16"/>
              </w:rPr>
              <w:t>0.1295</w:t>
            </w:r>
          </w:p>
        </w:tc>
      </w:tr>
      <w:tr>
        <w:tc>
          <w:tcPr>
            <w:tcW w:type="dxa" w:w="5040"/>
          </w:tcPr>
          <w:p>
            <w:r>
              <w:rPr>
                <w:sz w:val="16"/>
              </w:rPr>
              <w:t>Cost R² on log target</w:t>
            </w:r>
          </w:p>
        </w:tc>
        <w:tc>
          <w:tcPr>
            <w:tcW w:type="dxa" w:w="5040"/>
          </w:tcPr>
          <w:p>
            <w:r>
              <w:rPr>
                <w:sz w:val="16"/>
              </w:rPr>
              <w:t>0.9585</w:t>
            </w:r>
          </w:p>
        </w:tc>
      </w:tr>
      <w:tr>
        <w:tc>
          <w:tcPr>
            <w:tcW w:type="dxa" w:w="5040"/>
          </w:tcPr>
          <w:p>
            <w:r>
              <w:rPr>
                <w:sz w:val="16"/>
              </w:rPr>
              <w:t>Cost MAPE</w:t>
            </w:r>
          </w:p>
        </w:tc>
        <w:tc>
          <w:tcPr>
            <w:tcW w:type="dxa" w:w="5040"/>
          </w:tcPr>
          <w:p>
            <w:r>
              <w:rPr>
                <w:sz w:val="16"/>
              </w:rPr>
              <w:t>0.1343</w:t>
            </w:r>
          </w:p>
        </w:tc>
      </w:tr>
    </w:tbl>
    <w:p>
      <w:r>
        <w:t>These values are demonstration results generated from synthetic data and must not be interpreted as clinical validation. Real-world performance can change substantially with population, label definitions, missingness, prevalence and dataset shift.</w:t>
      </w:r>
    </w:p>
    <w:p>
      <w:pPr>
        <w:pStyle w:val="Heading2"/>
      </w:pPr>
      <w:r>
        <w:t>Explainability</w:t>
      </w:r>
    </w:p>
    <w:p>
      <w:r>
        <w:t>The platform includes simple local explanations and counterfactual risk analysis. For example, a user can inspect which model inputs contribute to an elevated risk estimate and explore how a change in selected features could alter the score. Production clinical use would require stronger explainability validation and expert review.</w:t>
      </w:r>
    </w:p>
    <w:p>
      <w:pPr>
        <w:pStyle w:val="Heading2"/>
      </w:pPr>
      <w:r>
        <w:t>SIR Epidemiological Model</w:t>
      </w:r>
    </w:p>
    <w:p>
      <w:r>
        <w:t>The epidemiology module implements a Susceptible–Infected–Recovered model. Its basic reproduction number is R0 = beta/gamma. The demonstration uses beta = 0.50 and gamma = 0.20, giving R0 = 2.5. The model estimates the trajectory of infection and peak infected population under the chosen assumptions.</w:t>
      </w:r>
    </w:p>
    <w:p>
      <w:pPr>
        <w:pStyle w:val="Heading2"/>
      </w:pPr>
      <w:r>
        <w:t>Financial Shock Translation</w:t>
      </w:r>
    </w:p>
    <w:p>
      <w:r>
        <w:t>The peak infection share is mapped to claims pressure and hospital-revenue stress. This creates the bridge between epidemiology and finance: an epidemiological event becomes an input to insurance loss expectations and healthcare-facility financial conditions.</w:t>
      </w:r>
    </w:p>
    <w:p>
      <w:r>
        <w:br w:type="page"/>
      </w:r>
    </w:p>
    <w:p>
      <w:pPr>
        <w:pStyle w:val="Heading1"/>
      </w:pPr>
      <w:r>
        <w:t>4. Health Insurance and Hospital Credit Analytics</w:t>
      </w:r>
    </w:p>
    <w:p>
      <w:pPr>
        <w:pStyle w:val="Heading2"/>
      </w:pPr>
      <w:r>
        <w:t>Insurance Analytics</w:t>
      </w:r>
    </w:p>
    <w:p>
      <w:r>
        <w:t>The insurance module calculates expected claim cost, premium requirements, medical-loss ratio and a simplified member risk score. The premium function applies risk margin, administration loading and profit margin to the expected claims estimate.</w:t>
      </w:r>
    </w:p>
    <w:p>
      <w:pPr>
        <w:pStyle w:val="ListBullet"/>
        <w:spacing w:after="40"/>
      </w:pPr>
      <w:r>
        <w:t>Expected claim cost provides the actuarial baseline.</w:t>
      </w:r>
    </w:p>
    <w:p>
      <w:pPr>
        <w:pStyle w:val="ListBullet"/>
        <w:spacing w:after="40"/>
      </w:pPr>
      <w:r>
        <w:t>Risk scoring supports segmentation for simulation purposes.</w:t>
      </w:r>
    </w:p>
    <w:p>
      <w:pPr>
        <w:pStyle w:val="ListBullet"/>
        <w:spacing w:after="40"/>
      </w:pPr>
      <w:r>
        <w:t>Medical-loss ratio links claims to premium revenue.</w:t>
      </w:r>
    </w:p>
    <w:p>
      <w:pPr>
        <w:pStyle w:val="ListBullet"/>
        <w:spacing w:after="40"/>
      </w:pPr>
      <w:r>
        <w:t>Chain-ladder utilities provide a foundation for claims-reserve analysis.</w:t>
      </w:r>
    </w:p>
    <w:p>
      <w:pPr>
        <w:pStyle w:val="ListBullet"/>
        <w:spacing w:after="40"/>
      </w:pPr>
      <w:r>
        <w:t>Bornhuetter–Ferguson functionality is included as an IBNR extension.</w:t>
      </w:r>
    </w:p>
    <w:p>
      <w:pPr>
        <w:pStyle w:val="Heading2"/>
      </w:pPr>
      <w:r>
        <w:t>Hospital Credit Risk</w:t>
      </w:r>
    </w:p>
    <w:p>
      <w:r>
        <w:t>Hospital credit scoring combines financial strength and healthcare-operational indicators. The prototype uses revenue, operating margin, DSCR, cash days, readmission, patient-experience measures, case-mix trend, emergency-department boarding and payer mix.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7"/>
              </w:rPr>
              <w:t>Hospital</w:t>
            </w:r>
          </w:p>
        </w:tc>
        <w:tc>
          <w:tcPr>
            <w:tcW w:type="dxa" w:w="2520"/>
          </w:tcPr>
          <w:p>
            <w:r>
              <w:rPr>
                <w:b/>
                <w:sz w:val="17"/>
              </w:rPr>
              <w:t>PD</w:t>
            </w:r>
          </w:p>
        </w:tc>
        <w:tc>
          <w:tcPr>
            <w:tcW w:type="dxa" w:w="2520"/>
          </w:tcPr>
          <w:p>
            <w:r>
              <w:rPr>
                <w:b/>
                <w:sz w:val="17"/>
              </w:rPr>
              <w:t>Grade</w:t>
            </w:r>
          </w:p>
        </w:tc>
        <w:tc>
          <w:tcPr>
            <w:tcW w:type="dxa" w:w="2520"/>
          </w:tcPr>
          <w:p>
            <w:r>
              <w:rPr>
                <w:b/>
                <w:sz w:val="17"/>
              </w:rPr>
              <w:t>Expected Loss</w:t>
            </w:r>
          </w:p>
        </w:tc>
      </w:tr>
      <w:tr>
        <w:tc>
          <w:tcPr>
            <w:tcW w:type="dxa" w:w="2520"/>
          </w:tcPr>
          <w:p>
            <w:r>
              <w:rPr>
                <w:sz w:val="16"/>
              </w:rPr>
              <w:t>H1</w:t>
            </w:r>
          </w:p>
        </w:tc>
        <w:tc>
          <w:tcPr>
            <w:tcW w:type="dxa" w:w="2520"/>
          </w:tcPr>
          <w:p>
            <w:r>
              <w:rPr>
                <w:sz w:val="16"/>
              </w:rPr>
              <w:t>0.0671</w:t>
            </w:r>
          </w:p>
        </w:tc>
        <w:tc>
          <w:tcPr>
            <w:tcW w:type="dxa" w:w="2520"/>
          </w:tcPr>
          <w:p>
            <w:r>
              <w:rPr>
                <w:sz w:val="16"/>
              </w:rPr>
              <w:t>B</w:t>
            </w:r>
          </w:p>
        </w:tc>
        <w:tc>
          <w:tcPr>
            <w:tcW w:type="dxa" w:w="2520"/>
          </w:tcPr>
          <w:p>
            <w:r>
              <w:rPr>
                <w:sz w:val="16"/>
              </w:rPr>
              <w:t>$13.60M</w:t>
            </w:r>
          </w:p>
        </w:tc>
      </w:tr>
      <w:tr>
        <w:tc>
          <w:tcPr>
            <w:tcW w:type="dxa" w:w="2520"/>
          </w:tcPr>
          <w:p>
            <w:r>
              <w:rPr>
                <w:sz w:val="16"/>
              </w:rPr>
              <w:t>H2</w:t>
            </w:r>
          </w:p>
        </w:tc>
        <w:tc>
          <w:tcPr>
            <w:tcW w:type="dxa" w:w="2520"/>
          </w:tcPr>
          <w:p>
            <w:r>
              <w:rPr>
                <w:sz w:val="16"/>
              </w:rPr>
              <w:t>0.0189</w:t>
            </w:r>
          </w:p>
        </w:tc>
        <w:tc>
          <w:tcPr>
            <w:tcW w:type="dxa" w:w="2520"/>
          </w:tcPr>
          <w:p>
            <w:r>
              <w:rPr>
                <w:sz w:val="16"/>
              </w:rPr>
              <w:t>BBB+</w:t>
            </w:r>
          </w:p>
        </w:tc>
        <w:tc>
          <w:tcPr>
            <w:tcW w:type="dxa" w:w="2520"/>
          </w:tcPr>
          <w:p>
            <w:r>
              <w:rPr>
                <w:sz w:val="16"/>
              </w:rPr>
              <w:t>$5.10M</w:t>
            </w:r>
          </w:p>
        </w:tc>
      </w:tr>
      <w:tr>
        <w:tc>
          <w:tcPr>
            <w:tcW w:type="dxa" w:w="2520"/>
          </w:tcPr>
          <w:p>
            <w:r>
              <w:rPr>
                <w:sz w:val="16"/>
              </w:rPr>
              <w:t>H3</w:t>
            </w:r>
          </w:p>
        </w:tc>
        <w:tc>
          <w:tcPr>
            <w:tcW w:type="dxa" w:w="2520"/>
          </w:tcPr>
          <w:p>
            <w:r>
              <w:rPr>
                <w:sz w:val="16"/>
              </w:rPr>
              <w:t>0.2249</w:t>
            </w:r>
          </w:p>
        </w:tc>
        <w:tc>
          <w:tcPr>
            <w:tcW w:type="dxa" w:w="2520"/>
          </w:tcPr>
          <w:p>
            <w:r>
              <w:rPr>
                <w:sz w:val="16"/>
              </w:rPr>
              <w:t>B</w:t>
            </w:r>
          </w:p>
        </w:tc>
        <w:tc>
          <w:tcPr>
            <w:tcW w:type="dxa" w:w="2520"/>
          </w:tcPr>
          <w:p>
            <w:r>
              <w:rPr>
                <w:sz w:val="16"/>
              </w:rPr>
              <w:t>$30.36M</w:t>
            </w:r>
          </w:p>
        </w:tc>
      </w:tr>
    </w:tbl>
    <w:p>
      <w:r>
        <w:t>Expected loss is calculated as PD × LGD × EAD. The figures above are synthetic examples designed to demonstrate the workflow, not actual credit opinions.</w:t>
      </w:r>
    </w:p>
    <w:p>
      <w:pPr>
        <w:pStyle w:val="Heading2"/>
      </w:pPr>
      <w:r>
        <w:t>Decision Interpretation</w:t>
      </w:r>
    </w:p>
    <w:p>
      <w:r>
        <w:t>A hospital with weaker cash coverage, lower debt-service capacity and operational stress can receive a higher default probability. In a real credit process, quantitative output would be combined with management quality, debt structure, liquidity, market conditions, covenant analysis and analyst judgement.</w:t>
      </w:r>
    </w:p>
    <w:p>
      <w:pPr>
        <w:pStyle w:val="Heading2"/>
      </w:pPr>
      <w:r>
        <w:t>Stress Testing</w:t>
      </w:r>
    </w:p>
    <w:p>
      <w:r>
        <w:t>The platform can apply pandemic, reimbursement, capacity and other shocks to test how healthcare-financial indicators might move under adverse conditions.</w:t>
      </w:r>
    </w:p>
    <w:p>
      <w:r>
        <w:br w:type="page"/>
      </w:r>
    </w:p>
    <w:p>
      <w:pPr>
        <w:pStyle w:val="Heading1"/>
      </w:pPr>
      <w:r>
        <w:t>5. Pharmaceutical Analytics and ESG</w:t>
      </w:r>
    </w:p>
    <w:p>
      <w:pPr>
        <w:pStyle w:val="Heading2"/>
      </w:pPr>
      <w:r>
        <w:t>Pharmaceutical Pipeline Analysis</w:t>
      </w:r>
    </w:p>
    <w:p>
      <w:r>
        <w:t>The pharmaceutical module uses probability-adjusted valuation. Risk-adjusted NPV (rNPV) combines expected future cash flow, probability of success and discounting. The system also creates a trial signal from indicators such as enrollment velocity, dropout rate and remaining patent years.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7"/>
              </w:rPr>
              <w:t>Company</w:t>
            </w:r>
          </w:p>
        </w:tc>
        <w:tc>
          <w:tcPr>
            <w:tcW w:type="dxa" w:w="2520"/>
          </w:tcPr>
          <w:p>
            <w:r>
              <w:rPr>
                <w:b/>
                <w:sz w:val="17"/>
              </w:rPr>
              <w:t>rNPV</w:t>
            </w:r>
          </w:p>
        </w:tc>
        <w:tc>
          <w:tcPr>
            <w:tcW w:type="dxa" w:w="2520"/>
          </w:tcPr>
          <w:p>
            <w:r>
              <w:rPr>
                <w:b/>
                <w:sz w:val="17"/>
              </w:rPr>
              <w:t>Pipeline / Market Cap</w:t>
            </w:r>
          </w:p>
        </w:tc>
        <w:tc>
          <w:tcPr>
            <w:tcW w:type="dxa" w:w="2520"/>
          </w:tcPr>
          <w:p>
            <w:r>
              <w:rPr>
                <w:b/>
                <w:sz w:val="17"/>
              </w:rPr>
              <w:t>Signal</w:t>
            </w:r>
          </w:p>
        </w:tc>
      </w:tr>
      <w:tr>
        <w:tc>
          <w:tcPr>
            <w:tcW w:type="dxa" w:w="2520"/>
          </w:tcPr>
          <w:p>
            <w:r>
              <w:rPr>
                <w:sz w:val="16"/>
              </w:rPr>
              <w:t>AlphaBio</w:t>
            </w:r>
          </w:p>
        </w:tc>
        <w:tc>
          <w:tcPr>
            <w:tcW w:type="dxa" w:w="2520"/>
          </w:tcPr>
          <w:p>
            <w:r>
              <w:rPr>
                <w:sz w:val="16"/>
              </w:rPr>
              <w:t>$3.321B</w:t>
            </w:r>
          </w:p>
        </w:tc>
        <w:tc>
          <w:tcPr>
            <w:tcW w:type="dxa" w:w="2520"/>
          </w:tcPr>
          <w:p>
            <w:r>
              <w:rPr>
                <w:sz w:val="16"/>
              </w:rPr>
              <w:t>0.738</w:t>
            </w:r>
          </w:p>
        </w:tc>
        <w:tc>
          <w:tcPr>
            <w:tcW w:type="dxa" w:w="2520"/>
          </w:tcPr>
          <w:p>
            <w:r>
              <w:rPr>
                <w:sz w:val="16"/>
              </w:rPr>
              <w:t>POSITIVE</w:t>
            </w:r>
          </w:p>
        </w:tc>
      </w:tr>
      <w:tr>
        <w:tc>
          <w:tcPr>
            <w:tcW w:type="dxa" w:w="2520"/>
          </w:tcPr>
          <w:p>
            <w:r>
              <w:rPr>
                <w:sz w:val="16"/>
              </w:rPr>
              <w:t>BetaThera</w:t>
            </w:r>
          </w:p>
        </w:tc>
        <w:tc>
          <w:tcPr>
            <w:tcW w:type="dxa" w:w="2520"/>
          </w:tcPr>
          <w:p>
            <w:r>
              <w:rPr>
                <w:sz w:val="16"/>
              </w:rPr>
              <w:t>$1.021B</w:t>
            </w:r>
          </w:p>
        </w:tc>
        <w:tc>
          <w:tcPr>
            <w:tcW w:type="dxa" w:w="2520"/>
          </w:tcPr>
          <w:p>
            <w:r>
              <w:rPr>
                <w:sz w:val="16"/>
              </w:rPr>
              <w:t>0.146</w:t>
            </w:r>
          </w:p>
        </w:tc>
        <w:tc>
          <w:tcPr>
            <w:tcW w:type="dxa" w:w="2520"/>
          </w:tcPr>
          <w:p>
            <w:r>
              <w:rPr>
                <w:sz w:val="16"/>
              </w:rPr>
              <w:t>NEUTRAL</w:t>
            </w:r>
          </w:p>
        </w:tc>
      </w:tr>
      <w:tr>
        <w:tc>
          <w:tcPr>
            <w:tcW w:type="dxa" w:w="2520"/>
          </w:tcPr>
          <w:p>
            <w:r>
              <w:rPr>
                <w:sz w:val="16"/>
              </w:rPr>
              <w:t>GammaRx</w:t>
            </w:r>
          </w:p>
        </w:tc>
        <w:tc>
          <w:tcPr>
            <w:tcW w:type="dxa" w:w="2520"/>
          </w:tcPr>
          <w:p>
            <w:r>
              <w:rPr>
                <w:sz w:val="16"/>
              </w:rPr>
              <w:t>$1.185B</w:t>
            </w:r>
          </w:p>
        </w:tc>
        <w:tc>
          <w:tcPr>
            <w:tcW w:type="dxa" w:w="2520"/>
          </w:tcPr>
          <w:p>
            <w:r>
              <w:rPr>
                <w:sz w:val="16"/>
              </w:rPr>
              <w:t>0.312</w:t>
            </w:r>
          </w:p>
        </w:tc>
        <w:tc>
          <w:tcPr>
            <w:tcW w:type="dxa" w:w="2520"/>
          </w:tcPr>
          <w:p>
            <w:r>
              <w:rPr>
                <w:sz w:val="16"/>
              </w:rPr>
              <w:t>NEUTRAL</w:t>
            </w:r>
          </w:p>
        </w:tc>
      </w:tr>
    </w:tbl>
    <w:p>
      <w:r>
        <w:t>These are synthetic demonstration entities and values. They are included to show the mechanics of portfolio analysis without presenting real companies or investment recommendations.</w:t>
      </w:r>
    </w:p>
    <w:p>
      <w:pPr>
        <w:pStyle w:val="Heading2"/>
      </w:pPr>
      <w:r>
        <w:t>Portfolio Optimisation</w:t>
      </w:r>
    </w:p>
    <w:p>
      <w:r>
        <w:t>The portfolio layer uses expected returns and covariance information to construct diversified weights. The objective is to avoid evaluating a single pharmaceutical signal in isolation. Diversification, correlation and risk-adjusted performance are considered together.</w:t>
      </w:r>
    </w:p>
    <w:p>
      <w:pPr>
        <w:pStyle w:val="Heading2"/>
      </w:pPr>
      <w:r>
        <w:t>Healthcare ESG Analytics</w:t>
      </w:r>
    </w:p>
    <w:p>
      <w:r>
        <w:t>ESG scoring combines indicators relevant to the healthcare sector, including drug-pricing exposure, clinical-trial diversity gaps, environmental intensity and governance flags. The output is a composite score with materiality bands.</w:t>
      </w:r>
    </w:p>
    <w:p>
      <w:pPr>
        <w:pStyle w:val="ListBullet"/>
        <w:spacing w:after="40"/>
      </w:pPr>
      <w:r>
        <w:t>Pricing exposure may indicate affordability and stakeholder risk.</w:t>
      </w:r>
    </w:p>
    <w:p>
      <w:pPr>
        <w:pStyle w:val="ListBullet"/>
        <w:spacing w:after="40"/>
      </w:pPr>
      <w:r>
        <w:t>Trial diversity can identify representativeness concerns.</w:t>
      </w:r>
    </w:p>
    <w:p>
      <w:pPr>
        <w:pStyle w:val="ListBullet"/>
        <w:spacing w:after="40"/>
      </w:pPr>
      <w:r>
        <w:t>Environmental intensity captures operational footprint.</w:t>
      </w:r>
    </w:p>
    <w:p>
      <w:pPr>
        <w:pStyle w:val="ListBullet"/>
        <w:spacing w:after="40"/>
      </w:pPr>
      <w:r>
        <w:t>Governance flags highlight potential control and compliance concerns.</w:t>
      </w:r>
    </w:p>
    <w:p>
      <w:pPr>
        <w:pStyle w:val="Heading2"/>
      </w:pPr>
      <w:r>
        <w:t>Responsible Interpretation</w:t>
      </w:r>
    </w:p>
    <w:p>
      <w:r>
        <w:t>ESG indicators are screening variables, not definitive judgements. Production use would require transparent definitions, source verification, sector benchmarking and periodic review.</w:t>
      </w:r>
    </w:p>
    <w:p>
      <w:r>
        <w:br w:type="page"/>
      </w:r>
    </w:p>
    <w:p>
      <w:pPr>
        <w:pStyle w:val="Heading1"/>
      </w:pPr>
      <w:r>
        <w:t>6. HealthRisk Lab – Gamified Simulation</w:t>
      </w:r>
    </w:p>
    <w:p>
      <w:r>
        <w:t>HealthRisk Lab converts the analytical modules into a learning environment. The learner allocates capital among healthcare-related positions and observes how simulated healthcare shocks affect the portfolio. An AI opponent uses the same information environment to make adaptive allocation decisions.</w:t>
      </w:r>
    </w:p>
    <w:p>
      <w:pPr>
        <w:pStyle w:val="Heading2"/>
      </w:pPr>
      <w:r>
        <w:t>Four Learning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Mode</w:t>
            </w:r>
          </w:p>
        </w:tc>
        <w:tc>
          <w:tcPr>
            <w:tcW w:type="dxa" w:w="3360"/>
          </w:tcPr>
          <w:p>
            <w:r>
              <w:rPr>
                <w:b/>
                <w:sz w:val="17"/>
              </w:rPr>
              <w:t>Setup</w:t>
            </w:r>
          </w:p>
        </w:tc>
        <w:tc>
          <w:tcPr>
            <w:tcW w:type="dxa" w:w="3360"/>
          </w:tcPr>
          <w:p>
            <w:r>
              <w:rPr>
                <w:b/>
                <w:sz w:val="17"/>
              </w:rPr>
              <w:t>Learning Objective</w:t>
            </w:r>
          </w:p>
        </w:tc>
      </w:tr>
      <w:tr>
        <w:tc>
          <w:tcPr>
            <w:tcW w:type="dxa" w:w="3360"/>
          </w:tcPr>
          <w:p>
            <w:r>
              <w:rPr>
                <w:sz w:val="16"/>
              </w:rPr>
              <w:t>Actuarial Challenge</w:t>
            </w:r>
          </w:p>
        </w:tc>
        <w:tc>
          <w:tcPr>
            <w:tcW w:type="dxa" w:w="3360"/>
          </w:tcPr>
          <w:p>
            <w:r>
              <w:rPr>
                <w:sz w:val="16"/>
              </w:rPr>
              <w:t>50k-member insurance book; 5 years</w:t>
            </w:r>
          </w:p>
        </w:tc>
        <w:tc>
          <w:tcPr>
            <w:tcW w:type="dxa" w:w="3360"/>
          </w:tcPr>
          <w:p>
            <w:r>
              <w:rPr>
                <w:sz w:val="16"/>
              </w:rPr>
              <w:t>Premium, claims and reserve decisions</w:t>
            </w:r>
          </w:p>
        </w:tc>
      </w:tr>
      <w:tr>
        <w:tc>
          <w:tcPr>
            <w:tcW w:type="dxa" w:w="3360"/>
          </w:tcPr>
          <w:p>
            <w:r>
              <w:rPr>
                <w:sz w:val="16"/>
              </w:rPr>
              <w:t>Hospital Credit Analyst</w:t>
            </w:r>
          </w:p>
        </w:tc>
        <w:tc>
          <w:tcPr>
            <w:tcW w:type="dxa" w:w="3360"/>
          </w:tcPr>
          <w:p>
            <w:r>
              <w:rPr>
                <w:sz w:val="16"/>
              </w:rPr>
              <w:t>15-bond portfolio; 10 years</w:t>
            </w:r>
          </w:p>
        </w:tc>
        <w:tc>
          <w:tcPr>
            <w:tcW w:type="dxa" w:w="3360"/>
          </w:tcPr>
          <w:p>
            <w:r>
              <w:rPr>
                <w:sz w:val="16"/>
              </w:rPr>
              <w:t>PD, EL and credit allocation</w:t>
            </w:r>
          </w:p>
        </w:tc>
      </w:tr>
      <w:tr>
        <w:tc>
          <w:tcPr>
            <w:tcW w:type="dxa" w:w="3360"/>
          </w:tcPr>
          <w:p>
            <w:r>
              <w:rPr>
                <w:sz w:val="16"/>
              </w:rPr>
              <w:t>Pharmaceutical Portfolio Manager</w:t>
            </w:r>
          </w:p>
        </w:tc>
        <w:tc>
          <w:tcPr>
            <w:tcW w:type="dxa" w:w="3360"/>
          </w:tcPr>
          <w:p>
            <w:r>
              <w:rPr>
                <w:sz w:val="16"/>
              </w:rPr>
              <w:t>20-stock portfolio; 5 years</w:t>
            </w:r>
          </w:p>
        </w:tc>
        <w:tc>
          <w:tcPr>
            <w:tcW w:type="dxa" w:w="3360"/>
          </w:tcPr>
          <w:p>
            <w:r>
              <w:rPr>
                <w:sz w:val="16"/>
              </w:rPr>
              <w:t>Pipeline valuation and diversification</w:t>
            </w:r>
          </w:p>
        </w:tc>
      </w:tr>
      <w:tr>
        <w:tc>
          <w:tcPr>
            <w:tcW w:type="dxa" w:w="3360"/>
          </w:tcPr>
          <w:p>
            <w:r>
              <w:rPr>
                <w:sz w:val="16"/>
              </w:rPr>
              <w:t>Integrated Master Mode</w:t>
            </w:r>
          </w:p>
        </w:tc>
        <w:tc>
          <w:tcPr>
            <w:tcW w:type="dxa" w:w="3360"/>
          </w:tcPr>
          <w:p>
            <w:r>
              <w:rPr>
                <w:sz w:val="16"/>
              </w:rPr>
              <w:t>$500M; 40 quarters</w:t>
            </w:r>
          </w:p>
        </w:tc>
        <w:tc>
          <w:tcPr>
            <w:tcW w:type="dxa" w:w="3360"/>
          </w:tcPr>
          <w:p>
            <w:r>
              <w:rPr>
                <w:sz w:val="16"/>
              </w:rPr>
              <w:t>Cross-domain risk management</w:t>
            </w:r>
          </w:p>
        </w:tc>
      </w:tr>
    </w:tbl>
    <w:p>
      <w:pPr>
        <w:pStyle w:val="Heading2"/>
      </w:pPr>
      <w:r>
        <w:t>Master Mode</w:t>
      </w:r>
    </w:p>
    <w:p>
      <w:r>
        <w:t>The integrated simulation begins with $500 million of capital and runs for 40 quarters. Each quarter introduces either normal conditions or a healthcare-related scenario. The player and AI opponent can reallocate exposure among insurance, hospital, pharmaceutical and credit categories.</w:t>
      </w:r>
    </w:p>
    <w:p>
      <w:pPr>
        <w:pStyle w:val="Heading2"/>
      </w:pPr>
      <w:r>
        <w:t>Scenario Library</w:t>
      </w:r>
    </w:p>
    <w:p>
      <w:pPr>
        <w:pStyle w:val="ListBullet"/>
        <w:spacing w:after="40"/>
      </w:pPr>
      <w:r>
        <w:t>Pandemic outbreak</w:t>
      </w:r>
    </w:p>
    <w:p>
      <w:pPr>
        <w:pStyle w:val="ListBullet"/>
        <w:spacing w:after="40"/>
      </w:pPr>
      <w:r>
        <w:t>Drug trial failure</w:t>
      </w:r>
    </w:p>
    <w:p>
      <w:pPr>
        <w:pStyle w:val="ListBullet"/>
        <w:spacing w:after="40"/>
      </w:pPr>
      <w:r>
        <w:t>Regulatory approval wave</w:t>
      </w:r>
    </w:p>
    <w:p>
      <w:pPr>
        <w:pStyle w:val="ListBullet"/>
        <w:spacing w:after="40"/>
      </w:pPr>
      <w:r>
        <w:t>Hospital capacity crisis</w:t>
      </w:r>
    </w:p>
    <w:p>
      <w:pPr>
        <w:pStyle w:val="ListBullet"/>
        <w:spacing w:after="40"/>
      </w:pPr>
      <w:r>
        <w:t>Emerging disease</w:t>
      </w:r>
    </w:p>
    <w:p>
      <w:pPr>
        <w:pStyle w:val="ListBullet"/>
        <w:spacing w:after="40"/>
      </w:pPr>
      <w:r>
        <w:t>Reimbursement cut</w:t>
      </w:r>
    </w:p>
    <w:p>
      <w:pPr>
        <w:pStyle w:val="ListBullet"/>
        <w:spacing w:after="40"/>
      </w:pPr>
      <w:r>
        <w:t>Hospital merger</w:t>
      </w:r>
    </w:p>
    <w:p>
      <w:pPr>
        <w:pStyle w:val="ListBullet"/>
        <w:spacing w:after="40"/>
      </w:pPr>
      <w:r>
        <w:t>Safety signal</w:t>
      </w:r>
    </w:p>
    <w:p>
      <w:pPr>
        <w:pStyle w:val="ListBullet"/>
        <w:spacing w:after="40"/>
      </w:pPr>
      <w:r>
        <w:t>Patent cliff</w:t>
      </w:r>
    </w:p>
    <w:p>
      <w:pPr>
        <w:pStyle w:val="ListBullet"/>
        <w:spacing w:after="40"/>
      </w:pPr>
      <w:r>
        <w:t>Normal quarter</w:t>
      </w:r>
    </w:p>
    <w:p>
      <w:pPr>
        <w:pStyle w:val="Heading2"/>
      </w:pPr>
      <w:r>
        <w:t>AI Opponent</w:t>
      </w:r>
    </w:p>
    <w:p>
      <w:r>
        <w:t>The prototype AI opponent observes the simulated shock and reallocates away from the most negatively affected bucket toward comparatively stronger opportunities. This is deliberately interpretable rather than opaque reinforcement learning.</w:t>
      </w:r>
    </w:p>
    <w:p>
      <w:pPr>
        <w:pStyle w:val="Heading2"/>
      </w:pPr>
      <w:r>
        <w:t>Scoring</w:t>
      </w:r>
    </w:p>
    <w:p>
      <w:r>
        <w:t>The current prototype reports continuous capital and a simulation score. The full 1,000-point certification rubric described in the project brief should be treated as a future scoring layer rather than claimed as fully implemented.</w:t>
      </w:r>
    </w:p>
    <w:p>
      <w:r>
        <w:br w:type="page"/>
      </w:r>
    </w:p>
    <w:p>
      <w:pPr>
        <w:pStyle w:val="Heading1"/>
      </w:pPr>
      <w:r>
        <w:t>7. System Architecture, Implementation and Validation</w:t>
      </w:r>
    </w:p>
    <w:p>
      <w:pPr>
        <w:pStyle w:val="Heading2"/>
      </w:pPr>
      <w:r>
        <w:t>Architecture</w:t>
      </w:r>
    </w:p>
    <w:p>
      <w:r>
        <w:t>The implementation is organised into independent Python modules. Data preparation feeds clinical, epidemiological and financial analytics. These modules feed the simulation and Streamlit interface. Documentation and tests sit alongside the source code to support reproducibility.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Layer</w:t>
            </w:r>
          </w:p>
        </w:tc>
        <w:tc>
          <w:tcPr>
            <w:tcW w:type="dxa" w:w="5040"/>
          </w:tcPr>
          <w:p>
            <w:r>
              <w:rPr>
                <w:b/>
                <w:sz w:val="17"/>
              </w:rPr>
              <w:t>Implementation</w:t>
            </w:r>
          </w:p>
        </w:tc>
      </w:tr>
      <w:tr>
        <w:tc>
          <w:tcPr>
            <w:tcW w:type="dxa" w:w="5040"/>
          </w:tcPr>
          <w:p>
            <w:r>
              <w:rPr>
                <w:sz w:val="16"/>
              </w:rPr>
              <w:t>Data</w:t>
            </w:r>
          </w:p>
        </w:tc>
        <w:tc>
          <w:tcPr>
            <w:tcW w:type="dxa" w:w="5040"/>
          </w:tcPr>
          <w:p>
            <w:r>
              <w:rPr>
                <w:sz w:val="16"/>
              </w:rPr>
              <w:t>Synthetic generators + adapter-ready structure</w:t>
            </w:r>
          </w:p>
        </w:tc>
      </w:tr>
      <w:tr>
        <w:tc>
          <w:tcPr>
            <w:tcW w:type="dxa" w:w="5040"/>
          </w:tcPr>
          <w:p>
            <w:r>
              <w:rPr>
                <w:sz w:val="16"/>
              </w:rPr>
              <w:t>Clinical ML</w:t>
            </w:r>
          </w:p>
        </w:tc>
        <w:tc>
          <w:tcPr>
            <w:tcW w:type="dxa" w:w="5040"/>
          </w:tcPr>
          <w:p>
            <w:r>
              <w:rPr>
                <w:sz w:val="16"/>
              </w:rPr>
              <w:t>Gradient Boosting classifier/regressor</w:t>
            </w:r>
          </w:p>
        </w:tc>
      </w:tr>
      <w:tr>
        <w:tc>
          <w:tcPr>
            <w:tcW w:type="dxa" w:w="5040"/>
          </w:tcPr>
          <w:p>
            <w:r>
              <w:rPr>
                <w:sz w:val="16"/>
              </w:rPr>
              <w:t>Epidemiology</w:t>
            </w:r>
          </w:p>
        </w:tc>
        <w:tc>
          <w:tcPr>
            <w:tcW w:type="dxa" w:w="5040"/>
          </w:tcPr>
          <w:p>
            <w:r>
              <w:rPr>
                <w:sz w:val="16"/>
              </w:rPr>
              <w:t>SIR model</w:t>
            </w:r>
          </w:p>
        </w:tc>
      </w:tr>
      <w:tr>
        <w:tc>
          <w:tcPr>
            <w:tcW w:type="dxa" w:w="5040"/>
          </w:tcPr>
          <w:p>
            <w:r>
              <w:rPr>
                <w:sz w:val="16"/>
              </w:rPr>
              <w:t>Insurance</w:t>
            </w:r>
          </w:p>
        </w:tc>
        <w:tc>
          <w:tcPr>
            <w:tcW w:type="dxa" w:w="5040"/>
          </w:tcPr>
          <w:p>
            <w:r>
              <w:rPr>
                <w:sz w:val="16"/>
              </w:rPr>
              <w:t>Claims, premium, MLR, risk and reserving utilities</w:t>
            </w:r>
          </w:p>
        </w:tc>
      </w:tr>
      <w:tr>
        <w:tc>
          <w:tcPr>
            <w:tcW w:type="dxa" w:w="5040"/>
          </w:tcPr>
          <w:p>
            <w:r>
              <w:rPr>
                <w:sz w:val="16"/>
              </w:rPr>
              <w:t>Hospital</w:t>
            </w:r>
          </w:p>
        </w:tc>
        <w:tc>
          <w:tcPr>
            <w:tcW w:type="dxa" w:w="5040"/>
          </w:tcPr>
          <w:p>
            <w:r>
              <w:rPr>
                <w:sz w:val="16"/>
              </w:rPr>
              <w:t>PD, credit grade and expected loss</w:t>
            </w:r>
          </w:p>
        </w:tc>
      </w:tr>
      <w:tr>
        <w:tc>
          <w:tcPr>
            <w:tcW w:type="dxa" w:w="5040"/>
          </w:tcPr>
          <w:p>
            <w:r>
              <w:rPr>
                <w:sz w:val="16"/>
              </w:rPr>
              <w:t>Pharma</w:t>
            </w:r>
          </w:p>
        </w:tc>
        <w:tc>
          <w:tcPr>
            <w:tcW w:type="dxa" w:w="5040"/>
          </w:tcPr>
          <w:p>
            <w:r>
              <w:rPr>
                <w:sz w:val="16"/>
              </w:rPr>
              <w:t>rNPV, trial signal and portfolio weights</w:t>
            </w:r>
          </w:p>
        </w:tc>
      </w:tr>
      <w:tr>
        <w:tc>
          <w:tcPr>
            <w:tcW w:type="dxa" w:w="5040"/>
          </w:tcPr>
          <w:p>
            <w:r>
              <w:rPr>
                <w:sz w:val="16"/>
              </w:rPr>
              <w:t>ESG</w:t>
            </w:r>
          </w:p>
        </w:tc>
        <w:tc>
          <w:tcPr>
            <w:tcW w:type="dxa" w:w="5040"/>
          </w:tcPr>
          <w:p>
            <w:r>
              <w:rPr>
                <w:sz w:val="16"/>
              </w:rPr>
              <w:t>Composite score and materiality band</w:t>
            </w:r>
          </w:p>
        </w:tc>
      </w:tr>
      <w:tr>
        <w:tc>
          <w:tcPr>
            <w:tcW w:type="dxa" w:w="5040"/>
          </w:tcPr>
          <w:p>
            <w:r>
              <w:rPr>
                <w:sz w:val="16"/>
              </w:rPr>
              <w:t>Explainability</w:t>
            </w:r>
          </w:p>
        </w:tc>
        <w:tc>
          <w:tcPr>
            <w:tcW w:type="dxa" w:w="5040"/>
          </w:tcPr>
          <w:p>
            <w:r>
              <w:rPr>
                <w:sz w:val="16"/>
              </w:rPr>
              <w:t>Local explanations and counterfactual utility</w:t>
            </w:r>
          </w:p>
        </w:tc>
      </w:tr>
      <w:tr>
        <w:tc>
          <w:tcPr>
            <w:tcW w:type="dxa" w:w="5040"/>
          </w:tcPr>
          <w:p>
            <w:r>
              <w:rPr>
                <w:sz w:val="16"/>
              </w:rPr>
              <w:t>Simulation</w:t>
            </w:r>
          </w:p>
        </w:tc>
        <w:tc>
          <w:tcPr>
            <w:tcW w:type="dxa" w:w="5040"/>
          </w:tcPr>
          <w:p>
            <w:r>
              <w:rPr>
                <w:sz w:val="16"/>
              </w:rPr>
              <w:t>40-quarter HealthRisk Lab</w:t>
            </w:r>
          </w:p>
        </w:tc>
      </w:tr>
      <w:tr>
        <w:tc>
          <w:tcPr>
            <w:tcW w:type="dxa" w:w="5040"/>
          </w:tcPr>
          <w:p>
            <w:r>
              <w:rPr>
                <w:sz w:val="16"/>
              </w:rPr>
              <w:t>UI</w:t>
            </w:r>
          </w:p>
        </w:tc>
        <w:tc>
          <w:tcPr>
            <w:tcW w:type="dxa" w:w="5040"/>
          </w:tcPr>
          <w:p>
            <w:r>
              <w:rPr>
                <w:sz w:val="16"/>
              </w:rPr>
              <w:t>Streamlit dashboard</w:t>
            </w:r>
          </w:p>
        </w:tc>
      </w:tr>
      <w:tr>
        <w:tc>
          <w:tcPr>
            <w:tcW w:type="dxa" w:w="5040"/>
          </w:tcPr>
          <w:p>
            <w:r>
              <w:rPr>
                <w:sz w:val="16"/>
              </w:rPr>
              <w:t>Testing</w:t>
            </w:r>
          </w:p>
        </w:tc>
        <w:tc>
          <w:tcPr>
            <w:tcW w:type="dxa" w:w="5040"/>
          </w:tcPr>
          <w:p>
            <w:r>
              <w:rPr>
                <w:sz w:val="16"/>
              </w:rPr>
              <w:t>Pytest automated core tests</w:t>
            </w:r>
          </w:p>
        </w:tc>
      </w:tr>
    </w:tbl>
    <w:p>
      <w:pPr>
        <w:pStyle w:val="Heading2"/>
      </w:pPr>
      <w:r>
        <w:t>Validation</w:t>
      </w:r>
    </w:p>
    <w:p>
      <w:r>
        <w:t>The final demonstration was tested with six automated tests covering core functionality. The test suite completed successfully with 6/6 tests passing. Validation also includes metric reporting for classification and cost models and deterministic seeds for reproducibility.</w:t>
      </w:r>
    </w:p>
    <w:p>
      <w:pPr>
        <w:pStyle w:val="Heading2"/>
      </w:pPr>
      <w:r>
        <w:t>Reproducibility</w:t>
      </w:r>
    </w:p>
    <w:p>
      <w:pPr>
        <w:pStyle w:val="ListBullet"/>
        <w:spacing w:after="40"/>
      </w:pPr>
      <w:r>
        <w:t>Configuration is stored in YAML.</w:t>
      </w:r>
    </w:p>
    <w:p>
      <w:pPr>
        <w:pStyle w:val="ListBullet"/>
        <w:spacing w:after="40"/>
      </w:pPr>
      <w:r>
        <w:t>Python dependencies are listed in requirements.txt.</w:t>
      </w:r>
    </w:p>
    <w:p>
      <w:pPr>
        <w:pStyle w:val="ListBullet"/>
        <w:spacing w:after="40"/>
      </w:pPr>
      <w:r>
        <w:t>Random seeds are fixed for the demonstration.</w:t>
      </w:r>
    </w:p>
    <w:p>
      <w:pPr>
        <w:pStyle w:val="ListBullet"/>
        <w:spacing w:after="40"/>
      </w:pPr>
      <w:r>
        <w:t>CI workflow is included for automated testing.</w:t>
      </w:r>
    </w:p>
    <w:p>
      <w:pPr>
        <w:pStyle w:val="ListBullet"/>
        <w:spacing w:after="40"/>
      </w:pPr>
      <w:r>
        <w:t>Docker configuration is included for reproducible execution.</w:t>
      </w:r>
    </w:p>
    <w:p>
      <w:pPr>
        <w:pStyle w:val="ListBullet"/>
        <w:spacing w:after="40"/>
      </w:pPr>
      <w:r>
        <w:t>Raw and processed data directories are kept separate from source code.</w:t>
      </w:r>
    </w:p>
    <w:p>
      <w:pPr>
        <w:pStyle w:val="Heading2"/>
      </w:pPr>
      <w:r>
        <w:t>Streamlit Interface</w:t>
      </w:r>
    </w:p>
    <w:p>
      <w:r>
        <w:t>The dashboard provides tabs for Patient Risk, Hospital Credit, Pharma and Master Simulation. Epidemiology controls allow the user to vary beta and gamma and observe how the simulated disease dynamics affect the broader system.</w:t>
      </w:r>
    </w:p>
    <w:p>
      <w:pPr>
        <w:pStyle w:val="Heading2"/>
      </w:pPr>
      <w:r>
        <w:t>Limitations</w:t>
      </w:r>
    </w:p>
    <w:p>
      <w:r>
        <w:t>The project is an educational prototype. Synthetic data, simplified assumptions, limited sample sizes and baseline models mean that outputs are not suitable for clinical care, underwriting, credit approval or investment execution.</w:t>
      </w:r>
    </w:p>
    <w:p>
      <w:r>
        <w:br w:type="page"/>
      </w:r>
    </w:p>
    <w:p>
      <w:pPr>
        <w:pStyle w:val="Heading1"/>
      </w:pPr>
      <w:r>
        <w:t>8. Risk, Ethics, Governance and Future Work</w:t>
      </w:r>
    </w:p>
    <w:p>
      <w:pPr>
        <w:pStyle w:val="Heading2"/>
      </w:pPr>
      <w:r>
        <w:t>Key Risks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Risk</w:t>
            </w:r>
          </w:p>
        </w:tc>
        <w:tc>
          <w:tcPr>
            <w:tcW w:type="dxa" w:w="5040"/>
          </w:tcPr>
          <w:p>
            <w:r>
              <w:rPr>
                <w:b/>
                <w:sz w:val="17"/>
              </w:rPr>
              <w:t>Control / Mitigation</w:t>
            </w:r>
          </w:p>
        </w:tc>
      </w:tr>
      <w:tr>
        <w:tc>
          <w:tcPr>
            <w:tcW w:type="dxa" w:w="5040"/>
          </w:tcPr>
          <w:p>
            <w:r>
              <w:rPr>
                <w:sz w:val="16"/>
              </w:rPr>
              <w:t>Patient privacy</w:t>
            </w:r>
          </w:p>
        </w:tc>
        <w:tc>
          <w:tcPr>
            <w:tcW w:type="dxa" w:w="5040"/>
          </w:tcPr>
          <w:p>
            <w:r>
              <w:rPr>
                <w:sz w:val="16"/>
              </w:rPr>
              <w:t>De-identification, access control, data minimisation</w:t>
            </w:r>
          </w:p>
        </w:tc>
      </w:tr>
      <w:tr>
        <w:tc>
          <w:tcPr>
            <w:tcW w:type="dxa" w:w="5040"/>
          </w:tcPr>
          <w:p>
            <w:r>
              <w:rPr>
                <w:sz w:val="16"/>
              </w:rPr>
              <w:t>Clinical harm</w:t>
            </w:r>
          </w:p>
        </w:tc>
        <w:tc>
          <w:tcPr>
            <w:tcW w:type="dxa" w:w="5040"/>
          </w:tcPr>
          <w:p>
            <w:r>
              <w:rPr>
                <w:sz w:val="16"/>
              </w:rPr>
              <w:t>Human review; no autonomous treatment decisions</w:t>
            </w:r>
          </w:p>
        </w:tc>
      </w:tr>
      <w:tr>
        <w:tc>
          <w:tcPr>
            <w:tcW w:type="dxa" w:w="5040"/>
          </w:tcPr>
          <w:p>
            <w:r>
              <w:rPr>
                <w:sz w:val="16"/>
              </w:rPr>
              <w:t>Model bias</w:t>
            </w:r>
          </w:p>
        </w:tc>
        <w:tc>
          <w:tcPr>
            <w:tcW w:type="dxa" w:w="5040"/>
          </w:tcPr>
          <w:p>
            <w:r>
              <w:rPr>
                <w:sz w:val="16"/>
              </w:rPr>
              <w:t>Subgroup evaluation and fairness review</w:t>
            </w:r>
          </w:p>
        </w:tc>
      </w:tr>
      <w:tr>
        <w:tc>
          <w:tcPr>
            <w:tcW w:type="dxa" w:w="5040"/>
          </w:tcPr>
          <w:p>
            <w:r>
              <w:rPr>
                <w:sz w:val="16"/>
              </w:rPr>
              <w:t>Data leakage</w:t>
            </w:r>
          </w:p>
        </w:tc>
        <w:tc>
          <w:tcPr>
            <w:tcW w:type="dxa" w:w="5040"/>
          </w:tcPr>
          <w:p>
            <w:r>
              <w:rPr>
                <w:sz w:val="16"/>
              </w:rPr>
              <w:t>Target separation and feature review</w:t>
            </w:r>
          </w:p>
        </w:tc>
      </w:tr>
      <w:tr>
        <w:tc>
          <w:tcPr>
            <w:tcW w:type="dxa" w:w="5040"/>
          </w:tcPr>
          <w:p>
            <w:r>
              <w:rPr>
                <w:sz w:val="16"/>
              </w:rPr>
              <w:t>Financial misuse</w:t>
            </w:r>
          </w:p>
        </w:tc>
        <w:tc>
          <w:tcPr>
            <w:tcW w:type="dxa" w:w="5040"/>
          </w:tcPr>
          <w:p>
            <w:r>
              <w:rPr>
                <w:sz w:val="16"/>
              </w:rPr>
              <w:t>Educational lab; no live trading/underwriting</w:t>
            </w:r>
          </w:p>
        </w:tc>
      </w:tr>
      <w:tr>
        <w:tc>
          <w:tcPr>
            <w:tcW w:type="dxa" w:w="5040"/>
          </w:tcPr>
          <w:p>
            <w:r>
              <w:rPr>
                <w:sz w:val="16"/>
              </w:rPr>
              <w:t>Model drift</w:t>
            </w:r>
          </w:p>
        </w:tc>
        <w:tc>
          <w:tcPr>
            <w:tcW w:type="dxa" w:w="5040"/>
          </w:tcPr>
          <w:p>
            <w:r>
              <w:rPr>
                <w:sz w:val="16"/>
              </w:rPr>
              <w:t>Monitoring and periodic validation</w:t>
            </w:r>
          </w:p>
        </w:tc>
      </w:tr>
      <w:tr>
        <w:tc>
          <w:tcPr>
            <w:tcW w:type="dxa" w:w="5040"/>
          </w:tcPr>
          <w:p>
            <w:r>
              <w:rPr>
                <w:sz w:val="16"/>
              </w:rPr>
              <w:t>Security</w:t>
            </w:r>
          </w:p>
        </w:tc>
        <w:tc>
          <w:tcPr>
            <w:tcW w:type="dxa" w:w="5040"/>
          </w:tcPr>
          <w:p>
            <w:r>
              <w:rPr>
                <w:sz w:val="16"/>
              </w:rPr>
              <w:t>Secrets excluded; private repository; CI controls</w:t>
            </w:r>
          </w:p>
        </w:tc>
      </w:tr>
      <w:tr>
        <w:tc>
          <w:tcPr>
            <w:tcW w:type="dxa" w:w="5040"/>
          </w:tcPr>
          <w:p>
            <w:r>
              <w:rPr>
                <w:sz w:val="16"/>
              </w:rPr>
              <w:t>Explainability</w:t>
            </w:r>
          </w:p>
        </w:tc>
        <w:tc>
          <w:tcPr>
            <w:tcW w:type="dxa" w:w="5040"/>
          </w:tcPr>
          <w:p>
            <w:r>
              <w:rPr>
                <w:sz w:val="16"/>
              </w:rPr>
              <w:t>Model cards and interpretable baseline models</w:t>
            </w:r>
          </w:p>
        </w:tc>
      </w:tr>
    </w:tbl>
    <w:p>
      <w:pPr>
        <w:pStyle w:val="Heading2"/>
      </w:pPr>
      <w:r>
        <w:t>Production Roadmap</w:t>
      </w:r>
    </w:p>
    <w:p>
      <w:pPr>
        <w:pStyle w:val="ListBullet"/>
        <w:spacing w:after="40"/>
      </w:pPr>
      <w:r>
        <w:t>Connect approved public datasets and document their licences.</w:t>
      </w:r>
    </w:p>
    <w:p>
      <w:pPr>
        <w:pStyle w:val="ListBullet"/>
        <w:spacing w:after="40"/>
      </w:pPr>
      <w:r>
        <w:t>Add stronger temporal and external validation.</w:t>
      </w:r>
    </w:p>
    <w:p>
      <w:pPr>
        <w:pStyle w:val="ListBullet"/>
        <w:spacing w:after="40"/>
      </w:pPr>
      <w:r>
        <w:t>Evaluate subgroup performance and fairness.</w:t>
      </w:r>
    </w:p>
    <w:p>
      <w:pPr>
        <w:pStyle w:val="ListBullet"/>
        <w:spacing w:after="40"/>
      </w:pPr>
      <w:r>
        <w:t>Introduce advanced NLP using approved clinical-language models.</w:t>
      </w:r>
    </w:p>
    <w:p>
      <w:pPr>
        <w:pStyle w:val="ListBullet"/>
        <w:spacing w:after="40"/>
      </w:pPr>
      <w:r>
        <w:t>Add graph neural networks for healthcare relationship data.</w:t>
      </w:r>
    </w:p>
    <w:p>
      <w:pPr>
        <w:pStyle w:val="ListBullet"/>
        <w:spacing w:after="40"/>
      </w:pPr>
      <w:r>
        <w:t>Expand survival modelling and calibration analysis.</w:t>
      </w:r>
    </w:p>
    <w:p>
      <w:pPr>
        <w:pStyle w:val="ListBullet"/>
        <w:spacing w:after="40"/>
      </w:pPr>
      <w:r>
        <w:t>Implement complete 1,000-point HealthRisk Lab scoring.</w:t>
      </w:r>
    </w:p>
    <w:p>
      <w:pPr>
        <w:pStyle w:val="ListBullet"/>
        <w:spacing w:after="40"/>
      </w:pPr>
      <w:r>
        <w:t>Add experiment tracking and data/version management.</w:t>
      </w:r>
    </w:p>
    <w:p>
      <w:pPr>
        <w:pStyle w:val="ListBullet"/>
        <w:spacing w:after="40"/>
      </w:pPr>
      <w:r>
        <w:t>Introduce model monitoring, drift alerts and audit logs.</w:t>
      </w:r>
    </w:p>
    <w:p>
      <w:pPr>
        <w:pStyle w:val="ListBullet"/>
        <w:spacing w:after="40"/>
      </w:pPr>
      <w:r>
        <w:t>Conduct domain-expert review before any operational deployment.</w:t>
      </w:r>
    </w:p>
    <w:p>
      <w:pPr>
        <w:pStyle w:val="Heading2"/>
      </w:pPr>
      <w:r>
        <w:t>Research Extensions</w:t>
      </w:r>
    </w:p>
    <w:p>
      <w:r>
        <w:t>The project includes extension points for ClinicalBERT/PubMedBERT-style NLP, graph-based modelling, survival analysis, stacking/ensemble approaches and claims-reserve analytics. These components should be treated as research extensions until validated on appropriate real-world data.</w:t>
      </w:r>
    </w:p>
    <w:p>
      <w:pPr>
        <w:pStyle w:val="Heading2"/>
      </w:pPr>
      <w:r>
        <w:t>Zetheta Submission Controls</w:t>
      </w:r>
    </w:p>
    <w:p>
      <w:r>
        <w:t>The project brief emphasises confidentiality and private development. The recommended submission setup is a private GitHub repository with protected main branch, appropriate collaborator access, disabled forking where required, and transfer to the designated Zetheta account only when instructed. Secrets and private datasets must never be committed to the repository.</w:t>
      </w:r>
    </w:p>
    <w:p>
      <w:r>
        <w:br w:type="page"/>
      </w:r>
    </w:p>
    <w:p>
      <w:pPr>
        <w:pStyle w:val="Heading1"/>
      </w:pPr>
      <w:r>
        <w:t>9. Conclusion and References</w:t>
      </w:r>
    </w:p>
    <w:p>
      <w:pPr>
        <w:pStyle w:val="Heading2"/>
      </w:pPr>
      <w:r>
        <w:t>Conclusion</w:t>
      </w:r>
    </w:p>
    <w:p>
      <w:r>
        <w:t>HealthRisk AI demonstrates how healthcare intelligence can be connected to financial risk analysis through a modular data-science architecture. The project covers clinical prediction, epidemiological modelling, insurance analytics, hospital credit risk, pharmaceutical valuation, ESG screening and an integrated gamified simulation.</w:t>
      </w:r>
    </w:p>
    <w:p>
      <w:r>
        <w:t>The strongest contribution of the prototype is the connection between domains. Instead of treating a disease outbreak as only a medical problem, the system models how an epidemiological shock can propagate into claims, hospital finances and portfolio decisions. This provides a practical educational framework for understanding interconnected risk.</w:t>
      </w:r>
    </w:p>
    <w:p>
      <w:r>
        <w:t>The current implementation is deliberately transparent and reproducible. Its synthetic-data design allows immediate execution without exposing private patient information. However, synthetic performance is not evidence of real-world validity. Future development must focus on approved public datasets, stronger validation, fairness, calibration, expert review and governance.</w:t>
      </w:r>
    </w:p>
    <w:p>
      <w:pPr>
        <w:pStyle w:val="Heading2"/>
      </w:pPr>
      <w:r>
        <w:t>Final Project Status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Component</w:t>
            </w:r>
          </w:p>
        </w:tc>
        <w:tc>
          <w:tcPr>
            <w:tcW w:type="dxa" w:w="5040"/>
          </w:tcPr>
          <w:p>
            <w:r>
              <w:rPr>
                <w:b/>
                <w:sz w:val="17"/>
              </w:rPr>
              <w:t>Status</w:t>
            </w:r>
          </w:p>
        </w:tc>
      </w:tr>
      <w:tr>
        <w:tc>
          <w:tcPr>
            <w:tcW w:type="dxa" w:w="5040"/>
          </w:tcPr>
          <w:p>
            <w:r>
              <w:rPr>
                <w:sz w:val="16"/>
              </w:rPr>
              <w:t>Core healthcare-risk pipeline</w:t>
            </w:r>
          </w:p>
        </w:tc>
        <w:tc>
          <w:tcPr>
            <w:tcW w:type="dxa" w:w="5040"/>
          </w:tcPr>
          <w:p>
            <w:r>
              <w:rPr>
                <w:sz w:val="16"/>
              </w:rPr>
              <w:t>Implemented</w:t>
            </w:r>
          </w:p>
        </w:tc>
      </w:tr>
      <w:tr>
        <w:tc>
          <w:tcPr>
            <w:tcW w:type="dxa" w:w="5040"/>
          </w:tcPr>
          <w:p>
            <w:r>
              <w:rPr>
                <w:sz w:val="16"/>
              </w:rPr>
              <w:t>Patient prediction</w:t>
            </w:r>
          </w:p>
        </w:tc>
        <w:tc>
          <w:tcPr>
            <w:tcW w:type="dxa" w:w="5040"/>
          </w:tcPr>
          <w:p>
            <w:r>
              <w:rPr>
                <w:sz w:val="16"/>
              </w:rPr>
              <w:t>Implemented baseline</w:t>
            </w:r>
          </w:p>
        </w:tc>
      </w:tr>
      <w:tr>
        <w:tc>
          <w:tcPr>
            <w:tcW w:type="dxa" w:w="5040"/>
          </w:tcPr>
          <w:p>
            <w:r>
              <w:rPr>
                <w:sz w:val="16"/>
              </w:rPr>
              <w:t>SIR epidemiology</w:t>
            </w:r>
          </w:p>
        </w:tc>
        <w:tc>
          <w:tcPr>
            <w:tcW w:type="dxa" w:w="5040"/>
          </w:tcPr>
          <w:p>
            <w:r>
              <w:rPr>
                <w:sz w:val="16"/>
              </w:rPr>
              <w:t>Implemented</w:t>
            </w:r>
          </w:p>
        </w:tc>
      </w:tr>
      <w:tr>
        <w:tc>
          <w:tcPr>
            <w:tcW w:type="dxa" w:w="5040"/>
          </w:tcPr>
          <w:p>
            <w:r>
              <w:rPr>
                <w:sz w:val="16"/>
              </w:rPr>
              <w:t>Insurance analytics</w:t>
            </w:r>
          </w:p>
        </w:tc>
        <w:tc>
          <w:tcPr>
            <w:tcW w:type="dxa" w:w="5040"/>
          </w:tcPr>
          <w:p>
            <w:r>
              <w:rPr>
                <w:sz w:val="16"/>
              </w:rPr>
              <w:t>Implemented</w:t>
            </w:r>
          </w:p>
        </w:tc>
      </w:tr>
      <w:tr>
        <w:tc>
          <w:tcPr>
            <w:tcW w:type="dxa" w:w="5040"/>
          </w:tcPr>
          <w:p>
            <w:r>
              <w:rPr>
                <w:sz w:val="16"/>
              </w:rPr>
              <w:t>Hospital credit</w:t>
            </w:r>
          </w:p>
        </w:tc>
        <w:tc>
          <w:tcPr>
            <w:tcW w:type="dxa" w:w="5040"/>
          </w:tcPr>
          <w:p>
            <w:r>
              <w:rPr>
                <w:sz w:val="16"/>
              </w:rPr>
              <w:t>Implemented</w:t>
            </w:r>
          </w:p>
        </w:tc>
      </w:tr>
      <w:tr>
        <w:tc>
          <w:tcPr>
            <w:tcW w:type="dxa" w:w="5040"/>
          </w:tcPr>
          <w:p>
            <w:r>
              <w:rPr>
                <w:sz w:val="16"/>
              </w:rPr>
              <w:t>Pharma valuation</w:t>
            </w:r>
          </w:p>
        </w:tc>
        <w:tc>
          <w:tcPr>
            <w:tcW w:type="dxa" w:w="5040"/>
          </w:tcPr>
          <w:p>
            <w:r>
              <w:rPr>
                <w:sz w:val="16"/>
              </w:rPr>
              <w:t>Implemented</w:t>
            </w:r>
          </w:p>
        </w:tc>
      </w:tr>
      <w:tr>
        <w:tc>
          <w:tcPr>
            <w:tcW w:type="dxa" w:w="5040"/>
          </w:tcPr>
          <w:p>
            <w:r>
              <w:rPr>
                <w:sz w:val="16"/>
              </w:rPr>
              <w:t>ESG analytics</w:t>
            </w:r>
          </w:p>
        </w:tc>
        <w:tc>
          <w:tcPr>
            <w:tcW w:type="dxa" w:w="5040"/>
          </w:tcPr>
          <w:p>
            <w:r>
              <w:rPr>
                <w:sz w:val="16"/>
              </w:rPr>
              <w:t>Implemented</w:t>
            </w:r>
          </w:p>
        </w:tc>
      </w:tr>
      <w:tr>
        <w:tc>
          <w:tcPr>
            <w:tcW w:type="dxa" w:w="5040"/>
          </w:tcPr>
          <w:p>
            <w:r>
              <w:rPr>
                <w:sz w:val="16"/>
              </w:rPr>
              <w:t>HealthRisk Lab</w:t>
            </w:r>
          </w:p>
        </w:tc>
        <w:tc>
          <w:tcPr>
            <w:tcW w:type="dxa" w:w="5040"/>
          </w:tcPr>
          <w:p>
            <w:r>
              <w:rPr>
                <w:sz w:val="16"/>
              </w:rPr>
              <w:t>Implemented prototype</w:t>
            </w:r>
          </w:p>
        </w:tc>
      </w:tr>
      <w:tr>
        <w:tc>
          <w:tcPr>
            <w:tcW w:type="dxa" w:w="5040"/>
          </w:tcPr>
          <w:p>
            <w:r>
              <w:rPr>
                <w:sz w:val="16"/>
              </w:rPr>
              <w:t>Explainability</w:t>
            </w:r>
          </w:p>
        </w:tc>
        <w:tc>
          <w:tcPr>
            <w:tcW w:type="dxa" w:w="5040"/>
          </w:tcPr>
          <w:p>
            <w:r>
              <w:rPr>
                <w:sz w:val="16"/>
              </w:rPr>
              <w:t>Implemented baseline</w:t>
            </w:r>
          </w:p>
        </w:tc>
      </w:tr>
      <w:tr>
        <w:tc>
          <w:tcPr>
            <w:tcW w:type="dxa" w:w="5040"/>
          </w:tcPr>
          <w:p>
            <w:r>
              <w:rPr>
                <w:sz w:val="16"/>
              </w:rPr>
              <w:t>Automated tests</w:t>
            </w:r>
          </w:p>
        </w:tc>
        <w:tc>
          <w:tcPr>
            <w:tcW w:type="dxa" w:w="5040"/>
          </w:tcPr>
          <w:p>
            <w:r>
              <w:rPr>
                <w:sz w:val="16"/>
              </w:rPr>
              <w:t>6/6 passing</w:t>
            </w:r>
          </w:p>
        </w:tc>
      </w:tr>
      <w:tr>
        <w:tc>
          <w:tcPr>
            <w:tcW w:type="dxa" w:w="5040"/>
          </w:tcPr>
          <w:p>
            <w:r>
              <w:rPr>
                <w:sz w:val="16"/>
              </w:rPr>
              <w:t>Real-data clinical validation</w:t>
            </w:r>
          </w:p>
        </w:tc>
        <w:tc>
          <w:tcPr>
            <w:tcW w:type="dxa" w:w="5040"/>
          </w:tcPr>
          <w:p>
            <w:r>
              <w:rPr>
                <w:sz w:val="16"/>
              </w:rPr>
              <w:t>Future work</w:t>
            </w:r>
          </w:p>
        </w:tc>
      </w:tr>
      <w:tr>
        <w:tc>
          <w:tcPr>
            <w:tcW w:type="dxa" w:w="5040"/>
          </w:tcPr>
          <w:p>
            <w:r>
              <w:rPr>
                <w:sz w:val="16"/>
              </w:rPr>
              <w:t>Full 1,000-point certification scoring</w:t>
            </w:r>
          </w:p>
        </w:tc>
        <w:tc>
          <w:tcPr>
            <w:tcW w:type="dxa" w:w="5040"/>
          </w:tcPr>
          <w:p>
            <w:r>
              <w:rPr>
                <w:sz w:val="16"/>
              </w:rPr>
              <w:t>Future work</w:t>
            </w:r>
          </w:p>
        </w:tc>
      </w:tr>
    </w:tbl>
    <w:p>
      <w:pPr>
        <w:pStyle w:val="Heading2"/>
      </w:pPr>
      <w:r>
        <w:t>References / Further Reading</w:t>
      </w:r>
    </w:p>
    <w:p>
      <w:pPr>
        <w:spacing w:after="20"/>
      </w:pPr>
      <w:r>
        <w:t>1. World Health Organization – Global Health Observatory.</w:t>
      </w:r>
    </w:p>
    <w:p>
      <w:pPr>
        <w:spacing w:after="20"/>
      </w:pPr>
      <w:r>
        <w:t>2. PhysioNet – MIMIC-IV database and documentation.</w:t>
      </w:r>
    </w:p>
    <w:p>
      <w:pPr>
        <w:spacing w:after="20"/>
      </w:pPr>
      <w:r>
        <w:t>3. ClinicalTrials.gov – clinical study registry.</w:t>
      </w:r>
    </w:p>
    <w:p>
      <w:pPr>
        <w:spacing w:after="20"/>
      </w:pPr>
      <w:r>
        <w:t>4. U.S. FDA – FAERS / openFDA resources.</w:t>
      </w:r>
    </w:p>
    <w:p>
      <w:pPr>
        <w:spacing w:after="20"/>
      </w:pPr>
      <w:r>
        <w:t>5. CDC – WONDER public health data.</w:t>
      </w:r>
    </w:p>
    <w:p>
      <w:pPr>
        <w:spacing w:after="20"/>
      </w:pPr>
      <w:r>
        <w:t>6. Centers for Medicare &amp; Medicaid Services – public datasets.</w:t>
      </w:r>
    </w:p>
    <w:p>
      <w:pPr>
        <w:spacing w:after="20"/>
      </w:pPr>
      <w:r>
        <w:t>7. AHRQ – Healthcare Cost and Utilization Project.</w:t>
      </w:r>
    </w:p>
    <w:p>
      <w:pPr>
        <w:spacing w:after="20"/>
      </w:pPr>
      <w:r>
        <w:t>8. IHME – Global Burden of Disease resources.</w:t>
      </w:r>
    </w:p>
    <w:p>
      <w:pPr>
        <w:spacing w:after="20"/>
      </w:pPr>
      <w:r>
        <w:t>9. SEC – EDGAR company filings.</w:t>
      </w:r>
    </w:p>
    <w:p>
      <w:pPr>
        <w:spacing w:after="20"/>
      </w:pPr>
      <w:r>
        <w:t>10. National Library of Medicine – UMLS, ICD-10-CM, LOINC and RxNorm.</w:t>
      </w:r>
    </w:p>
    <w:p>
      <w:pPr>
        <w:spacing w:after="20"/>
      </w:pPr>
      <w:r>
        <w:t>11. scikit-learn documentation – machine learning methods.</w:t>
      </w:r>
    </w:p>
    <w:p>
      <w:pPr>
        <w:spacing w:after="20"/>
      </w:pPr>
      <w:r>
        <w:t>12. XGBoost and LightGBM documentation – gradient boosting.</w:t>
      </w:r>
    </w:p>
    <w:p>
      <w:pPr>
        <w:spacing w:after="20"/>
      </w:pPr>
      <w:r>
        <w:t>13. lifelines documentation – survival analysis.</w:t>
      </w:r>
    </w:p>
    <w:p>
      <w:pPr>
        <w:spacing w:after="20"/>
      </w:pPr>
      <w:r>
        <w:t>14. PyTorch Geometric documentation – graph learning.</w:t>
      </w:r>
    </w:p>
    <w:p>
      <w:pPr>
        <w:spacing w:after="20"/>
      </w:pPr>
      <w:r>
        <w:t>15. MLflow and DVC documentation – experiment/data management.</w:t>
      </w:r>
    </w:p>
    <w:p>
      <w:pPr>
        <w:spacing w:after="20"/>
      </w:pPr>
      <w:r>
        <w:t>16. SHAP documentation – model explainability.</w:t>
      </w:r>
    </w:p>
    <w:p>
      <w:pPr>
        <w:spacing w:after="20"/>
      </w:pPr>
      <w:r>
        <w:t>17. Streamlit documentation – data application development.</w:t>
      </w:r>
    </w:p>
    <w:p>
      <w:pPr>
        <w:spacing w:after="20"/>
      </w:pPr>
      <w:r>
        <w:t>18. NAIC – insurance regulatory resources.</w:t>
      </w:r>
    </w:p>
    <w:p>
      <w:pPr>
        <w:spacing w:after="20"/>
      </w:pPr>
      <w:r>
        <w:t>19. CMS Care Compare – healthcare quality information.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HealthRisk AI | Zetheta Project 1D | Anjali Singh | Educational Prototype</w:t>
    </w:r>
  </w:p>
  <w:p>
    <w:pP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