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7700DC">
      <w:pPr>
        <w:rPr>
          <w:rFonts w:hint="default"/>
          <w:lang w:val="en-US" w:eastAsia="zh-CN"/>
        </w:rPr>
      </w:pPr>
      <w:r>
        <w:rPr>
          <w:rFonts w:hint="eastAsia"/>
          <w:lang w:val="en-US" w:eastAsia="zh-CN"/>
        </w:rPr>
        <w:t>王小栓案件</w:t>
      </w:r>
    </w:p>
    <w:p w14:paraId="3C912813">
      <w:pPr>
        <w:numPr>
          <w:ilvl w:val="0"/>
          <w:numId w:val="1"/>
        </w:numPr>
        <w:rPr>
          <w:rFonts w:hint="eastAsia"/>
          <w:lang w:val="en-US" w:eastAsia="zh-CN"/>
        </w:rPr>
      </w:pPr>
      <w:r>
        <w:rPr>
          <w:rFonts w:hint="eastAsia"/>
          <w:lang w:val="en-US" w:eastAsia="zh-CN"/>
        </w:rPr>
        <w:t>管辖法院：</w:t>
      </w:r>
    </w:p>
    <w:p w14:paraId="4847C91C">
      <w:pPr>
        <w:numPr>
          <w:ilvl w:val="0"/>
          <w:numId w:val="0"/>
        </w:numPr>
        <w:rPr>
          <w:rFonts w:hint="eastAsia"/>
          <w:lang w:val="en-US" w:eastAsia="zh-CN"/>
        </w:rPr>
      </w:pPr>
      <w:r>
        <w:rPr>
          <w:rFonts w:hint="eastAsia"/>
          <w:lang w:val="en-US" w:eastAsia="zh-CN"/>
        </w:rPr>
        <w:t>《中华人民共和国民事诉讼法》第二十九条 因侵权行为提起的诉讼，由侵权行为地或者被告住所地人民法院管辖。</w:t>
      </w:r>
    </w:p>
    <w:p w14:paraId="7180347A">
      <w:pPr>
        <w:numPr>
          <w:ilvl w:val="0"/>
          <w:numId w:val="0"/>
        </w:numPr>
        <w:rPr>
          <w:rFonts w:hint="eastAsia"/>
          <w:lang w:val="en-US" w:eastAsia="zh-CN"/>
        </w:rPr>
      </w:pPr>
      <w:r>
        <w:rPr>
          <w:rFonts w:hint="eastAsia"/>
          <w:lang w:val="en-US" w:eastAsia="zh-CN"/>
        </w:rPr>
        <w:t>《最高人民法院关于适用</w:t>
      </w:r>
      <w:r>
        <w:rPr>
          <w:rFonts w:hint="default"/>
          <w:lang w:val="en-US" w:eastAsia="zh-CN"/>
        </w:rPr>
        <w:t>&lt;</w:t>
      </w:r>
      <w:r>
        <w:rPr>
          <w:rFonts w:hint="eastAsia"/>
          <w:lang w:val="en-US" w:eastAsia="zh-CN"/>
        </w:rPr>
        <w:t>中华人民共和国民事诉讼法</w:t>
      </w:r>
      <w:r>
        <w:rPr>
          <w:rFonts w:hint="default"/>
          <w:lang w:val="en-US" w:eastAsia="zh-CN"/>
        </w:rPr>
        <w:t>&gt;</w:t>
      </w:r>
      <w:r>
        <w:rPr>
          <w:rFonts w:hint="eastAsia"/>
          <w:lang w:val="en-US" w:eastAsia="zh-CN"/>
        </w:rPr>
        <w:t>的解释》（2022修正） 第二十四条 民事诉讼法第二十九条规定的侵权行为地，包括侵权行为实施地、侵权结果发生地。</w:t>
      </w:r>
    </w:p>
    <w:p w14:paraId="0A7640CC">
      <w:pPr>
        <w:numPr>
          <w:ilvl w:val="0"/>
          <w:numId w:val="0"/>
        </w:numPr>
        <w:rPr>
          <w:rFonts w:hint="eastAsia"/>
          <w:lang w:val="en-US" w:eastAsia="zh-CN"/>
        </w:rPr>
      </w:pPr>
      <w:r>
        <w:rPr>
          <w:rFonts w:hint="eastAsia"/>
          <w:lang w:val="en-US" w:eastAsia="zh-CN"/>
        </w:rPr>
        <w:t>若以侵害张硕生命权、健康权、身体权为由提起诉讼，则依有关侵权行为诉讼的管辖规定确定管辖法院。</w:t>
      </w:r>
    </w:p>
    <w:p w14:paraId="3F01AFF3">
      <w:pPr>
        <w:numPr>
          <w:ilvl w:val="0"/>
          <w:numId w:val="0"/>
        </w:numPr>
        <w:rPr>
          <w:rFonts w:hint="eastAsia"/>
          <w:lang w:val="en-US" w:eastAsia="zh-CN"/>
        </w:rPr>
      </w:pPr>
      <w:r>
        <w:rPr>
          <w:rFonts w:hint="eastAsia"/>
          <w:lang w:val="en-US" w:eastAsia="zh-CN"/>
        </w:rPr>
        <w:t>《中华人民共和国民事诉讼法》第二十二条　对公民提起的民事诉讼，由被告住所地人民法院管辖；被告住所地与经常居住地不一致的，由经常居住地人民法院管辖。</w:t>
      </w:r>
    </w:p>
    <w:p w14:paraId="445D38AF">
      <w:pPr>
        <w:numPr>
          <w:ilvl w:val="0"/>
          <w:numId w:val="0"/>
        </w:numPr>
        <w:rPr>
          <w:rFonts w:hint="eastAsia"/>
          <w:lang w:val="en-US" w:eastAsia="zh-CN"/>
        </w:rPr>
      </w:pPr>
      <w:r>
        <w:rPr>
          <w:rFonts w:hint="eastAsia"/>
          <w:lang w:val="en-US" w:eastAsia="zh-CN"/>
        </w:rPr>
        <w:t>对法人或者其他组织提起的民事诉讼，由被告住所地人民法院管辖。</w:t>
      </w:r>
    </w:p>
    <w:p w14:paraId="2F21F12A">
      <w:pPr>
        <w:numPr>
          <w:ilvl w:val="0"/>
          <w:numId w:val="0"/>
        </w:numPr>
        <w:rPr>
          <w:rFonts w:hint="eastAsia"/>
          <w:lang w:val="en-US" w:eastAsia="zh-CN"/>
        </w:rPr>
      </w:pPr>
      <w:r>
        <w:rPr>
          <w:rFonts w:hint="eastAsia"/>
          <w:lang w:val="en-US" w:eastAsia="zh-CN"/>
        </w:rPr>
        <w:t>同一诉讼的几个被告住所地、经常居住地在两个以上人民法院辖区的，各该人民法院都有管辖权。</w:t>
      </w:r>
    </w:p>
    <w:p w14:paraId="6FF9F00A">
      <w:pPr>
        <w:keepNext w:val="0"/>
        <w:keepLines w:val="0"/>
        <w:widowControl/>
        <w:suppressLineNumbers w:val="0"/>
        <w:jc w:val="left"/>
        <w:rPr>
          <w:rFonts w:hint="eastAsia"/>
          <w:lang w:val="en-US" w:eastAsia="zh-CN"/>
        </w:rPr>
      </w:pPr>
      <w:r>
        <w:rPr>
          <w:rFonts w:hint="eastAsia"/>
          <w:lang w:val="en-US" w:eastAsia="zh-CN"/>
        </w:rPr>
        <w:t>《中华人民共和国民事诉讼法》第十八条 基层人民法院管辖第一审民事案件，但本法另有规定的除外。</w:t>
      </w:r>
    </w:p>
    <w:p w14:paraId="67B1C6B6">
      <w:pPr>
        <w:keepNext w:val="0"/>
        <w:keepLines w:val="0"/>
        <w:widowControl/>
        <w:suppressLineNumbers w:val="0"/>
        <w:jc w:val="left"/>
        <w:rPr>
          <w:rFonts w:hint="eastAsia"/>
          <w:lang w:val="en-US" w:eastAsia="zh-CN"/>
        </w:rPr>
      </w:pPr>
    </w:p>
    <w:p w14:paraId="0EDFE95D">
      <w:pPr>
        <w:keepNext w:val="0"/>
        <w:keepLines w:val="0"/>
        <w:widowControl/>
        <w:suppressLineNumbers w:val="0"/>
        <w:jc w:val="left"/>
      </w:pPr>
      <w:r>
        <w:rPr>
          <w:rFonts w:hint="eastAsia"/>
          <w:lang w:val="en-US" w:eastAsia="zh-CN"/>
        </w:rPr>
        <w:t>法律适用：特别法优先于一般法</w:t>
      </w:r>
      <w:r>
        <w:rPr>
          <w:rFonts w:hint="default"/>
          <w:lang w:val="en-US" w:eastAsia="zh-CN"/>
        </w:rPr>
        <w:t>《民事诉讼法》第29条关于侵权纠纷的管辖规定属于特殊规则，第22条属于一般规则。根据“特别规定优于一般规定”的原则，原告有权选择适用第29条，在被告住所地或侵权行为地法院中任选其一提起诉讼。</w:t>
      </w:r>
    </w:p>
    <w:p w14:paraId="60F210F0">
      <w:pPr>
        <w:numPr>
          <w:ilvl w:val="0"/>
          <w:numId w:val="0"/>
        </w:numPr>
        <w:rPr>
          <w:rFonts w:hint="default"/>
          <w:lang w:val="en-US" w:eastAsia="zh-CN"/>
        </w:rPr>
      </w:pPr>
    </w:p>
    <w:p w14:paraId="1E6AFC07">
      <w:pPr>
        <w:keepNext w:val="0"/>
        <w:keepLines w:val="0"/>
        <w:widowControl w:val="0"/>
        <w:suppressLineNumbers w:val="0"/>
        <w:spacing w:before="0" w:beforeAutospacing="0" w:after="0" w:afterAutospacing="0"/>
        <w:ind w:left="0" w:right="0"/>
        <w:jc w:val="both"/>
        <w:rPr>
          <w:rFonts w:hint="default"/>
          <w:lang w:val="en-US" w:eastAsia="zh-CN"/>
        </w:rPr>
      </w:pPr>
      <w:r>
        <w:rPr>
          <w:rFonts w:hint="eastAsia"/>
          <w:lang w:val="en-US" w:eastAsia="zh-CN"/>
        </w:rPr>
        <w:t>（1）侵权结果发生地法院能否管辖</w:t>
      </w:r>
    </w:p>
    <w:p w14:paraId="0C0BB336">
      <w:pPr>
        <w:keepNext w:val="0"/>
        <w:keepLines w:val="0"/>
        <w:widowControl w:val="0"/>
        <w:suppressLineNumbers w:val="0"/>
        <w:spacing w:before="0" w:beforeAutospacing="0" w:after="0" w:afterAutospacing="0"/>
        <w:ind w:left="0" w:right="0"/>
        <w:jc w:val="both"/>
        <w:rPr>
          <w:rFonts w:hint="default"/>
          <w:lang w:val="en-US" w:eastAsia="zh-CN"/>
        </w:rPr>
      </w:pPr>
      <w:r>
        <w:rPr>
          <w:rFonts w:hint="eastAsia"/>
          <w:lang w:val="en-US" w:eastAsia="zh-CN"/>
        </w:rPr>
        <w:t>在本案中，张锐因被起诉人</w:t>
      </w:r>
      <w:r>
        <w:rPr>
          <w:rFonts w:hint="default"/>
          <w:lang w:val="en-US" w:eastAsia="zh-CN"/>
        </w:rPr>
        <w:t>上海比路电子股份有限公司</w:t>
      </w:r>
      <w:r>
        <w:rPr>
          <w:rFonts w:hint="eastAsia"/>
          <w:lang w:val="en-US" w:eastAsia="zh-CN"/>
        </w:rPr>
        <w:t>超长工时的侵权行为导致其在上海晨蕾酒店有限公司酒店内猝死。该侵权结果发生地为上海晨蕾酒店有限公司酒店内，且当事人能够提供相关证据证明此地确为侵权结果发生地。因此侵权结果地法院可以管辖。侵权结果地为青浦区新桥路761弄1号。</w:t>
      </w:r>
    </w:p>
    <w:p w14:paraId="6F99EC50">
      <w:pPr>
        <w:keepNext w:val="0"/>
        <w:keepLines w:val="0"/>
        <w:widowControl w:val="0"/>
        <w:numPr>
          <w:ilvl w:val="0"/>
          <w:numId w:val="2"/>
        </w:numPr>
        <w:suppressLineNumbers w:val="0"/>
        <w:spacing w:before="0" w:beforeAutospacing="0" w:after="0" w:afterAutospacing="0"/>
        <w:ind w:left="0" w:right="0"/>
        <w:jc w:val="both"/>
        <w:rPr>
          <w:rFonts w:hint="eastAsia"/>
          <w:lang w:val="en-US" w:eastAsia="zh-CN"/>
        </w:rPr>
      </w:pPr>
      <w:r>
        <w:rPr>
          <w:rFonts w:hint="eastAsia"/>
          <w:lang w:val="en-US" w:eastAsia="zh-CN"/>
        </w:rPr>
        <w:t>侵权行为实施地能否管辖</w:t>
      </w:r>
    </w:p>
    <w:p w14:paraId="4EC9AD4A">
      <w:pPr>
        <w:keepNext w:val="0"/>
        <w:keepLines w:val="0"/>
        <w:widowControl w:val="0"/>
        <w:numPr>
          <w:ilvl w:val="0"/>
          <w:numId w:val="0"/>
        </w:numPr>
        <w:suppressLineNumbers w:val="0"/>
        <w:spacing w:before="0" w:beforeAutospacing="0" w:after="0" w:afterAutospacing="0"/>
        <w:ind w:right="0" w:rightChars="0"/>
        <w:jc w:val="both"/>
        <w:rPr>
          <w:rFonts w:hint="eastAsia"/>
          <w:lang w:val="en-US" w:eastAsia="zh-CN"/>
        </w:rPr>
      </w:pPr>
      <w:r>
        <w:rPr>
          <w:rFonts w:hint="eastAsia"/>
          <w:lang w:val="en-US" w:eastAsia="zh-CN"/>
        </w:rPr>
        <w:t>待收集证据——张锐的实际用工地点为何地。</w:t>
      </w:r>
    </w:p>
    <w:p w14:paraId="2918F8AC">
      <w:pPr>
        <w:keepNext w:val="0"/>
        <w:keepLines w:val="0"/>
        <w:widowControl w:val="0"/>
        <w:numPr>
          <w:ilvl w:val="0"/>
          <w:numId w:val="2"/>
        </w:numPr>
        <w:suppressLineNumbers w:val="0"/>
        <w:spacing w:before="0" w:beforeAutospacing="0" w:after="0" w:afterAutospacing="0"/>
        <w:ind w:left="0" w:leftChars="0" w:right="0" w:rightChars="0" w:firstLine="0" w:firstLineChars="0"/>
        <w:jc w:val="both"/>
        <w:rPr>
          <w:rFonts w:hint="eastAsia"/>
          <w:lang w:val="en-US" w:eastAsia="zh-CN"/>
        </w:rPr>
      </w:pPr>
      <w:r>
        <w:rPr>
          <w:rFonts w:hint="eastAsia"/>
          <w:lang w:val="en-US" w:eastAsia="zh-CN"/>
        </w:rPr>
        <w:t>被告人所在地能否管辖</w:t>
      </w:r>
    </w:p>
    <w:p w14:paraId="0EC3FEC3">
      <w:pPr>
        <w:keepNext w:val="0"/>
        <w:keepLines w:val="0"/>
        <w:widowControl w:val="0"/>
        <w:numPr>
          <w:ilvl w:val="0"/>
          <w:numId w:val="0"/>
        </w:numPr>
        <w:suppressLineNumbers w:val="0"/>
        <w:spacing w:before="0" w:beforeAutospacing="0" w:after="0" w:afterAutospacing="0"/>
        <w:ind w:leftChars="0" w:right="0" w:rightChars="0"/>
        <w:jc w:val="both"/>
        <w:rPr>
          <w:rFonts w:hint="eastAsia"/>
          <w:lang w:val="en-US" w:eastAsia="zh-CN"/>
        </w:rPr>
      </w:pPr>
      <w:r>
        <w:rPr>
          <w:rFonts w:hint="eastAsia"/>
          <w:lang w:val="en-US" w:eastAsia="zh-CN"/>
        </w:rPr>
        <w:t>被起诉人</w:t>
      </w:r>
      <w:r>
        <w:rPr>
          <w:rFonts w:hint="default"/>
          <w:lang w:val="en-US" w:eastAsia="zh-CN"/>
        </w:rPr>
        <w:t>上海比路电子股份有限公司</w:t>
      </w:r>
      <w:r>
        <w:rPr>
          <w:rFonts w:hint="eastAsia"/>
          <w:lang w:val="en-US" w:eastAsia="zh-CN"/>
        </w:rPr>
        <w:t>的注册地上海市青浦区青浦工业园区天辰路 2009 号。</w:t>
      </w:r>
    </w:p>
    <w:p w14:paraId="027D652C">
      <w:pPr>
        <w:keepNext w:val="0"/>
        <w:keepLines w:val="0"/>
        <w:widowControl w:val="0"/>
        <w:numPr>
          <w:ilvl w:val="0"/>
          <w:numId w:val="0"/>
        </w:numPr>
        <w:suppressLineNumbers w:val="0"/>
        <w:spacing w:before="0" w:beforeAutospacing="0" w:after="0" w:afterAutospacing="0"/>
        <w:ind w:leftChars="0" w:right="0" w:rightChars="0"/>
        <w:jc w:val="both"/>
        <w:rPr>
          <w:rFonts w:hint="eastAsia"/>
          <w:lang w:val="en-US" w:eastAsia="zh-CN"/>
        </w:rPr>
      </w:pPr>
      <w:r>
        <w:rPr>
          <w:rFonts w:hint="eastAsia"/>
          <w:lang w:val="en-US" w:eastAsia="zh-CN"/>
        </w:rPr>
        <w:t>依照证据收集便利原则，建议选择青浦区法院起诉。</w:t>
      </w:r>
    </w:p>
    <w:p w14:paraId="1CDD32AD">
      <w:pPr>
        <w:keepNext w:val="0"/>
        <w:keepLines w:val="0"/>
        <w:widowControl w:val="0"/>
        <w:numPr>
          <w:ilvl w:val="0"/>
          <w:numId w:val="0"/>
        </w:numPr>
        <w:suppressLineNumbers w:val="0"/>
        <w:spacing w:before="0" w:beforeAutospacing="0" w:after="0" w:afterAutospacing="0"/>
        <w:ind w:leftChars="0" w:right="0" w:rightChars="0"/>
        <w:jc w:val="both"/>
        <w:rPr>
          <w:rFonts w:hint="eastAsia"/>
          <w:lang w:val="en-US" w:eastAsia="zh-CN"/>
        </w:rPr>
      </w:pPr>
    </w:p>
    <w:p w14:paraId="16E0C071">
      <w:pPr>
        <w:keepNext w:val="0"/>
        <w:keepLines w:val="0"/>
        <w:widowControl w:val="0"/>
        <w:numPr>
          <w:ilvl w:val="0"/>
          <w:numId w:val="0"/>
        </w:numPr>
        <w:suppressLineNumbers w:val="0"/>
        <w:spacing w:before="0" w:beforeAutospacing="0" w:after="0" w:afterAutospacing="0"/>
        <w:ind w:leftChars="0" w:right="0" w:rightChars="0"/>
        <w:jc w:val="both"/>
        <w:rPr>
          <w:rFonts w:hint="eastAsia"/>
          <w:lang w:val="en-US" w:eastAsia="zh-CN"/>
        </w:rPr>
      </w:pPr>
    </w:p>
    <w:p w14:paraId="74F0CD48">
      <w:pPr>
        <w:keepNext w:val="0"/>
        <w:keepLines w:val="0"/>
        <w:widowControl w:val="0"/>
        <w:numPr>
          <w:ilvl w:val="0"/>
          <w:numId w:val="1"/>
        </w:numPr>
        <w:suppressLineNumbers w:val="0"/>
        <w:spacing w:before="0" w:beforeAutospacing="0" w:after="0" w:afterAutospacing="0"/>
        <w:ind w:left="0" w:leftChars="0" w:right="0" w:rightChars="0" w:firstLine="0" w:firstLineChars="0"/>
        <w:jc w:val="both"/>
        <w:rPr>
          <w:rFonts w:hint="eastAsia"/>
          <w:lang w:val="en-US" w:eastAsia="zh-CN"/>
        </w:rPr>
      </w:pPr>
      <w:r>
        <w:rPr>
          <w:rFonts w:hint="eastAsia"/>
          <w:lang w:val="en-US" w:eastAsia="zh-CN"/>
        </w:rPr>
        <w:t>待收集证据</w:t>
      </w:r>
    </w:p>
    <w:p w14:paraId="53E7CE80">
      <w:pPr>
        <w:keepNext w:val="0"/>
        <w:keepLines w:val="0"/>
        <w:widowControl w:val="0"/>
        <w:numPr>
          <w:ilvl w:val="0"/>
          <w:numId w:val="3"/>
        </w:numPr>
        <w:suppressLineNumbers w:val="0"/>
        <w:spacing w:before="0" w:beforeAutospacing="0" w:after="0" w:afterAutospacing="0"/>
        <w:ind w:leftChars="0" w:right="0" w:rightChars="0"/>
        <w:jc w:val="both"/>
        <w:rPr>
          <w:rFonts w:hint="default"/>
          <w:lang w:val="en-US" w:eastAsia="zh-CN"/>
        </w:rPr>
      </w:pPr>
      <w:r>
        <w:rPr>
          <w:rFonts w:hint="eastAsia"/>
          <w:lang w:val="en-US" w:eastAsia="zh-CN"/>
        </w:rPr>
        <w:t>与安庆汤米人力资源有限公司及</w:t>
      </w:r>
      <w:r>
        <w:rPr>
          <w:rFonts w:hint="default"/>
          <w:lang w:val="en-US" w:eastAsia="zh-CN"/>
        </w:rPr>
        <w:t>上海比路电子股份有限公司</w:t>
      </w:r>
      <w:r>
        <w:rPr>
          <w:rFonts w:hint="eastAsia"/>
          <w:lang w:val="en-US" w:eastAsia="zh-CN"/>
        </w:rPr>
        <w:t>签订的相关合同。</w:t>
      </w:r>
    </w:p>
    <w:p w14:paraId="046DAC59">
      <w:pPr>
        <w:keepNext w:val="0"/>
        <w:keepLines w:val="0"/>
        <w:widowControl w:val="0"/>
        <w:numPr>
          <w:ilvl w:val="0"/>
          <w:numId w:val="3"/>
        </w:numPr>
        <w:suppressLineNumbers w:val="0"/>
        <w:spacing w:before="0" w:beforeAutospacing="0" w:after="0" w:afterAutospacing="0"/>
        <w:ind w:leftChars="0" w:right="0" w:rightChars="0"/>
        <w:jc w:val="both"/>
        <w:rPr>
          <w:rFonts w:hint="default"/>
          <w:lang w:val="en-US" w:eastAsia="zh-CN"/>
        </w:rPr>
      </w:pPr>
      <w:r>
        <w:rPr>
          <w:rFonts w:hint="eastAsia"/>
          <w:lang w:val="en-US" w:eastAsia="zh-CN"/>
        </w:rPr>
        <w:t>如没有体检报告，是否有其它能够证明张锐</w:t>
      </w:r>
      <w:bookmarkStart w:id="0" w:name="_GoBack"/>
      <w:bookmarkEnd w:id="0"/>
      <w:r>
        <w:rPr>
          <w:rFonts w:hint="eastAsia"/>
          <w:lang w:val="en-US" w:eastAsia="zh-CN"/>
        </w:rPr>
        <w:t>在入职后因该公司的加班要求导致身体健康状况恶化的相关证据。</w:t>
      </w:r>
    </w:p>
    <w:p w14:paraId="1CFFA244">
      <w:pPr>
        <w:keepNext w:val="0"/>
        <w:keepLines w:val="0"/>
        <w:widowControl w:val="0"/>
        <w:numPr>
          <w:ilvl w:val="0"/>
          <w:numId w:val="3"/>
        </w:numPr>
        <w:suppressLineNumbers w:val="0"/>
        <w:spacing w:before="0" w:beforeAutospacing="0" w:after="0" w:afterAutospacing="0"/>
        <w:ind w:leftChars="0" w:right="0" w:rightChars="0"/>
        <w:jc w:val="both"/>
        <w:rPr>
          <w:rFonts w:hint="default"/>
          <w:lang w:val="en-US" w:eastAsia="zh-CN"/>
        </w:rPr>
      </w:pPr>
      <w:r>
        <w:rPr>
          <w:rFonts w:hint="eastAsia"/>
          <w:lang w:val="en-US" w:eastAsia="zh-CN"/>
        </w:rPr>
        <w:t>入职前的体检报告与入职后至死亡前的体检报告。</w:t>
      </w:r>
    </w:p>
    <w:p w14:paraId="4C72C075">
      <w:pPr>
        <w:keepNext w:val="0"/>
        <w:keepLines w:val="0"/>
        <w:widowControl w:val="0"/>
        <w:numPr>
          <w:ilvl w:val="0"/>
          <w:numId w:val="3"/>
        </w:numPr>
        <w:suppressLineNumbers w:val="0"/>
        <w:spacing w:before="0" w:beforeAutospacing="0" w:after="0" w:afterAutospacing="0"/>
        <w:ind w:leftChars="0" w:right="0" w:rightChars="0"/>
        <w:jc w:val="both"/>
        <w:rPr>
          <w:rFonts w:hint="default"/>
          <w:lang w:val="en-US" w:eastAsia="zh-CN"/>
        </w:rPr>
      </w:pPr>
      <w:r>
        <w:rPr>
          <w:rFonts w:hint="eastAsia"/>
          <w:lang w:val="en-US" w:eastAsia="zh-CN"/>
        </w:rPr>
        <w:t>张锐处于高度疲劳状态向上海比路电子股份有限公司提出的请假申请（书面请假条或者相关聊天记录）。</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TSong">
    <w:panose1 w:val="02010600040101010101"/>
    <w:charset w:val="86"/>
    <w:family w:val="auto"/>
    <w:pitch w:val="default"/>
    <w:sig w:usb0="80000287" w:usb1="280F3C52" w:usb2="00000016" w:usb3="00000000" w:csb0="0004001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CFB9C8"/>
    <w:multiLevelType w:val="singleLevel"/>
    <w:tmpl w:val="BFCFB9C8"/>
    <w:lvl w:ilvl="0" w:tentative="0">
      <w:start w:val="1"/>
      <w:numFmt w:val="decimal"/>
      <w:suff w:val="nothing"/>
      <w:lvlText w:val="%1、"/>
      <w:lvlJc w:val="left"/>
    </w:lvl>
  </w:abstractNum>
  <w:abstractNum w:abstractNumId="1">
    <w:nsid w:val="E3EDD236"/>
    <w:multiLevelType w:val="singleLevel"/>
    <w:tmpl w:val="E3EDD236"/>
    <w:lvl w:ilvl="0" w:tentative="0">
      <w:start w:val="1"/>
      <w:numFmt w:val="decimal"/>
      <w:suff w:val="nothing"/>
      <w:lvlText w:val="（%1）"/>
      <w:lvlJc w:val="left"/>
    </w:lvl>
  </w:abstractNum>
  <w:abstractNum w:abstractNumId="2">
    <w:nsid w:val="FF7EB2F3"/>
    <w:multiLevelType w:val="singleLevel"/>
    <w:tmpl w:val="FF7EB2F3"/>
    <w:lvl w:ilvl="0" w:tentative="0">
      <w:start w:val="2"/>
      <w:numFmt w:val="decimal"/>
      <w:suff w:val="nothing"/>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FB79864"/>
    <w:rsid w:val="3CBF95B7"/>
    <w:rsid w:val="3FD75FC0"/>
    <w:rsid w:val="4FDDA564"/>
    <w:rsid w:val="6D5F133D"/>
    <w:rsid w:val="6EF9B356"/>
    <w:rsid w:val="DFB79864"/>
    <w:rsid w:val="EFFF04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Lines="0" w:beforeAutospacing="0" w:afterLines="0" w:afterAutospacing="0" w:line="240" w:lineRule="auto"/>
      <w:outlineLvl w:val="0"/>
    </w:pPr>
    <w:rPr>
      <w:rFonts w:eastAsia="STSong" w:asciiTheme="minorAscii" w:hAnsiTheme="minorAscii"/>
      <w:b/>
      <w:kern w:val="44"/>
      <w:sz w:val="36"/>
    </w:rPr>
  </w:style>
  <w:style w:type="paragraph" w:styleId="3">
    <w:name w:val="heading 2"/>
    <w:basedOn w:val="1"/>
    <w:next w:val="1"/>
    <w:semiHidden/>
    <w:unhideWhenUsed/>
    <w:qFormat/>
    <w:uiPriority w:val="0"/>
    <w:pPr>
      <w:keepNext/>
      <w:keepLines/>
      <w:spacing w:beforeLines="0" w:beforeAutospacing="0" w:afterLines="0" w:afterAutospacing="0" w:line="240" w:lineRule="auto"/>
      <w:outlineLvl w:val="1"/>
    </w:pPr>
    <w:rPr>
      <w:rFonts w:ascii="Arial" w:hAnsi="Arial" w:eastAsia="STSong"/>
      <w:b/>
      <w:sz w:val="32"/>
    </w:rPr>
  </w:style>
  <w:style w:type="paragraph" w:styleId="4">
    <w:name w:val="heading 3"/>
    <w:basedOn w:val="1"/>
    <w:next w:val="1"/>
    <w:semiHidden/>
    <w:unhideWhenUsed/>
    <w:qFormat/>
    <w:uiPriority w:val="0"/>
    <w:pPr>
      <w:keepNext/>
      <w:keepLines/>
      <w:spacing w:beforeLines="0" w:beforeAutospacing="0" w:afterLines="0" w:afterAutospacing="0" w:line="240" w:lineRule="auto"/>
      <w:outlineLvl w:val="2"/>
    </w:pPr>
    <w:rPr>
      <w:rFonts w:eastAsia="STSong" w:asciiTheme="minorAscii" w:hAnsiTheme="minorAscii"/>
      <w:b/>
      <w:sz w:val="30"/>
    </w:rPr>
  </w:style>
  <w:style w:type="paragraph" w:styleId="5">
    <w:name w:val="heading 4"/>
    <w:basedOn w:val="1"/>
    <w:next w:val="1"/>
    <w:semiHidden/>
    <w:unhideWhenUsed/>
    <w:qFormat/>
    <w:uiPriority w:val="0"/>
    <w:pPr>
      <w:keepNext/>
      <w:keepLines/>
      <w:snapToGrid w:val="0"/>
      <w:spacing w:beforeLines="0" w:beforeAutospacing="0" w:afterLines="0" w:afterAutospacing="0" w:line="240" w:lineRule="auto"/>
      <w:outlineLvl w:val="3"/>
    </w:pPr>
    <w:rPr>
      <w:rFonts w:ascii="Arial" w:hAnsi="Arial" w:eastAsia="STSong"/>
      <w:b/>
      <w:sz w:val="28"/>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1</Lines>
  <Paragraphs>1</Paragraphs>
  <TotalTime>2</TotalTime>
  <ScaleCrop>false</ScaleCrop>
  <LinksUpToDate>false</LinksUpToDate>
  <CharactersWithSpaces>0</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2025-06-20T02:10:00Z</dcterms:created>
  <dc:creator>社会主义好青年</dc:creator>
  <cp:lastModifiedBy>社会主义好青年</cp:lastModifiedBy>
  <dcterms:modified xsi:type="dcterms:W3CDTF">2025-06-19T19:07:50Z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60A43D0AA6ECB54128E25368E97DBC5F_41</vt:lpwstr>
  </property>
</Properties>
</file>