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4"/>
          <w:szCs w:val="44"/>
          <w:rtl w:val="0"/>
        </w:rPr>
        <w:t xml:space="preserve">FlexMQ — Consolidated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1" w:sz="6" w:val="single"/>
        </w:pBdr>
        <w:spacing w:after="4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Synthesized from AI model reviews of the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 Strengths &amp; Wins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Package split: @flexmq/client + @flexmq/worker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Splitting the client and worker into separate packages is excellent architecture. Producers only need a tiny bundle to serialize JSON and fire Redis commands — no Deno.Command, no Web Worker isolates, no graceful shutdown logic. This is a critical advantage for edge and API environments where bundle size matters.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Single QueueClient with typed QueueMap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Using a single central QueueClient&lt;QueueMap&gt; instead of per-queue instances is cleaner than BullMQ and significantly reduces Redis connection bloat. The centralized AppQueues registry acts as an ironclad contract between producers and consumers — if a payload shape changes, TypeScript flags errors immediately on both sides. This end-to-end type safety is a primary selling point.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Deno permission scoping per executor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three-tier executor model (Inline → Web Worker → Subprocess) with per-job-type Deno permission scoping is a genuine differentiator over BullMQ. An image worker getting write access to /tmp and a single S3 endpoint — nothing else — is exactly the kind of Deno-native capability that justifies building for this runtime.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Namespaced queue IDs &amp; Redis hash tags</w:t>
      </w:r>
    </w:p>
    <w:p w:rsidR="00000000" w:rsidDel="00000000" w:rsidP="00000000" w:rsidRDefault="00000000" w:rsidRPr="00000000" w14:paraId="0000000B">
      <w:pPr>
        <w:pBdr>
          <w:bottom w:color="dddddd" w:space="1" w:sz="4" w:val="single"/>
        </w:pBdr>
        <w:spacing w:after="320" w:lineRule="auto"/>
        <w:rPr/>
      </w:pPr>
      <w:r w:rsidDel="00000000" w:rsidR="00000000" w:rsidRPr="00000000">
        <w:rPr>
          <w:rtl w:val="0"/>
        </w:rPr>
        <w:t xml:space="preserve">Namespaced queue IDs (e.g. images:process) align naturally with Redis hash tags and reinforce the mental model that one queue = one workload class. The proactive enforcement of cluster-safe key design from day one is the right call — retrofitting it later would be painful.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⚠️  Problems &amp; Risks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Missing per-queue configuration on QueueClient</w:t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tl w:val="0"/>
        </w:rPr>
        <w:t xml:space="preserve">This is the most consistently raised concern. With BullMQ you pass defaultJobOptions when instantiating a Queue. With a single QueueClient there is currently no clear place to define per-queue defaults (retry attempts, backoff, removeOnComplete, rate limits, etc.). Developers should not have to pass these on every .add() call.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Recommended: support a config map keyed by queue ID on the client constructor, or a client.queue(queueId) accessor that returns a queue-scoped sub-client.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Dynamic / runtime-defined queues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A strict TypeScript registry (keyof AppQueues) assumes all queue names are known at compile time. This makes tenant-specific or dynamically generated queues (e.g. tenant_123_emails) very difficult to handle. An escape hatch is needed — for example, a loosely-typed dynamic prefix pattern alongside the strict registry.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Type registry scaling in large codebases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A single shared types.ts file becomes a Git merge conflict hotspot as the number of job types grows. Document or enforce a modular approach — TypeScript interface merging lets different domains define their own queues independently and merge them into AppQueues at the entry point.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QueueClient throughput ceiling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A single multiplexed Redis connection conserves resources in the common case, but can become a bottleneck under high throughput (many queues, many concurrent adds). This is unlikely to matter for most users, but should be documented as a known limitation with guidance on when to consider connection pooling or sharding.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Head-of-line blocking with mixed job types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The 1-worker-per-queue model is correct and BullMQ-aligned, but users will inevitably try to put multiple unrelated job types into one queue. This causes head-of-line blocking and messy concurrency tuning. The documentation should strongly reinforce: queueId = workload class. Each logically distinct job type should be its own queue.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Runtime validation / schema enforcement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TypeScript types are erased at runtime. Under deploy skew, retries from old code, or serialization edge cases, the type guarantee breaks down silently. Consider optional per-queue schema validators (zod / valibot) on both the producer and consumer side. This doesn't need to be in v0.1, but it should be a planned feature and the docs should acknowledge the gap.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Multi-worker shutdown coordination</w:t>
      </w:r>
    </w:p>
    <w:p w:rsidR="00000000" w:rsidDel="00000000" w:rsidP="00000000" w:rsidRDefault="00000000" w:rsidRPr="00000000" w14:paraId="0000001B">
      <w:pPr>
        <w:pBdr>
          <w:bottom w:color="dddddd" w:space="1" w:sz="4" w:val="single"/>
        </w:pBdr>
        <w:spacing w:after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Graceful shutdown across mixed executor types (inline + web worker + subprocess) in a single process could get complex. Ensure the shutdown sequence is well-specified: stop claiming → drain in-flight per executor type → hard-kill after timeout. The two-phase approach in the spec is correct; make sure the implementation enforces it strictly.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💡  Recommendations &amp; Ideas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API ergonomics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client.queue(queueId) as a queue-scoped accessor for defaults (attempts, backoff, removeOnComplete, rate limits).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client.createWorker(queueId, processor) as sugar over standalone new Worker&lt;…&gt;() — still fully typed, but reduces boilerplate.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a declarative multi-worker registration pattern so all workers and their executors can be defined in one place.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QueueMap to carry per-queue option defaults as metadata: { data: JobData; options?: { maxRetries?: number; priority?: number } }.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Enum-like queue IDs via as const + branded string types would eliminate typos at the call site without adding complexity to the registry.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Payload versioning &amp; migrations</w:t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  <w:t xml:space="preserve">Infrastructure cannot enforce payload versioning — document best practices clearly: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compatible evolution: add a v field to the payload and branch in the processor.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breaking changes: new queue ID (images.v2) + drain and sunset the old queue.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first-class migration helpers: pause/resume, drain, and a "jobs remaining" metric. These make the recommended migration pattern actionable.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Type safety hardening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Runtime JSON validation on queue.add() is already planned — good. Extend this to the consumer side as an optional opt-in (pass a schema to the Worker constructor). Log a warning rather than throwing if validation fails in production, to avoid breaking live jobs.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Deno permission profiles as a first-class concept</w:t>
      </w:r>
    </w:p>
    <w:p w:rsidR="00000000" w:rsidDel="00000000" w:rsidP="00000000" w:rsidRDefault="00000000" w:rsidRPr="00000000" w14:paraId="0000002B">
      <w:pPr>
        <w:pBdr>
          <w:bottom w:color="dddddd" w:space="1" w:sz="4" w:val="single"/>
        </w:pBdr>
        <w:spacing w:after="320" w:lineRule="auto"/>
        <w:rPr/>
      </w:pPr>
      <w:r w:rsidDel="00000000" w:rsidR="00000000" w:rsidRPr="00000000">
        <w:rPr>
          <w:rtl w:val="0"/>
        </w:rPr>
        <w:t xml:space="preserve">Since queueId already maps to a workload class, it naturally maps to a permission profile too. Lean into this in the docs: an images worker gets FS/net; an emails worker gets only net. This reinforces the recommended ops pattern and makes FlexMQ's Deno story more concrete to potential users.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 Open Questions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vs. multi-queue worker instances — is the convenience API worth the added complexity, or should the spec firmly recommend 1 worker process per queue?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does per-queue configuration live: client constructor map, client.queue() accessor, Worker constructor, or all three?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escape hatch for dynamic / runtime-defined queue names, and how does it interact with the typed registry?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Runtime validation story: optional per-queue schema validators, or a separate @flexmq/validation package?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adapter extraction: the spec says "build Redis first, then derive the interface." What is the trigger for starting that extraction — first alternative backend request, or a defined milestone?</w:t>
      </w:r>
    </w:p>
    <w:p w:rsidR="00000000" w:rsidDel="00000000" w:rsidP="00000000" w:rsidRDefault="00000000" w:rsidRPr="00000000" w14:paraId="00000032">
      <w:pPr>
        <w:pBdr>
          <w:top w:color="dddddd" w:space="6" w:sz="4" w:val="single"/>
        </w:pBdr>
        <w:spacing w:before="480" w:lineRule="auto"/>
        <w:rPr/>
      </w:pPr>
      <w:r w:rsidDel="00000000" w:rsidR="00000000" w:rsidRPr="00000000">
        <w:rPr>
          <w:i w:val="1"/>
          <w:iCs w:val="1"/>
          <w:color w:val="999999"/>
          <w:sz w:val="18"/>
          <w:szCs w:val="18"/>
          <w:rtl w:val="0"/>
        </w:rPr>
        <w:t xml:space="preserve">Feedback synthesized from Grok, Gemini, and GPT model reviews of the FlexMQ specification.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6213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