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https://dbdiagram.io/d/TER-BD_AMCDrinks-Database-67045872fb079c7ebda709ad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BD_AMCDrinks Database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Table Precios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Brand INT [pk]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Description VARCHAR(200)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Price DECIMAL(10,2)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Size VARCHAR(200)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Volume 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Classification 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PurchasePrice DECIMAL(10,2)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VendorNumber INT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VendorName VARCHAR(200)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Table OrdenesCompra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PONumber INT [pk]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VendorNumber INT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VendorName VARCHAR(200)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InvoiceDate DATE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PODate DATE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PayDate DATE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Quantity INT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Dollars DECIMAL(10,2)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Freight DECIMAL(10,2)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Approval VARCHAR(200)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Table InventarioInicial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InventoryId VARCHAR(50) [pk]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Store INT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City VARCHAR(50)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Brand INT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Description VARCHAR(200)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Size VARCHAR(200)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onHand INT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Price DECIMAL(10,2)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startDate DATE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Table InventarioFinal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InventoryId VARCHAR(50) [pk]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Store INT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City VARCHAR(50)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Brand INT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Description VARCHAR(200)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Size VARCHAR(200)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onHand INT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Price DECIMAL(10,2)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endDate DATE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Table Compras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Id_Compras INT [pk, increment]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InventoryId VARCHAR(50)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Store INT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Brand INT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Description VARCHAR(200)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Size VARCHAR(200)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VendorNumber INT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VendorName VARCHAR(200)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PONumber INT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PODate DATE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ReceivingDate DATE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InvoiceDate DATE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PayDate DATE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PurchasePrice DECIMAL(10,2)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Quantity INT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Dollars DECIMAL(10,2)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Classification VARCHAR(50)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Table Ventas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Id_Ventas INT [pk, increment]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InventoryId VARCHAR(50)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Store INT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Brand INT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Description VARCHAR(200)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Size VARCHAR(200)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SalesQuantity INT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SalesDollars DECIMAL(10,2)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SalesPrice DECIMAL(10,2)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SalesDate DATE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Volume INT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Classification VARCHAR(50)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ExciseTax DECIMAL(10,2)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VendorNo INT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VendorName VARCHAR(200)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Relationships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Ref: Compras.PONumber &gt; OrdenesCompra.PONumber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Ref: Compras.Brand &gt; Precios.Brand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Ref: Compras.InventoryId &gt; InventarioInicial.InventoryId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Ref: Ventas.InventoryId &gt; InventarioFinal.InventoryId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Ref: Ventas.Brand &gt; Precios.Brand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Ref: InventarioInicial.Brand &gt; Precios.Brand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Ref: InventarioFinal.Brand &gt; Precios.Brand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bdiagram.io/d/TER-BD_AMCDrinks-Database-67045872fb079c7ebda709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