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6A2D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多视角目标检测</w:t>
      </w:r>
    </w:p>
    <w:p w14:paraId="2E58D6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OpenBox</w:t>
      </w:r>
    </w:p>
    <w:p w14:paraId="5CD583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0500" cy="2384425"/>
            <wp:effectExtent l="0" t="0" r="6350" b="635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84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05E3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</w:t>
      </w:r>
      <w:r>
        <w:rPr>
          <w:rFonts w:hint="default"/>
          <w:lang w:val="en-US" w:eastAsia="zh-CN"/>
        </w:rPr>
        <w:t>OV-SCAN</w:t>
      </w:r>
    </w:p>
    <w:p w14:paraId="3A8EB9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56530" cy="2577465"/>
            <wp:effectExtent l="0" t="0" r="1270" b="381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577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6C623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BoxFusion</w:t>
      </w:r>
      <w:r>
        <w:rPr>
          <w:rFonts w:hint="default"/>
          <w:lang w:val="en-US" w:eastAsia="zh-CN"/>
        </w:rPr>
        <w:t> </w:t>
      </w:r>
    </w:p>
    <w:p w14:paraId="3CDE49C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5420" cy="2051050"/>
            <wp:effectExtent l="0" t="0" r="1905" b="635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051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Group3D</w:t>
      </w:r>
      <w:r>
        <w:rPr>
          <w:rFonts w:hint="default"/>
          <w:lang w:val="en-US" w:eastAsia="zh-CN"/>
        </w:rPr>
        <w:t> </w:t>
      </w:r>
    </w:p>
    <w:p w14:paraId="7F0D1A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2880" cy="3787140"/>
            <wp:effectExtent l="0" t="0" r="4445" b="381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787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07AB52">
      <w:pPr>
        <w:rPr>
          <w:rFonts w:hint="eastAsia"/>
          <w:lang w:val="en-US" w:eastAsia="zh-CN"/>
        </w:rPr>
      </w:pPr>
    </w:p>
    <w:p w14:paraId="6BF508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Zoo3D</w:t>
      </w:r>
    </w:p>
    <w:p w14:paraId="79BF11B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6055" cy="1303020"/>
            <wp:effectExtent l="0" t="0" r="1270" b="1905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303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5A462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Openm3d</w:t>
      </w:r>
    </w:p>
    <w:p w14:paraId="02EA513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无代码</w:t>
      </w:r>
    </w:p>
    <w:p w14:paraId="2E25881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7960" cy="1972945"/>
            <wp:effectExtent l="0" t="0" r="8890" b="8255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72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C1957C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SToRe3D</w:t>
      </w:r>
    </w:p>
    <w:p w14:paraId="57C2151A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nuScenes 3D 检测基准测试集</w:t>
      </w:r>
    </w:p>
    <w:p w14:paraId="25ADDF4D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8 个×A100 GPU 上训练 24 个 epoch（批大小为 16）。在单块 RTX3090 显卡上，以批次大小 1 测量推理延迟</w:t>
      </w:r>
    </w:p>
    <w:p w14:paraId="35D2F703">
      <w:pP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2"/>
          <w:szCs w:val="12"/>
          <w:shd w:val="clear" w:fill="FFFFFF"/>
        </w:rPr>
      </w:pPr>
    </w:p>
    <w:p w14:paraId="7301431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55260" cy="2961005"/>
            <wp:effectExtent l="0" t="0" r="0" b="0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2961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6E83DE">
      <w:pPr>
        <w:rPr>
          <w:rFonts w:ascii="宋体" w:hAnsi="宋体" w:eastAsia="宋体" w:cs="宋体"/>
          <w:sz w:val="24"/>
          <w:szCs w:val="24"/>
        </w:rPr>
      </w:pPr>
    </w:p>
    <w:p w14:paraId="7FCBC229">
      <w:p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SMOV3D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default" w:ascii="宋体" w:hAnsi="宋体" w:eastAsia="宋体" w:cs="宋体"/>
          <w:sz w:val="24"/>
          <w:szCs w:val="24"/>
        </w:rPr>
        <w:t>Sparse Multiview Open-Vocabulary 3D Detection</w:t>
      </w:r>
    </w:p>
    <w:p w14:paraId="104C443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无代码</w:t>
      </w:r>
    </w:p>
    <w:p w14:paraId="582F4BDB">
      <w:r>
        <w:drawing>
          <wp:inline distT="0" distB="0" distL="114300" distR="114300">
            <wp:extent cx="5269230" cy="2437765"/>
            <wp:effectExtent l="0" t="0" r="762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EA723">
      <w:pPr>
        <w:rPr>
          <w:rFonts w:hint="eastAsia" w:ascii="Arial" w:hAnsi="Arial" w:eastAsia="宋体" w:cstheme="minorBidi"/>
          <w:b/>
          <w:bCs w:val="0"/>
          <w:kern w:val="2"/>
          <w:sz w:val="28"/>
          <w:szCs w:val="24"/>
          <w:lang w:val="en-US" w:eastAsia="zh-CN" w:bidi="ar-SA"/>
        </w:rPr>
      </w:pPr>
      <w:r>
        <w:rPr>
          <w:rFonts w:hint="eastAsia" w:ascii="Arial" w:hAnsi="Arial" w:eastAsia="宋体" w:cstheme="minorBidi"/>
          <w:b/>
          <w:bCs w:val="0"/>
          <w:kern w:val="2"/>
          <w:sz w:val="28"/>
          <w:szCs w:val="24"/>
          <w:lang w:val="en-US" w:eastAsia="zh-CN" w:bidi="ar-SA"/>
        </w:rPr>
        <w:t>SGCDet</w:t>
      </w:r>
    </w:p>
    <w:p w14:paraId="51EADF52"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3515" cy="3491230"/>
            <wp:effectExtent l="0" t="0" r="3810" b="4445"/>
            <wp:docPr id="21" name="图片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4912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00C14F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BB6D74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Group3D</w:t>
      </w:r>
    </w:p>
    <w:p w14:paraId="1FBEEAD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cd /data/ZhaoX/Group3D</w:t>
      </w:r>
    </w:p>
    <w:p w14:paraId="277B510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conda activate /data/ZhaoX/Group3D/.conda/envs/group3d</w:t>
      </w:r>
    </w:p>
    <w:p w14:paraId="43EBCC3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4B51E0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export LD_LIBRARY_PATH=/data/ZhaoX/Group3D/.conda/envs/group3d/lib:/data/ZhaoX/Group3D/.conda/envs/group3d/lib/python3.12/site-packages/nvidia/cuda_runtime/lib:$LD_LIBRARY_PATH</w:t>
      </w:r>
    </w:p>
    <w:p w14:paraId="580F22F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复现结果：</w:t>
      </w:r>
    </w:p>
    <w:p w14:paraId="4B78CAA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762EA7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Group3D：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5"/>
        <w:gridCol w:w="665"/>
        <w:gridCol w:w="680"/>
      </w:tblGrid>
      <w:tr w14:paraId="24A9E5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34681E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ScanNet20 pose-free</w:t>
            </w:r>
          </w:p>
        </w:tc>
        <w:tc>
          <w:tcPr>
            <w:tcW w:w="0" w:type="auto"/>
            <w:shd w:val="clear"/>
            <w:vAlign w:val="center"/>
          </w:tcPr>
          <w:p w14:paraId="0E191D7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mAP25</w:t>
            </w:r>
          </w:p>
        </w:tc>
        <w:tc>
          <w:tcPr>
            <w:tcW w:w="0" w:type="auto"/>
            <w:shd w:val="clear"/>
            <w:vAlign w:val="center"/>
          </w:tcPr>
          <w:p w14:paraId="3AC9E08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mAP50</w:t>
            </w:r>
          </w:p>
        </w:tc>
      </w:tr>
      <w:tr w14:paraId="581662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D63B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论文：GPT-5.1</w:t>
            </w:r>
          </w:p>
        </w:tc>
        <w:tc>
          <w:tcPr>
            <w:tcW w:w="0" w:type="auto"/>
            <w:shd w:val="clear"/>
            <w:vAlign w:val="center"/>
          </w:tcPr>
          <w:p w14:paraId="5304C8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41.20</w:t>
            </w:r>
          </w:p>
        </w:tc>
        <w:tc>
          <w:tcPr>
            <w:tcW w:w="0" w:type="auto"/>
            <w:shd w:val="clear"/>
            <w:vAlign w:val="center"/>
          </w:tcPr>
          <w:p w14:paraId="594471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18.50</w:t>
            </w:r>
          </w:p>
        </w:tc>
      </w:tr>
      <w:tr w14:paraId="70BEC7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90DA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论文消融：Qwen3-VL-8B</w:t>
            </w:r>
          </w:p>
        </w:tc>
        <w:tc>
          <w:tcPr>
            <w:tcW w:w="0" w:type="auto"/>
            <w:shd w:val="clear"/>
            <w:vAlign w:val="center"/>
          </w:tcPr>
          <w:p w14:paraId="040456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38.50</w:t>
            </w:r>
          </w:p>
        </w:tc>
        <w:tc>
          <w:tcPr>
            <w:tcW w:w="0" w:type="auto"/>
            <w:shd w:val="clear"/>
            <w:vAlign w:val="center"/>
          </w:tcPr>
          <w:p w14:paraId="049696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16.90</w:t>
            </w:r>
          </w:p>
        </w:tc>
      </w:tr>
      <w:tr w14:paraId="4EC0DF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A2D5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当前：Qwen2.5-VL-7B</w:t>
            </w:r>
          </w:p>
        </w:tc>
        <w:tc>
          <w:tcPr>
            <w:tcW w:w="0" w:type="auto"/>
            <w:shd w:val="clear"/>
            <w:vAlign w:val="center"/>
          </w:tcPr>
          <w:p w14:paraId="0B24B4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34.61</w:t>
            </w:r>
          </w:p>
        </w:tc>
        <w:tc>
          <w:tcPr>
            <w:tcW w:w="0" w:type="auto"/>
            <w:shd w:val="clear"/>
            <w:vAlign w:val="center"/>
          </w:tcPr>
          <w:p w14:paraId="364C27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14.80</w:t>
            </w:r>
          </w:p>
        </w:tc>
      </w:tr>
      <w:tr w14:paraId="345CF3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BF25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相比论文主结果</w:t>
            </w:r>
          </w:p>
        </w:tc>
        <w:tc>
          <w:tcPr>
            <w:tcW w:w="0" w:type="auto"/>
            <w:shd w:val="clear"/>
            <w:vAlign w:val="center"/>
          </w:tcPr>
          <w:p w14:paraId="79EB9E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-6.59</w:t>
            </w:r>
          </w:p>
        </w:tc>
        <w:tc>
          <w:tcPr>
            <w:tcW w:w="0" w:type="auto"/>
            <w:shd w:val="clear"/>
            <w:vAlign w:val="center"/>
          </w:tcPr>
          <w:p w14:paraId="73C56E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-3.70</w:t>
            </w:r>
          </w:p>
        </w:tc>
      </w:tr>
      <w:tr w14:paraId="495D8B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2BC5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相比 Qwen3 消融</w:t>
            </w:r>
          </w:p>
        </w:tc>
        <w:tc>
          <w:tcPr>
            <w:tcW w:w="0" w:type="auto"/>
            <w:shd w:val="clear"/>
            <w:vAlign w:val="center"/>
          </w:tcPr>
          <w:p w14:paraId="23091F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-3.89</w:t>
            </w:r>
          </w:p>
        </w:tc>
        <w:tc>
          <w:tcPr>
            <w:tcW w:w="0" w:type="auto"/>
            <w:shd w:val="clear"/>
            <w:vAlign w:val="center"/>
          </w:tcPr>
          <w:p w14:paraId="672CFC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-2.10</w:t>
            </w:r>
          </w:p>
        </w:tc>
      </w:tr>
    </w:tbl>
    <w:p w14:paraId="385504C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3C848A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Boxfusion：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5"/>
        <w:gridCol w:w="665"/>
        <w:gridCol w:w="665"/>
        <w:gridCol w:w="680"/>
      </w:tblGrid>
      <w:tr w14:paraId="2D726A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E4C2A9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版本</w:t>
            </w:r>
          </w:p>
        </w:tc>
        <w:tc>
          <w:tcPr>
            <w:tcW w:w="0" w:type="auto"/>
            <w:shd w:val="clear"/>
            <w:vAlign w:val="center"/>
          </w:tcPr>
          <w:p w14:paraId="1245B20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AP15</w:t>
            </w:r>
          </w:p>
        </w:tc>
        <w:tc>
          <w:tcPr>
            <w:tcW w:w="0" w:type="auto"/>
            <w:shd w:val="clear"/>
            <w:vAlign w:val="center"/>
          </w:tcPr>
          <w:p w14:paraId="3EE7C88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AP25</w:t>
            </w:r>
          </w:p>
        </w:tc>
        <w:tc>
          <w:tcPr>
            <w:tcW w:w="0" w:type="auto"/>
            <w:shd w:val="clear"/>
            <w:vAlign w:val="center"/>
          </w:tcPr>
          <w:p w14:paraId="178F63B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AP50</w:t>
            </w:r>
          </w:p>
        </w:tc>
      </w:tr>
      <w:tr w14:paraId="54B375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727C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论文</w:t>
            </w:r>
          </w:p>
        </w:tc>
        <w:tc>
          <w:tcPr>
            <w:tcW w:w="0" w:type="auto"/>
            <w:shd w:val="clear"/>
            <w:vAlign w:val="center"/>
          </w:tcPr>
          <w:p w14:paraId="22A3B7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37.46</w:t>
            </w:r>
          </w:p>
        </w:tc>
        <w:tc>
          <w:tcPr>
            <w:tcW w:w="0" w:type="auto"/>
            <w:shd w:val="clear"/>
            <w:vAlign w:val="center"/>
          </w:tcPr>
          <w:p w14:paraId="7F80A4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31.36</w:t>
            </w:r>
          </w:p>
        </w:tc>
        <w:tc>
          <w:tcPr>
            <w:tcW w:w="0" w:type="auto"/>
            <w:shd w:val="clear"/>
            <w:vAlign w:val="center"/>
          </w:tcPr>
          <w:p w14:paraId="4B0CBD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13.41</w:t>
            </w:r>
          </w:p>
        </w:tc>
      </w:tr>
      <w:tr w14:paraId="5D2E01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8391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同一批框，score=1.0</w:t>
            </w:r>
          </w:p>
        </w:tc>
        <w:tc>
          <w:tcPr>
            <w:tcW w:w="0" w:type="auto"/>
            <w:shd w:val="clear"/>
            <w:vAlign w:val="center"/>
          </w:tcPr>
          <w:p w14:paraId="10A7B8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29.69</w:t>
            </w:r>
          </w:p>
        </w:tc>
        <w:tc>
          <w:tcPr>
            <w:tcW w:w="0" w:type="auto"/>
            <w:shd w:val="clear"/>
            <w:vAlign w:val="center"/>
          </w:tcPr>
          <w:p w14:paraId="17D3C5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24.83</w:t>
            </w:r>
          </w:p>
        </w:tc>
        <w:tc>
          <w:tcPr>
            <w:tcW w:w="0" w:type="auto"/>
            <w:shd w:val="clear"/>
            <w:vAlign w:val="center"/>
          </w:tcPr>
          <w:p w14:paraId="0AA687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7.70</w:t>
            </w:r>
          </w:p>
        </w:tc>
      </w:tr>
      <w:tr w14:paraId="42C756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7423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保留真实 score</w:t>
            </w:r>
          </w:p>
        </w:tc>
        <w:tc>
          <w:tcPr>
            <w:tcW w:w="0" w:type="auto"/>
            <w:shd w:val="clear"/>
            <w:vAlign w:val="center"/>
          </w:tcPr>
          <w:p w14:paraId="1A994A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32.53</w:t>
            </w:r>
          </w:p>
        </w:tc>
        <w:tc>
          <w:tcPr>
            <w:tcW w:w="0" w:type="auto"/>
            <w:shd w:val="clear"/>
            <w:vAlign w:val="center"/>
          </w:tcPr>
          <w:p w14:paraId="50DC6E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27.11</w:t>
            </w:r>
          </w:p>
        </w:tc>
        <w:tc>
          <w:tcPr>
            <w:tcW w:w="0" w:type="auto"/>
            <w:shd w:val="clear"/>
            <w:vAlign w:val="center"/>
          </w:tcPr>
          <w:p w14:paraId="401D36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9.46</w:t>
            </w:r>
          </w:p>
        </w:tc>
      </w:tr>
      <w:tr w14:paraId="701A72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A813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score 带来的净提升</w:t>
            </w:r>
          </w:p>
        </w:tc>
        <w:tc>
          <w:tcPr>
            <w:tcW w:w="0" w:type="auto"/>
            <w:shd w:val="clear"/>
            <w:vAlign w:val="center"/>
          </w:tcPr>
          <w:p w14:paraId="23139D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+2.84</w:t>
            </w:r>
          </w:p>
        </w:tc>
        <w:tc>
          <w:tcPr>
            <w:tcW w:w="0" w:type="auto"/>
            <w:shd w:val="clear"/>
            <w:vAlign w:val="center"/>
          </w:tcPr>
          <w:p w14:paraId="73A426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+2.29</w:t>
            </w:r>
          </w:p>
        </w:tc>
        <w:tc>
          <w:tcPr>
            <w:tcW w:w="0" w:type="auto"/>
            <w:shd w:val="clear"/>
            <w:vAlign w:val="center"/>
          </w:tcPr>
          <w:p w14:paraId="19C21B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+1.76</w:t>
            </w:r>
          </w:p>
        </w:tc>
      </w:tr>
      <w:tr w14:paraId="3BE45D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E969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距论文仍差</w:t>
            </w:r>
          </w:p>
        </w:tc>
        <w:tc>
          <w:tcPr>
            <w:tcW w:w="0" w:type="auto"/>
            <w:shd w:val="clear"/>
            <w:vAlign w:val="center"/>
          </w:tcPr>
          <w:p w14:paraId="1FCD6F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-4.93</w:t>
            </w:r>
          </w:p>
        </w:tc>
        <w:tc>
          <w:tcPr>
            <w:tcW w:w="0" w:type="auto"/>
            <w:shd w:val="clear"/>
            <w:vAlign w:val="center"/>
          </w:tcPr>
          <w:p w14:paraId="194CDC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-4.25</w:t>
            </w:r>
          </w:p>
        </w:tc>
        <w:tc>
          <w:tcPr>
            <w:tcW w:w="0" w:type="auto"/>
            <w:shd w:val="clear"/>
            <w:vAlign w:val="center"/>
          </w:tcPr>
          <w:p w14:paraId="2CAE17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-3.95</w:t>
            </w:r>
          </w:p>
        </w:tc>
      </w:tr>
    </w:tbl>
    <w:p w14:paraId="16752F0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329D4C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4"/>
        <w:gridCol w:w="3113"/>
        <w:gridCol w:w="4119"/>
      </w:tblGrid>
      <w:tr w14:paraId="2CEE1A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F4AE7E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模型</w:t>
            </w:r>
          </w:p>
        </w:tc>
        <w:tc>
          <w:tcPr>
            <w:tcW w:w="0" w:type="auto"/>
            <w:shd w:val="clear"/>
            <w:vAlign w:val="center"/>
          </w:tcPr>
          <w:p w14:paraId="7ED9BD6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实际赛道</w:t>
            </w:r>
          </w:p>
        </w:tc>
        <w:tc>
          <w:tcPr>
            <w:tcW w:w="0" w:type="auto"/>
            <w:shd w:val="clear"/>
            <w:vAlign w:val="center"/>
          </w:tcPr>
          <w:p w14:paraId="41517AE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能否和 Group3D 直接竞争</w:t>
            </w:r>
          </w:p>
        </w:tc>
      </w:tr>
      <w:tr w14:paraId="76BED4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272E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SMOV3D</w:t>
            </w:r>
          </w:p>
        </w:tc>
        <w:tc>
          <w:tcPr>
            <w:tcW w:w="0" w:type="auto"/>
            <w:shd w:val="clear"/>
            <w:vAlign w:val="center"/>
          </w:tcPr>
          <w:p w14:paraId="53EF9D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少量、已知位姿的 RGB 图像，training-free</w:t>
            </w:r>
          </w:p>
        </w:tc>
        <w:tc>
          <w:tcPr>
            <w:tcW w:w="0" w:type="auto"/>
            <w:shd w:val="clear"/>
            <w:vAlign w:val="center"/>
          </w:tcPr>
          <w:p w14:paraId="1F705E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只适合称“稀疏视角设置的强方法”，不能用稀疏视角表直接判定总体 SOTA</w:t>
            </w:r>
          </w:p>
        </w:tc>
      </w:tr>
      <w:tr w14:paraId="4F51EC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FF16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BoxFusion</w:t>
            </w:r>
          </w:p>
        </w:tc>
        <w:tc>
          <w:tcPr>
            <w:tcW w:w="0" w:type="auto"/>
            <w:shd w:val="clear"/>
            <w:vAlign w:val="center"/>
          </w:tcPr>
          <w:p w14:paraId="5490A8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在线、流式、已知位姿 RGB-D</w:t>
            </w:r>
          </w:p>
        </w:tc>
        <w:tc>
          <w:tcPr>
            <w:tcW w:w="0" w:type="auto"/>
            <w:shd w:val="clear"/>
            <w:vAlign w:val="center"/>
          </w:tcPr>
          <w:p w14:paraId="3F1CC3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论文只声称在线方法 SOTA，使用深度，输入条件更强</w:t>
            </w:r>
          </w:p>
        </w:tc>
      </w:tr>
      <w:tr w14:paraId="69F56C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9165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Zoo3D</w:t>
            </w:r>
          </w:p>
        </w:tc>
        <w:tc>
          <w:tcPr>
            <w:tcW w:w="0" w:type="auto"/>
            <w:shd w:val="clear"/>
            <w:vAlign w:val="center"/>
          </w:tcPr>
          <w:p w14:paraId="08E224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点云、已知位姿 RGB、无位姿 RGB 均支持</w:t>
            </w:r>
          </w:p>
        </w:tc>
        <w:tc>
          <w:tcPr>
            <w:tcW w:w="0" w:type="auto"/>
            <w:shd w:val="clear"/>
            <w:vAlign w:val="center"/>
          </w:tcPr>
          <w:p w14:paraId="2854C8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 Group3D 最重要的直接前任，但已被 Group3D 表格超过</w:t>
            </w:r>
          </w:p>
        </w:tc>
      </w:tr>
      <w:tr w14:paraId="211580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71CA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OpenM3D</w:t>
            </w:r>
          </w:p>
        </w:tc>
        <w:tc>
          <w:tcPr>
            <w:tcW w:w="0" w:type="auto"/>
            <w:shd w:val="clear"/>
            <w:vAlign w:val="center"/>
          </w:tcPr>
          <w:p w14:paraId="66A78C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已知位姿 RGB，使用伪标签训练单阶段检测器</w:t>
            </w:r>
          </w:p>
        </w:tc>
        <w:tc>
          <w:tcPr>
            <w:tcW w:w="0" w:type="auto"/>
            <w:shd w:val="clear"/>
            <w:vAlign w:val="center"/>
          </w:tcPr>
          <w:p w14:paraId="3553C8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速度快，但精度已低于 Zoo3D 和 Group3D</w:t>
            </w:r>
          </w:p>
        </w:tc>
      </w:tr>
      <w:tr w14:paraId="7D5669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B8C9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OV-SCAN</w:t>
            </w:r>
          </w:p>
        </w:tc>
        <w:tc>
          <w:tcPr>
            <w:tcW w:w="0" w:type="auto"/>
            <w:shd w:val="clear"/>
            <w:vAlign w:val="center"/>
          </w:tcPr>
          <w:p w14:paraId="060060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室外自动驾驶，LiDAR/相机，nuScenes、KITTI</w:t>
            </w:r>
          </w:p>
        </w:tc>
        <w:tc>
          <w:tcPr>
            <w:tcW w:w="0" w:type="auto"/>
            <w:shd w:val="clear"/>
            <w:vAlign w:val="center"/>
          </w:tcPr>
          <w:p w14:paraId="417C27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不属于室内多视角 RGB 赛道</w:t>
            </w:r>
          </w:p>
        </w:tc>
      </w:tr>
      <w:tr w14:paraId="303D95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62DD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OpenBox</w:t>
            </w:r>
          </w:p>
        </w:tc>
        <w:tc>
          <w:tcPr>
            <w:tcW w:w="0" w:type="auto"/>
            <w:shd w:val="clear"/>
            <w:vAlign w:val="center"/>
          </w:tcPr>
          <w:p w14:paraId="3C0973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室外自动驾驶伪框自动标注</w:t>
            </w:r>
          </w:p>
        </w:tc>
        <w:tc>
          <w:tcPr>
            <w:tcW w:w="0" w:type="auto"/>
            <w:shd w:val="clear"/>
            <w:vAlign w:val="center"/>
          </w:tcPr>
          <w:p w14:paraId="32F88F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更像伪标签生成器，不是同一检测榜单</w:t>
            </w:r>
          </w:p>
        </w:tc>
      </w:tr>
      <w:tr w14:paraId="188D0B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1E42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SToRe3D</w:t>
            </w:r>
          </w:p>
        </w:tc>
        <w:tc>
          <w:tcPr>
            <w:tcW w:w="0" w:type="auto"/>
            <w:shd w:val="clear"/>
            <w:vAlign w:val="center"/>
          </w:tcPr>
          <w:p w14:paraId="224E71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多视角 ViT 3D 检测的加速/稀疏化</w:t>
            </w:r>
          </w:p>
        </w:tc>
        <w:tc>
          <w:tcPr>
            <w:tcW w:w="0" w:type="auto"/>
            <w:shd w:val="clear"/>
            <w:vAlign w:val="center"/>
          </w:tcPr>
          <w:p w14:paraId="5692F7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不是开放词汇方法</w:t>
            </w:r>
          </w:p>
        </w:tc>
      </w:tr>
    </w:tbl>
    <w:p w14:paraId="221C3E1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evaluation</w:t>
      </w:r>
    </w:p>
    <w:p w14:paraId="7E492FC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eval mAP: 0.309034</w:t>
      </w:r>
    </w:p>
    <w:p w14:paraId="2396056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eval APrec: 0.460309</w:t>
      </w:r>
    </w:p>
    <w:p w14:paraId="026B8D4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eval ARecall: 0.602931</w:t>
      </w:r>
    </w:p>
    <w:p w14:paraId="54ADAC1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eval mAP: 0.262630</w:t>
      </w:r>
    </w:p>
    <w:p w14:paraId="2606B17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eval APrec: 0.423015</w:t>
      </w:r>
    </w:p>
    <w:p w14:paraId="776437B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eval ARecall: 0.554082</w:t>
      </w:r>
    </w:p>
    <w:p w14:paraId="3E344DC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eval mAP: 0.087047</w:t>
      </w:r>
    </w:p>
    <w:p w14:paraId="0FCEB00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eval APrec: 0.229089</w:t>
      </w:r>
    </w:p>
    <w:p w14:paraId="163B982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eval ARecall: 0.300070</w:t>
      </w:r>
    </w:p>
    <w:p w14:paraId="4537D46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[2026-07-23 20:13:26] Inference and evaluation completed</w:t>
      </w:r>
    </w:p>
    <w:p w14:paraId="2757279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rival-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8D0786"/>
    <w:rsid w:val="00E6284A"/>
    <w:rsid w:val="018F2EE2"/>
    <w:rsid w:val="04F57E31"/>
    <w:rsid w:val="088D0786"/>
    <w:rsid w:val="08A07782"/>
    <w:rsid w:val="09EA33AB"/>
    <w:rsid w:val="17D2722C"/>
    <w:rsid w:val="1A0F6516"/>
    <w:rsid w:val="2FD91648"/>
    <w:rsid w:val="327F64D7"/>
    <w:rsid w:val="3CFB2BFE"/>
    <w:rsid w:val="413606A8"/>
    <w:rsid w:val="51DC0DF8"/>
    <w:rsid w:val="54A84FC1"/>
    <w:rsid w:val="55DD0C9B"/>
    <w:rsid w:val="5E3A0425"/>
    <w:rsid w:val="6FE949B4"/>
    <w:rsid w:val="76424E1E"/>
    <w:rsid w:val="7E7F4735"/>
    <w:rsid w:val="7F871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53</Words>
  <Characters>409</Characters>
  <Lines>0</Lines>
  <Paragraphs>0</Paragraphs>
  <TotalTime>0</TotalTime>
  <ScaleCrop>false</ScaleCrop>
  <LinksUpToDate>false</LinksUpToDate>
  <CharactersWithSpaces>426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2026-07-10T06:43:00Z</dcterms:created>
  <dc:creator>余生</dc:creator>
  <cp:lastModifiedBy>余生</cp:lastModifiedBy>
  <dcterms:modified xsi:type="dcterms:W3CDTF">2026-07-25T06:39:59Z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42B551636F9241C3BD5A7131BB558BC7_11</vt:lpwstr>
  </property>
  <property fmtid="{D5CDD505-2E9C-101B-9397-08002B2CF9AE}" pid="4" name="KSOTemplateDocerSaveRecord">
    <vt:lpwstr>eyJoZGlkIjoiYzVhMWNjNTk1ZmVlMzE3YjgzM2Q2Mjk3OGVkYmZkYjUiLCJ1c2VySWQiOiI4MjY2MjA0NzYifQ==</vt:lpwstr>
  </property>
</Properties>
</file>