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bookmarkStart w:id="0" w:name="_GoBack"/>
      <w:bookmarkEnd w:id="0"/>
      <w:proofErr w:type="spellStart"/>
      <w:proofErr w:type="spellEnd"/>
      <w:r>
        <w:rPr>
          <w:b/>
          <w:color w:val="FF0000"/>
          <w:sz w:val="18"/>
        </w:rPr>
        <w:t>181671</w:t>
      </w:r>
    </w:p>
    <w:p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Место нахождения (адрес юридического лица): 125424, РОССИЯ, Г.МОСКВА, МУНИЦИПАЛЬНЫЙ ОКРУГ ПОКРОВСКОЕ-СТРЕШНЕВО вн. тер. г.,  ТУП СХОДНЕНСКИЙ, Д. 4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Адрес места осуществления деятельности: 125424, РОССИЯ, г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Телефон: +7 9060529179 Адрес электронной почты: os@os-education.ru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lang w:val="en-US"/>
        </w:rPr>
        <w:t>ОБЩЕСТВО С ОГРАНИЧЕННОЙ ОТВЕТСТВЕННОСТЬЮ "АЙТАСИ"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деятельности: 121357, Россия, город Москва, муниципальный округ Фили-Давыдково вн. тер. г., улица Ватутина, дом 13, к.1,  помещ.99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Основной государственный регистрационный номер 1247700085808.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Телефон: +7 (916) 9663079 Адрес электронной почты: b.aitasi@mail.ru</w:t>
      </w:r>
    </w:p>
    <w:p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lang w:val="en-US"/>
        </w:rPr>
        <w:t>Wenzhou Aowo Technology Co., Ltd.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 по изготовлению продукции: Китай, Room 801, Building 2, No. 1088 Xinxiu Road, Xianyan Street, Ouhai District, Wenzhou, Zhejiang Province, Сhina, координаты 27.980929°, 120.664700°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color w:val="000000"/>
          <w:lang w:val="en-US"/>
        </w:rPr>
        <w:t>Инструмент ручной электрифицированный, торговой марки TEENO: лобзик, модель: 001LZ; шлифовальная машина эксцентриковая, модель: 001SHL</w:t>
      </w:r>
      <w:r>
        <w:rPr>
          <w:rFonts w:ascii="Times New Roman" w:hAnsi="Times New Roman" w:cs="Times New Roman"/>
          <w:color w:val="000000"/>
          <w:lang w:val="en-US"/>
        </w:rPr>
        <w:br/>
      </w:r>
      <w:r>
        <w:rPr>
          <w:rFonts w:ascii="Times New Roman" w:hAnsi="Times New Roman" w:cs="Times New Roman"/>
          <w:color w:val="000000"/>
          <w:lang w:val="en-US"/>
        </w:rPr>
        <w:t>Серийный выпуск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8467229000, 8467295900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Технического регламента Таможенного союза "О безопасности машин и оборудования" (ТР ТС 010/2011)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Технического регламента Таможенного союза "Электромагнитная совместимость технических средств" (ТР ТС 020/2011)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Протоколов испытаний № 29052026-30 от 03.07.2026 года, № 29052026-04 от 19.06.2026 года, выданных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Акта анализа состояния производства №С-20260410-01 от 15.04.2026,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Муромцев Андрей Дмитриевич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Руководства по эксплуатации № TEENO.001LZ.000 РЭ от 15.01.2026г, Руководства по эксплуатации № TEENO.001SHL.000 РЭ от 15.01.2026г, Обоснования безопасности № TEENO.001SHL.000 ОБ от 15.01.2026г, Обоснования безопасности № TEENO.001LZ.000 ОБ от 15.01.2026г.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Сведения о стандартах, в результате применения которых на добровольной основе обеспечивается соблюдение требований технического регламента, указаны в приложении бланк №1117704. Условия и срок хранения, срок службы указаны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измерения. Сведения о дате изготовления образцов: 30.01.2026. Договор уполномоченного лица № 29-2 от 28.01.2026 года.</w:t>
      </w:r>
    </w:p>
    <w:p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07.07.2026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06.07.2031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:rsidTr="00982DE2">
        <w:tc>
          <w:tcPr>
            <w:tcW w:w="3227" w:type="dxa"/>
          </w:tcPr>
          <w:p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1" w:name="OLE_LINK4"/>
            <w:bookmarkStart w:id="2" w:name="OLE_LINK10"/>
            <w:bookmarkStart w:id="3" w:name="OLE_LINK11"/>
            <w:bookmarkStart w:id="4" w:name="_Hlk457402848"/>
            <w:bookmarkStart w:id="5" w:name="OLE_LINK12"/>
            <w:bookmarkStart w:id="6" w:name="OLE_LINK13"/>
            <w:bookmarkStart w:id="7" w:name="_Hlk457402851"/>
            <w:bookmarkStart w:id="8" w:name="OLE_LINK14"/>
            <w:bookmarkStart w:id="9" w:name="OLE_LINK15"/>
            <w:bookmarkStart w:id="10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1"/>
          </w:p>
        </w:tc>
        <w:tc>
          <w:tcPr>
            <w:tcW w:w="2193" w:type="dxa"/>
          </w:tcPr>
          <w:p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:rsidTr="00982DE2">
        <w:tc>
          <w:tcPr>
            <w:tcW w:w="3227" w:type="dxa"/>
          </w:tcPr>
          <w:p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Шевченко Александр Владимирович</w:t>
            </w:r>
          </w:p>
        </w:tc>
      </w:tr>
    </w:tbl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2C1B9B" w:rsidRPr="00F02A30" w:rsidRDefault="00E675D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>
          <v:rect id="_x0000_i1025" style="width:0;height:1.5pt" o:hralign="center" o:hrstd="t" o:hr="t" fillcolor="#a0a0a0" stroked="f"/>
        </w:pict>
      </w:r>
    </w:p>
    <w:sectPr w:rsidR="00625253" w:rsidRPr="002C1B9B" w:rsidSect="00812D43">
      <w:pgSz w:w="11906" w:h="16838"/>
      <w:pgMar w:top="284" w:right="850" w:bottom="1134" w:left="426" w:header="708" w:footer="708" w:gutter="0"/>
      <w:cols w:space="708"/>
      <w:docGrid w:linePitch="360"/>
    </w:sectPr>
    <w:p>
      <w:pPr/>
    </w:p>
    <w:p>
      <w:r>
        <w:br w:type="page"/>
      </w:r>
    </w:p>
    <w:p>
      <w:pPr>
        <w:jc w:val="center"/>
      </w:pPr>
      <w:r>
        <w:rPr>
          <w:lang w:val="ru-RU"/>
          <w:sz w:val="20"/>
          <w:szCs w:val="20"/>
          <w:rFonts w:ascii="Times New Roman" w:hAnsi="Times New Roman" w:cs="Times New Roman" w:eastAsia="Times New Roman"/>
        </w:rPr>
        <w:t>Сведения о национальных стандартах (сводах правил), применяемых на добровольной основе для соблюдения требований технических регламентов</w:t>
      </w:r>
    </w:p>
    <w:tbl>
      <w:tblPr>
        <w:tblStyle w:val="TableGrid"/>
        <w:tblW w:w="5000" w:type="auto"/>
        <w:tblLook w:val="04A0"/>
      </w:tblPr>
      <w:tr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Обозначение национального стандарта или свода правил</w:t>
            </w:r>
          </w:p>
        </w:tc>
        <w:tc>
          <w:tcPr>
            <w:tcW w:w="12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Наименование национального стандарта или свода правил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Подтверждение требованиям национального стандарта или свода правил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60745-1-2011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"Машины ручные электрические. Безопасность и методы испытаний. Часть 1. Общие требования"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17770-86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"Машины ручные. Требования к вибрационным характеристикам"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 4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12.2.030-2000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"Система стандартов безопасности труда. Машины ручные. Шумовые характеристики. Нормы. Методы испытаний"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 4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60745-2-4-2011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"Машины ручные электрические. Безопасность и методы испытаний. Часть 2-4. Частные требования к плоскошлифовальным и ленточношлифовальным машинам 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61000-3-2-2017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 (ЭМС). Часть 3-2. Нормы. Нормы эмиссии гармонических составляющих тока (оборудование с входным током не более 16 А в одной фазе)"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разделы 5 и 7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61000-3-3-2015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 (ЭМС). Часть 3-3. Нормы. Ограничение изменений напряжения, колебаний напряжения и фликера в общественных низковольтных системах электроснабжения для оборудования с номинальным током не более 16 А (в одной фазе), подключаемого к сети электропитания без особых условий"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разделы 4 и 6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CISPR 14-1-2015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совместимость. Требования для бытовых приборов, электрических инструментов и аналогичных устройств. Часть 1. Электромагнитная эмиссия"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 4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CISPR 14-2-2016 (CISPR 14-2:2015)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совместимость. Требования для бытовых приборов, электрических инструментов и аналогичных устройств. Часть 2. Помехоустойчивость. Стандарт для группы однородной продукции"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разделы 4 и 5, подраздел 7.2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C1B9B"/>
    <w:rsid w:val="00314A2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D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Normal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Sintez S. Soft</cp:lastModifiedBy>
  <cp:revision>5</cp:revision>
  <dcterms:created xsi:type="dcterms:W3CDTF">2022-02-24T14:29:00Z</dcterms:created>
  <dcterms:modified xsi:type="dcterms:W3CDTF">2022-09-27T15:16:00Z</dcterms:modified>
</cp:coreProperties>
</file>