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# Disclaimer: This output contains AI-generated content; user is advised to review it before consumption.</w:t>
        <w:br/>
        <w:br/>
        <w:t>#*Start of AI Generated Content*</w:t>
      </w:r>
    </w:p>
    <w:p>
      <w:pPr>
        <w:pStyle w:val="Heading1"/>
      </w:pPr>
      <w:r>
        <w:rPr>
          <w:b/>
        </w:rPr>
        <w:t>Anomaly Detection and Data Integrity Codebase</w:t>
      </w:r>
      <w:r/>
    </w:p>
    <w:p>
      <w:pPr>
        <w:pStyle w:val="Heading2"/>
      </w:pPr>
      <w:r>
        <w:rPr>
          <w:b/>
        </w:rPr>
        <w:t>Introduction</w:t>
      </w:r>
      <w:r/>
    </w:p>
    <w:p>
      <w:r/>
      <w:r>
        <w:t>This codebase provides a comprehensive solution for anomaly detection, data integrity, and visualization. It leverages various techniques, including dimensionality reduction, API-driven missing value imputation, and standardized date format conversion. The code is designed to ensure data quality, identify anomalies, and facilitate informed decision-making.</w:t>
      </w:r>
      <w:r/>
    </w:p>
    <w:p>
      <w:pPr>
        <w:pStyle w:val="Heading2"/>
      </w:pPr>
      <w:r>
        <w:rPr>
          <w:b/>
        </w:rPr>
        <w:t>Problem Statement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Anomaly Detection</w:t>
      </w:r>
      <w:r>
        <w:t>: Identify anomalies in datasets to prevent errors and ensure data quality.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Data Integrity</w:t>
      </w:r>
      <w:r>
        <w:t>: Verify the presence of essential columns (e.g., date columns) and handle missing values.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Data Visualization</w:t>
      </w:r>
      <w:r>
        <w:t>: Effectively represent high-dimensional data and time-series anomalies.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Standardization</w:t>
      </w:r>
      <w:r>
        <w:t>: Convert date columns to a unified datetime format.</w:t>
      </w:r>
      <w:r/>
      <w:r/>
    </w:p>
    <w:p>
      <w:pPr>
        <w:pStyle w:val="Heading2"/>
      </w:pPr>
      <w:r>
        <w:rPr>
          <w:b/>
        </w:rPr>
        <w:t>Solution Approach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Modular Design</w:t>
      </w:r>
      <w:r>
        <w:t>: Organized into reusable functions for anomaly scoring, visualization, data imputation, date column verification, and date format conversion.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API Integration</w:t>
      </w:r>
      <w:r>
        <w:t>: Utilizes API calls for missing value imputation and date column verification, ensuring scalability and maintainability.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Dimensionality Reduction</w:t>
      </w:r>
      <w:r>
        <w:t>: Employs PCA and t-SNE techniques for effective visualization of high-dimensional data.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Standardized Date Format</w:t>
      </w:r>
      <w:r>
        <w:t>: Converts date columns to a unified datetime format using pandas.</w:t>
      </w:r>
      <w:r/>
      <w:r/>
    </w:p>
    <w:p>
      <w:pPr>
        <w:pStyle w:val="Heading2"/>
      </w:pPr>
      <w:r>
        <w:rPr>
          <w:b/>
        </w:rPr>
        <w:t>Functionality of Code</w:t>
      </w:r>
      <w:r/>
    </w:p>
    <w:p>
      <w:pPr>
        <w:pStyle w:val="Heading3"/>
      </w:pPr>
      <w:r>
        <w:t>1. Anomaly Scoring Visualizations</w:t>
      </w:r>
      <w:r/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  <w:b/>
        </w:rPr>
        <w:t>visualize_anomaly_scores</w:t>
      </w:r>
      <w:r>
        <w:t>: Generates histograms and box plots to illustrate anomaly score distributions.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Input</w:t>
      </w:r>
      <w:r>
        <w:t>: List of anomaly scores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Output</w:t>
      </w:r>
      <w:r>
        <w:t>: Saved visualization (PNG) and displayed plot</w:t>
      </w:r>
      <w:r/>
      <w:r/>
    </w:p>
    <w:p>
      <w:pPr>
        <w:pStyle w:val="Heading3"/>
      </w:pPr>
      <w:r>
        <w:t>2. Time-Series Anomaly Visualization</w:t>
      </w:r>
      <w:r/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  <w:b/>
        </w:rPr>
        <w:t>visualize_time_series_anomalies</w:t>
      </w:r>
      <w:r>
        <w:t>: Creates interactive time-series plots to showcase anomalies.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Input</w:t>
      </w:r>
      <w:r>
        <w:t>: Pandas DataFrame with time, value, and anomaly columns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Output</w:t>
      </w:r>
      <w:r>
        <w:t>: Saved visualization (PNG) and displayed plot</w:t>
      </w:r>
      <w:r/>
      <w:r/>
    </w:p>
    <w:p>
      <w:pPr>
        <w:pStyle w:val="Heading3"/>
      </w:pPr>
      <w:r>
        <w:t>3. Multi-Dimensional Anomaly Representation</w:t>
      </w:r>
      <w:r/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  <w:b/>
        </w:rPr>
        <w:t>visualize_multi_dim_anomalies</w:t>
      </w:r>
      <w:r>
        <w:t>: Utilizes dimensionality reduction (PCA or t-SNE) for high-dimensional data visualization.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Input</w:t>
      </w:r>
      <w:r>
        <w:t>: Pandas DataFrame with high-dimensional data, technique (PCA or t-SNE)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Output</w:t>
      </w:r>
      <w:r>
        <w:t>: Saved visualization (PNG) and displayed plot</w:t>
      </w:r>
      <w:r/>
      <w:r/>
    </w:p>
    <w:p>
      <w:pPr>
        <w:pStyle w:val="Heading3"/>
      </w:pPr>
      <w:r>
        <w:t>4. API-Driven Missing Value Imputation</w:t>
      </w:r>
      <w:r/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  <w:b/>
        </w:rPr>
        <w:t>impute_missing_values</w:t>
      </w:r>
      <w:r>
        <w:t>: Identifies and imputes missing values using API calls.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Input</w:t>
      </w:r>
      <w:r>
        <w:t>: Pandas DataFrame with potential missing values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Output</w:t>
      </w:r>
      <w:r>
        <w:t>: Imputed Pandas DataFrame (if successful)</w:t>
      </w:r>
      <w:r/>
      <w:r/>
    </w:p>
    <w:p>
      <w:pPr>
        <w:pStyle w:val="Heading3"/>
      </w:pPr>
      <w:r>
        <w:t>5. Date Column Existence Verification</w:t>
      </w:r>
      <w:r/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  <w:b/>
        </w:rPr>
        <w:t>verify_date_column</w:t>
      </w:r>
      <w:r>
        <w:t>: Verifies the presence of a designated date column via API calls.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Input</w:t>
      </w:r>
      <w:r>
        <w:t>: Pandas DataFrame to verify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Output</w:t>
      </w:r>
      <w:r>
        <w:t>: Boolean indicating date column existence</w:t>
      </w:r>
      <w:r/>
      <w:r/>
    </w:p>
    <w:p>
      <w:pPr>
        <w:pStyle w:val="Heading3"/>
      </w:pPr>
      <w:r>
        <w:t>6. Standardized Date Format Conversion</w:t>
      </w:r>
      <w:r/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  <w:b/>
        </w:rPr>
        <w:t>convert_date_format</w:t>
      </w:r>
      <w:r>
        <w:t>: Converts identified date columns to a unified datetime format.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Input</w:t>
      </w:r>
      <w:r>
        <w:t>: Pandas DataFrame with date column, date column name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Output</w:t>
      </w:r>
      <w:r>
        <w:t>: Pandas DataFrame with standardized date format</w:t>
      </w:r>
      <w:r/>
      <w:r/>
    </w:p>
    <w:p>
      <w:pPr>
        <w:pStyle w:val="Heading2"/>
      </w:pPr>
      <w:r>
        <w:rPr>
          <w:b/>
        </w:rPr>
        <w:t>Input and Output Format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Input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t xml:space="preserve">Data files (e.g., </w:t>
      </w:r>
      <w:r>
        <w:rPr>
          <w:rFonts w:ascii="Courier" w:hAnsi="Courier"/>
        </w:rPr>
        <w:t>data.csv</w:t>
      </w:r>
      <w:r>
        <w:t xml:space="preserve">) in the specified </w:t>
      </w:r>
      <w:r>
        <w:rPr>
          <w:rFonts w:ascii="Courier" w:hAnsi="Courier"/>
        </w:rPr>
        <w:t>data_path</w:t>
      </w:r>
      <w:r/>
    </w:p>
    <w:p>
      <w:pPr>
        <w:pStyle w:val="ListBullet"/>
        <w:spacing w:line="240" w:lineRule="auto"/>
        <w:ind w:left="1440"/>
      </w:pPr>
      <w:r/>
      <w:r>
        <w:t xml:space="preserve">API key for authentication (stored in </w:t>
      </w:r>
      <w:r>
        <w:rPr>
          <w:rFonts w:ascii="Courier" w:hAnsi="Courier"/>
        </w:rPr>
        <w:t>API_KEY</w:t>
      </w:r>
      <w:r>
        <w:t>)</w:t>
      </w:r>
      <w:r/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Output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t xml:space="preserve">Visualizations (PNG) saved in the specified </w:t>
      </w:r>
      <w:r>
        <w:rPr>
          <w:rFonts w:ascii="Courier" w:hAnsi="Courier"/>
        </w:rPr>
        <w:t>output_path</w:t>
      </w:r>
      <w:r/>
    </w:p>
    <w:p>
      <w:pPr>
        <w:pStyle w:val="ListBullet"/>
        <w:spacing w:line="240" w:lineRule="auto"/>
        <w:ind w:left="1440"/>
      </w:pPr>
      <w:r/>
      <w:r>
        <w:t>Imputed DataFrames (if successful)</w:t>
      </w:r>
      <w:r/>
    </w:p>
    <w:p>
      <w:pPr>
        <w:pStyle w:val="ListBullet"/>
        <w:spacing w:line="240" w:lineRule="auto"/>
        <w:ind w:left="1440"/>
      </w:pPr>
      <w:r/>
      <w:r>
        <w:t>Logging information (console and potentially file-based)</w:t>
      </w:r>
      <w:r/>
      <w:r/>
      <w:r/>
      <w:r/>
    </w:p>
    <w:p>
      <w:pPr>
        <w:pStyle w:val="Heading2"/>
      </w:pPr>
      <w:r>
        <w:rPr>
          <w:b/>
        </w:rPr>
        <w:t>Conclusion</w:t>
      </w:r>
      <w:r/>
    </w:p>
    <w:p>
      <w:r/>
      <w:r>
        <w:t>This codebase provides a robust solution for anomaly detection, data integrity, and visualization. By leveraging API integrations, dimensionality reduction, and standardized date format conversion, it ensures data quality and facilitates informed decision-making. With its modular design and well-documented functionality, this codebase serves as a reliable foundation for various data-driven applications.</w:t>
      </w:r>
      <w:r/>
    </w:p>
    <w:p>
      <w:pPr/>
      <w:r>
        <w:t>#*End of AI Generated Content*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