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C7EC" w14:textId="4B1E9B73" w:rsidR="00BC2C1D" w:rsidRPr="00906E9B" w:rsidRDefault="00BC2C1D">
      <w:pPr>
        <w:rPr>
          <w:rFonts w:asciiTheme="majorHAnsi" w:hAnsiTheme="majorHAnsi" w:cstheme="majorHAnsi"/>
          <w:color w:val="4F81BD" w:themeColor="accent1"/>
          <w:sz w:val="56"/>
          <w:szCs w:val="56"/>
        </w:rPr>
      </w:pPr>
    </w:p>
    <w:p w14:paraId="5DF1B6E1" w14:textId="3EEC0327" w:rsidR="00BC2C1D" w:rsidRPr="00906E9B" w:rsidRDefault="00BC2C1D">
      <w:pPr>
        <w:rPr>
          <w:rFonts w:asciiTheme="majorHAnsi" w:hAnsiTheme="majorHAnsi" w:cstheme="majorHAnsi"/>
          <w:color w:val="4F81BD" w:themeColor="accent1"/>
          <w:sz w:val="56"/>
          <w:szCs w:val="56"/>
        </w:rPr>
      </w:pPr>
    </w:p>
    <w:p w14:paraId="104DF599" w14:textId="77777777" w:rsidR="00F80041" w:rsidRPr="00906E9B" w:rsidRDefault="00F80041">
      <w:pPr>
        <w:rPr>
          <w:rFonts w:asciiTheme="majorHAnsi" w:hAnsiTheme="majorHAnsi" w:cstheme="majorHAnsi"/>
          <w:color w:val="4F81BD" w:themeColor="accent1"/>
          <w:sz w:val="56"/>
          <w:szCs w:val="56"/>
        </w:rPr>
      </w:pPr>
    </w:p>
    <w:p w14:paraId="6800ECAC" w14:textId="68EF1BA4" w:rsidR="00BC2C1D" w:rsidRPr="00906E9B" w:rsidRDefault="00B15E9B">
      <w:pPr>
        <w:rPr>
          <w:rFonts w:asciiTheme="majorHAnsi" w:hAnsiTheme="majorHAnsi" w:cstheme="majorHAnsi"/>
          <w:color w:val="4F81BD" w:themeColor="accent1"/>
          <w:sz w:val="56"/>
          <w:szCs w:val="56"/>
        </w:rPr>
      </w:pPr>
      <w:r>
        <w:rPr>
          <w:rFonts w:asciiTheme="majorHAnsi" w:hAnsiTheme="majorHAnsi" w:cstheme="majorHAnsi"/>
          <w:noProof/>
          <w:color w:val="4F81BD" w:themeColor="accent1"/>
          <w:sz w:val="56"/>
          <w:szCs w:val="56"/>
        </w:rPr>
        <w:drawing>
          <wp:inline distT="0" distB="0" distL="0" distR="0" wp14:anchorId="38045F8F" wp14:editId="2397FA9C">
            <wp:extent cx="4330923" cy="1752690"/>
            <wp:effectExtent l="0" t="0" r="0" b="0"/>
            <wp:docPr id="621617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17224" name="Picture 621617224"/>
                    <pic:cNvPicPr/>
                  </pic:nvPicPr>
                  <pic:blipFill>
                    <a:blip r:embed="rId8"/>
                    <a:stretch>
                      <a:fillRect/>
                    </a:stretch>
                  </pic:blipFill>
                  <pic:spPr>
                    <a:xfrm>
                      <a:off x="0" y="0"/>
                      <a:ext cx="4330923" cy="1752690"/>
                    </a:xfrm>
                    <a:prstGeom prst="rect">
                      <a:avLst/>
                    </a:prstGeom>
                  </pic:spPr>
                </pic:pic>
              </a:graphicData>
            </a:graphic>
          </wp:inline>
        </w:drawing>
      </w:r>
    </w:p>
    <w:p w14:paraId="4CDAC0B5" w14:textId="0FF48AFA" w:rsidR="00BC2C1D" w:rsidRPr="00EB79B0" w:rsidRDefault="00B15E9B">
      <w:pPr>
        <w:rPr>
          <w:rFonts w:asciiTheme="majorHAnsi" w:hAnsiTheme="majorHAnsi" w:cstheme="majorHAnsi"/>
          <w:sz w:val="56"/>
          <w:szCs w:val="56"/>
        </w:rPr>
      </w:pPr>
      <w:r>
        <w:rPr>
          <w:rFonts w:asciiTheme="majorHAnsi" w:hAnsiTheme="majorHAnsi" w:cstheme="majorHAnsi"/>
          <w:sz w:val="56"/>
          <w:szCs w:val="56"/>
        </w:rPr>
        <w:t>GCT Group Transformation Strategy 2026+</w:t>
      </w:r>
    </w:p>
    <w:p w14:paraId="01841259" w14:textId="77777777" w:rsidR="00BC2C1D" w:rsidRPr="00EB79B0" w:rsidRDefault="00BC2C1D">
      <w:pPr>
        <w:rPr>
          <w:rFonts w:asciiTheme="majorHAnsi" w:hAnsiTheme="majorHAnsi" w:cstheme="majorHAnsi"/>
        </w:rPr>
      </w:pPr>
    </w:p>
    <w:p w14:paraId="5C3DDDF1" w14:textId="7F1FC98D" w:rsidR="00D86F90" w:rsidRPr="00EB79B0" w:rsidRDefault="00592109">
      <w:pPr>
        <w:rPr>
          <w:rFonts w:asciiTheme="majorHAnsi" w:hAnsiTheme="majorHAnsi" w:cstheme="majorHAnsi"/>
          <w:sz w:val="32"/>
          <w:szCs w:val="32"/>
        </w:rPr>
      </w:pPr>
      <w:r>
        <w:rPr>
          <w:rFonts w:asciiTheme="majorHAnsi" w:hAnsiTheme="majorHAnsi" w:cstheme="majorHAnsi"/>
          <w:sz w:val="32"/>
          <w:szCs w:val="32"/>
        </w:rPr>
        <w:t>Strategic Review &amp; Implementation Proposal</w:t>
      </w:r>
    </w:p>
    <w:p w14:paraId="5C3DCB1A" w14:textId="2E1FADF7" w:rsidR="00C85BC2" w:rsidRPr="00EB79B0" w:rsidRDefault="00592109">
      <w:pPr>
        <w:rPr>
          <w:rFonts w:asciiTheme="majorHAnsi" w:hAnsiTheme="majorHAnsi" w:cstheme="majorHAnsi"/>
        </w:rPr>
      </w:pPr>
      <w:r>
        <w:rPr>
          <w:rFonts w:asciiTheme="majorHAnsi" w:hAnsiTheme="majorHAnsi" w:cstheme="majorHAnsi"/>
        </w:rPr>
        <w:t>Prepared by DSG | Confidential – For GCT Group Executive and Board Review</w:t>
      </w:r>
    </w:p>
    <w:p w14:paraId="6B86037B" w14:textId="446B32A4" w:rsidR="00F80041" w:rsidRPr="00EB79B0" w:rsidRDefault="00F31B06">
      <w:pPr>
        <w:rPr>
          <w:rFonts w:asciiTheme="majorHAnsi" w:hAnsiTheme="majorHAnsi" w:cstheme="majorHAnsi"/>
        </w:rPr>
      </w:pPr>
      <w:r>
        <w:rPr>
          <w:rFonts w:asciiTheme="majorHAnsi" w:hAnsiTheme="majorHAnsi" w:cstheme="majorHAnsi"/>
        </w:rPr>
        <w:t>02/19/2026</w:t>
      </w:r>
    </w:p>
    <w:p w14:paraId="6EC1F2FB" w14:textId="049CA2A6" w:rsidR="00C85BC2" w:rsidRPr="00906E9B" w:rsidRDefault="00C85BC2">
      <w:pPr>
        <w:rPr>
          <w:rFonts w:asciiTheme="majorHAnsi" w:hAnsiTheme="majorHAnsi" w:cstheme="majorHAnsi"/>
        </w:rPr>
      </w:pPr>
      <w:r>
        <w:rPr>
          <w:rFonts w:asciiTheme="majorHAnsi" w:hAnsiTheme="majorHAnsi" w:cstheme="majorHAnsi"/>
        </w:rPr>
        <w:br w:type="page"/>
      </w:r>
    </w:p>
    <w:sdt>
      <w:sdtPr>
        <w:rPr>
          <w:rFonts w:asciiTheme="minorHAnsi" w:eastAsiaTheme="minorEastAsia" w:hAnsiTheme="minorHAnsi" w:cstheme="majorHAnsi"/>
          <w:b w:val="0"/>
          <w:bCs w:val="0"/>
          <w:color w:val="auto"/>
          <w:sz w:val="22"/>
          <w:szCs w:val="22"/>
        </w:rPr>
        <w:id w:val="-1918936918"/>
        <w:docPartObj>
          <w:docPartGallery w:val="Table of Contents"/>
          <w:docPartUnique/>
        </w:docPartObj>
      </w:sdtPr>
      <w:sdtEndPr>
        <w:rPr>
          <w:noProof/>
        </w:rPr>
      </w:sdtEndPr>
      <w:sdtContent>
        <w:p w14:paraId="67D9775C" w14:textId="634AC761" w:rsidR="00C85BC2" w:rsidRPr="00906E9B" w:rsidRDefault="00C85BC2">
          <w:pPr>
            <w:pStyle w:val="TOCHeading"/>
            <w:rPr>
              <w:rFonts w:cstheme="majorHAnsi"/>
            </w:rPr>
          </w:pPr>
          <w:r>
            <w:rPr>
              <w:rFonts w:cstheme="majorHAnsi"/>
            </w:rPr>
            <w:t>Contents</w:t>
          </w:r>
        </w:p>
        <w:p w14:paraId="007DCD64" w14:textId="0C7FE99D" w:rsidR="004B5E9E" w:rsidRDefault="00C85BC2">
          <w:pPr>
            <w:pStyle w:val="TOC1"/>
            <w:tabs>
              <w:tab w:val="left" w:pos="440"/>
              <w:tab w:val="right" w:leader="dot" w:pos="8630"/>
            </w:tabs>
            <w:rPr>
              <w:noProof/>
              <w:kern w:val="2"/>
              <w:sz w:val="24"/>
              <w:szCs w:val="24"/>
              <w:lang w:val="en-GB" w:eastAsia="en-GB"/>
              <w14:ligatures w14:val="standardContextual"/>
            </w:rPr>
          </w:pPr>
          <w:r>
            <w:rPr>
              <w:rFonts w:asciiTheme="majorHAnsi" w:hAnsiTheme="majorHAnsi" w:cstheme="majorHAnsi"/>
            </w:rPr>
            <w:fldChar w:fldCharType="begin"/>
            <w:instrText xml:space="preserve"> TOC \o "1-3" \h \z \u </w:instrText>
            <w:fldChar w:fldCharType="separate"/>
          </w:r>
          <w:hyperlink w:anchor="_Toc210912496" w:history="1">
            <w:r>
              <w:rPr>
                <w:rStyle w:val="Hyperlink"/>
                <w:rFonts w:cstheme="majorHAnsi"/>
                <w:noProof/>
              </w:rPr>
              <w:t>1.</w:t>
            </w:r>
            <w:r>
              <w:rPr>
                <w:noProof/>
                <w:kern w:val="2"/>
                <w:sz w:val="24"/>
                <w:szCs w:val="24"/>
                <w:lang w:val="en-GB" w:eastAsia="en-GB"/>
                <w14:ligatures w14:val="standardContextual"/>
              </w:rPr>
              <w:tab/>
            </w:r>
            <w:r>
              <w:rPr>
                <w:rStyle w:val="Hyperlink"/>
                <w:rFonts w:cstheme="majorHAnsi"/>
                <w:noProof/>
              </w:rPr>
              <w:t>Executive Summary</w:t>
            </w:r>
            <w:r>
              <w:rPr>
                <w:noProof/>
                <w:webHidden/>
              </w:rPr>
              <w:tab/>
              <w:fldChar w:fldCharType="begin"/>
              <w:instrText xml:space="preserve"> PAGEREF _Toc210912496 \h </w:instrText>
              <w:fldChar w:fldCharType="separate"/>
              <w:t>3</w:t>
              <w:fldChar w:fldCharType="end"/>
            </w:r>
          </w:hyperlink>
        </w:p>
        <w:p w14:paraId="753D3457" w14:textId="1D9D02BD" w:rsidR="004B5E9E" w:rsidRDefault="004B5E9E">
          <w:pPr>
            <w:pStyle w:val="TOC1"/>
            <w:tabs>
              <w:tab w:val="right" w:leader="dot" w:pos="8630"/>
            </w:tabs>
            <w:rPr>
              <w:noProof/>
              <w:kern w:val="2"/>
              <w:sz w:val="24"/>
              <w:szCs w:val="24"/>
              <w:lang w:val="en-GB" w:eastAsia="en-GB"/>
              <w14:ligatures w14:val="standardContextual"/>
            </w:rPr>
          </w:pPr>
          <w:hyperlink w:anchor="_Toc210912497" w:history="1">
            <w:r>
              <w:rPr>
                <w:rStyle w:val="Hyperlink"/>
                <w:rFonts w:cstheme="majorHAnsi"/>
                <w:noProof/>
              </w:rPr>
              <w:t>2.      Background and Context</w:t>
            </w:r>
            <w:r>
              <w:rPr>
                <w:noProof/>
                <w:webHidden/>
              </w:rPr>
              <w:tab/>
              <w:fldChar w:fldCharType="begin"/>
              <w:instrText xml:space="preserve"> PAGEREF _Toc210912497 \h </w:instrText>
              <w:fldChar w:fldCharType="separate"/>
              <w:t>3</w:t>
              <w:fldChar w:fldCharType="end"/>
            </w:r>
          </w:hyperlink>
        </w:p>
        <w:p w14:paraId="480DE498" w14:textId="4AADC7E3" w:rsidR="004B5E9E" w:rsidRDefault="004B5E9E">
          <w:pPr>
            <w:pStyle w:val="TOC1"/>
            <w:tabs>
              <w:tab w:val="left" w:pos="440"/>
              <w:tab w:val="right" w:leader="dot" w:pos="8630"/>
            </w:tabs>
            <w:rPr>
              <w:noProof/>
              <w:kern w:val="2"/>
              <w:sz w:val="24"/>
              <w:szCs w:val="24"/>
              <w:lang w:val="en-GB" w:eastAsia="en-GB"/>
              <w14:ligatures w14:val="standardContextual"/>
            </w:rPr>
          </w:pPr>
          <w:hyperlink w:anchor="_Toc210912498" w:history="1">
            <w:r>
              <w:rPr>
                <w:rStyle w:val="Hyperlink"/>
                <w:rFonts w:cstheme="majorHAnsi"/>
                <w:noProof/>
              </w:rPr>
              <w:t>3.</w:t>
            </w:r>
            <w:r>
              <w:rPr>
                <w:noProof/>
                <w:kern w:val="2"/>
                <w:sz w:val="24"/>
                <w:szCs w:val="24"/>
                <w:lang w:val="en-GB" w:eastAsia="en-GB"/>
                <w14:ligatures w14:val="standardContextual"/>
              </w:rPr>
              <w:tab/>
            </w:r>
            <w:r>
              <w:rPr>
                <w:rStyle w:val="Hyperlink"/>
                <w:rFonts w:cstheme="majorHAnsi"/>
                <w:noProof/>
              </w:rPr>
              <w:t>Why DSG?</w:t>
            </w:r>
            <w:r>
              <w:rPr>
                <w:noProof/>
                <w:webHidden/>
              </w:rPr>
              <w:tab/>
              <w:fldChar w:fldCharType="begin"/>
              <w:instrText xml:space="preserve"> PAGEREF _Toc210912498 \h </w:instrText>
              <w:fldChar w:fldCharType="separate"/>
              <w:t>4</w:t>
              <w:fldChar w:fldCharType="end"/>
            </w:r>
          </w:hyperlink>
        </w:p>
        <w:p w14:paraId="2FACE2EF" w14:textId="4932F477" w:rsidR="004B5E9E" w:rsidRDefault="004B5E9E">
          <w:pPr>
            <w:pStyle w:val="TOC1"/>
            <w:tabs>
              <w:tab w:val="left" w:pos="440"/>
              <w:tab w:val="right" w:leader="dot" w:pos="8630"/>
            </w:tabs>
            <w:rPr>
              <w:noProof/>
              <w:kern w:val="2"/>
              <w:sz w:val="24"/>
              <w:szCs w:val="24"/>
              <w:lang w:val="en-GB" w:eastAsia="en-GB"/>
              <w14:ligatures w14:val="standardContextual"/>
            </w:rPr>
          </w:pPr>
          <w:hyperlink w:anchor="_Toc210912500" w:history="1">
            <w:r>
              <w:rPr>
                <w:rStyle w:val="Hyperlink"/>
                <w:rFonts w:cstheme="majorHAnsi"/>
                <w:noProof/>
              </w:rPr>
              <w:t>4.</w:t>
            </w:r>
            <w:r>
              <w:rPr>
                <w:noProof/>
                <w:kern w:val="2"/>
                <w:sz w:val="24"/>
                <w:szCs w:val="24"/>
                <w:lang w:val="en-GB" w:eastAsia="en-GB"/>
                <w14:ligatures w14:val="standardContextual"/>
              </w:rPr>
              <w:tab/>
            </w:r>
            <w:r>
              <w:rPr>
                <w:rStyle w:val="Hyperlink"/>
                <w:rFonts w:cstheme="majorHAnsi"/>
                <w:noProof/>
              </w:rPr>
              <w:t>Strategic Review Approach</w:t>
            </w:r>
            <w:r>
              <w:rPr>
                <w:noProof/>
                <w:webHidden/>
              </w:rPr>
              <w:tab/>
              <w:fldChar w:fldCharType="begin"/>
              <w:instrText xml:space="preserve"> PAGEREF _Toc210912500 \h </w:instrText>
              <w:fldChar w:fldCharType="separate"/>
              <w:t>6</w:t>
              <w:fldChar w:fldCharType="end"/>
            </w:r>
          </w:hyperlink>
        </w:p>
        <w:p w14:paraId="168AC2DE" w14:textId="260CCE72" w:rsidR="004B5E9E" w:rsidRDefault="004B5E9E">
          <w:pPr>
            <w:pStyle w:val="TOC1"/>
            <w:tabs>
              <w:tab w:val="left" w:pos="440"/>
              <w:tab w:val="right" w:leader="dot" w:pos="8630"/>
            </w:tabs>
            <w:rPr>
              <w:noProof/>
              <w:kern w:val="2"/>
              <w:sz w:val="24"/>
              <w:szCs w:val="24"/>
              <w:lang w:val="en-GB" w:eastAsia="en-GB"/>
              <w14:ligatures w14:val="standardContextual"/>
            </w:rPr>
          </w:pPr>
          <w:hyperlink w:anchor="_Toc210912501" w:history="1">
            <w:r>
              <w:rPr>
                <w:rStyle w:val="Hyperlink"/>
                <w:rFonts w:cstheme="majorHAnsi"/>
                <w:noProof/>
              </w:rPr>
              <w:t>5.</w:t>
            </w:r>
            <w:r>
              <w:rPr>
                <w:noProof/>
                <w:kern w:val="2"/>
                <w:sz w:val="24"/>
                <w:szCs w:val="24"/>
                <w:lang w:val="en-GB" w:eastAsia="en-GB"/>
                <w14:ligatures w14:val="standardContextual"/>
              </w:rPr>
              <w:tab/>
            </w:r>
            <w:r>
              <w:rPr>
                <w:rStyle w:val="Hyperlink"/>
                <w:rFonts w:cstheme="majorHAnsi"/>
                <w:noProof/>
              </w:rPr>
              <w:t>Design</w:t>
            </w:r>
            <w:r>
              <w:rPr>
                <w:noProof/>
                <w:webHidden/>
              </w:rPr>
              <w:tab/>
              <w:fldChar w:fldCharType="begin"/>
              <w:instrText xml:space="preserve"> PAGEREF _Toc210912501 \h </w:instrText>
              <w:fldChar w:fldCharType="separate"/>
              <w:t>7</w:t>
              <w:fldChar w:fldCharType="end"/>
            </w:r>
          </w:hyperlink>
        </w:p>
        <w:p w14:paraId="64628288" w14:textId="6AB415E1" w:rsidR="004B5E9E" w:rsidRDefault="004B5E9E">
          <w:pPr>
            <w:pStyle w:val="TOC1"/>
            <w:tabs>
              <w:tab w:val="left" w:pos="440"/>
              <w:tab w:val="right" w:leader="dot" w:pos="8630"/>
            </w:tabs>
            <w:rPr>
              <w:noProof/>
              <w:kern w:val="2"/>
              <w:sz w:val="24"/>
              <w:szCs w:val="24"/>
              <w:lang w:val="en-GB" w:eastAsia="en-GB"/>
              <w14:ligatures w14:val="standardContextual"/>
            </w:rPr>
          </w:pPr>
          <w:hyperlink w:anchor="_Toc210912502" w:history="1">
            <w:r>
              <w:rPr>
                <w:rStyle w:val="Hyperlink"/>
                <w:rFonts w:cstheme="majorHAnsi"/>
                <w:noProof/>
              </w:rPr>
              <w:t>6.</w:t>
            </w:r>
            <w:r>
              <w:rPr>
                <w:noProof/>
                <w:kern w:val="2"/>
                <w:sz w:val="24"/>
                <w:szCs w:val="24"/>
                <w:lang w:val="en-GB" w:eastAsia="en-GB"/>
                <w14:ligatures w14:val="standardContextual"/>
              </w:rPr>
              <w:tab/>
            </w:r>
            <w:r>
              <w:rPr>
                <w:rStyle w:val="Hyperlink"/>
                <w:rFonts w:cstheme="majorHAnsi"/>
                <w:noProof/>
              </w:rPr>
              <w:t>Build and Operate</w:t>
            </w:r>
            <w:r>
              <w:rPr>
                <w:noProof/>
                <w:webHidden/>
              </w:rPr>
              <w:tab/>
              <w:fldChar w:fldCharType="begin"/>
              <w:instrText xml:space="preserve"> PAGEREF _Toc210912502 \h </w:instrText>
              <w:fldChar w:fldCharType="separate"/>
              <w:t>9</w:t>
              <w:fldChar w:fldCharType="end"/>
            </w:r>
          </w:hyperlink>
        </w:p>
        <w:p w14:paraId="32368AFA" w14:textId="4FCE8C02" w:rsidR="004B5E9E" w:rsidRDefault="004B5E9E">
          <w:pPr>
            <w:pStyle w:val="TOC1"/>
            <w:tabs>
              <w:tab w:val="left" w:pos="440"/>
              <w:tab w:val="right" w:leader="dot" w:pos="8630"/>
            </w:tabs>
            <w:rPr>
              <w:noProof/>
              <w:kern w:val="2"/>
              <w:sz w:val="24"/>
              <w:szCs w:val="24"/>
              <w:lang w:val="en-GB" w:eastAsia="en-GB"/>
              <w14:ligatures w14:val="standardContextual"/>
            </w:rPr>
          </w:pPr>
          <w:hyperlink w:anchor="_Toc210912503" w:history="1">
            <w:r>
              <w:rPr>
                <w:rStyle w:val="Hyperlink"/>
                <w:rFonts w:cstheme="majorHAnsi"/>
                <w:noProof/>
              </w:rPr>
              <w:t>7.</w:t>
            </w:r>
            <w:r>
              <w:rPr>
                <w:noProof/>
                <w:kern w:val="2"/>
                <w:sz w:val="24"/>
                <w:szCs w:val="24"/>
                <w:lang w:val="en-GB" w:eastAsia="en-GB"/>
                <w14:ligatures w14:val="standardContextual"/>
              </w:rPr>
              <w:tab/>
            </w:r>
            <w:r>
              <w:rPr>
                <w:rStyle w:val="Hyperlink"/>
                <w:rFonts w:cstheme="majorHAnsi"/>
                <w:noProof/>
              </w:rPr>
              <w:t>Transfer</w:t>
            </w:r>
            <w:r>
              <w:rPr>
                <w:noProof/>
                <w:webHidden/>
              </w:rPr>
              <w:tab/>
              <w:fldChar w:fldCharType="begin"/>
              <w:instrText xml:space="preserve"> PAGEREF _Toc210912503 \h </w:instrText>
              <w:fldChar w:fldCharType="separate"/>
              <w:t>11</w:t>
              <w:fldChar w:fldCharType="end"/>
            </w:r>
          </w:hyperlink>
        </w:p>
        <w:p w14:paraId="0B78F7A5" w14:textId="205F61AB" w:rsidR="004B5E9E" w:rsidRDefault="004B5E9E">
          <w:pPr>
            <w:pStyle w:val="TOC1"/>
            <w:tabs>
              <w:tab w:val="left" w:pos="440"/>
              <w:tab w:val="right" w:leader="dot" w:pos="8630"/>
            </w:tabs>
            <w:rPr>
              <w:noProof/>
              <w:kern w:val="2"/>
              <w:sz w:val="24"/>
              <w:szCs w:val="24"/>
              <w:lang w:val="en-GB" w:eastAsia="en-GB"/>
              <w14:ligatures w14:val="standardContextual"/>
            </w:rPr>
          </w:pPr>
          <w:hyperlink w:anchor="_Toc210912510" w:history="1">
            <w:r>
              <w:rPr>
                <w:rStyle w:val="Hyperlink"/>
                <w:rFonts w:cstheme="majorHAnsi"/>
                <w:noProof/>
              </w:rPr>
              <w:t>8.</w:t>
            </w:r>
            <w:r>
              <w:rPr>
                <w:noProof/>
                <w:kern w:val="2"/>
                <w:sz w:val="24"/>
                <w:szCs w:val="24"/>
                <w:lang w:val="en-GB" w:eastAsia="en-GB"/>
                <w14:ligatures w14:val="standardContextual"/>
              </w:rPr>
              <w:tab/>
            </w:r>
            <w:r>
              <w:rPr>
                <w:rStyle w:val="Hyperlink"/>
                <w:rFonts w:cstheme="majorHAnsi"/>
                <w:noProof/>
              </w:rPr>
              <w:t>Deliverables</w:t>
            </w:r>
            <w:r>
              <w:rPr>
                <w:noProof/>
                <w:webHidden/>
              </w:rPr>
              <w:tab/>
              <w:fldChar w:fldCharType="begin"/>
              <w:instrText xml:space="preserve"> PAGEREF _Toc210912510 \h </w:instrText>
              <w:fldChar w:fldCharType="separate"/>
              <w:t>13</w:t>
              <w:fldChar w:fldCharType="end"/>
            </w:r>
          </w:hyperlink>
        </w:p>
        <w:p w14:paraId="3AC13D53" w14:textId="61E9D550" w:rsidR="004B5E9E" w:rsidRDefault="004B5E9E">
          <w:pPr>
            <w:pStyle w:val="TOC1"/>
            <w:tabs>
              <w:tab w:val="left" w:pos="440"/>
              <w:tab w:val="right" w:leader="dot" w:pos="8630"/>
            </w:tabs>
            <w:rPr>
              <w:noProof/>
              <w:kern w:val="2"/>
              <w:sz w:val="24"/>
              <w:szCs w:val="24"/>
              <w:lang w:val="en-GB" w:eastAsia="en-GB"/>
              <w14:ligatures w14:val="standardContextual"/>
            </w:rPr>
          </w:pPr>
          <w:hyperlink w:anchor="_Toc210912511" w:history="1">
            <w:r>
              <w:rPr>
                <w:rStyle w:val="Hyperlink"/>
                <w:rFonts w:cstheme="majorHAnsi"/>
                <w:noProof/>
              </w:rPr>
              <w:t>9.</w:t>
            </w:r>
            <w:r>
              <w:rPr>
                <w:noProof/>
                <w:kern w:val="2"/>
                <w:sz w:val="24"/>
                <w:szCs w:val="24"/>
                <w:lang w:val="en-GB" w:eastAsia="en-GB"/>
                <w14:ligatures w14:val="standardContextual"/>
              </w:rPr>
              <w:tab/>
            </w:r>
            <w:r>
              <w:rPr>
                <w:rStyle w:val="Hyperlink"/>
                <w:rFonts w:cstheme="majorHAnsi"/>
                <w:noProof/>
              </w:rPr>
              <w:t>Resource Plan and Timeframe</w:t>
            </w:r>
            <w:r>
              <w:rPr>
                <w:noProof/>
                <w:webHidden/>
              </w:rPr>
              <w:tab/>
              <w:fldChar w:fldCharType="begin"/>
              <w:instrText xml:space="preserve"> PAGEREF _Toc210912511 \h </w:instrText>
              <w:fldChar w:fldCharType="separate"/>
              <w:t>13</w:t>
              <w:fldChar w:fldCharType="end"/>
            </w:r>
          </w:hyperlink>
        </w:p>
        <w:p w14:paraId="225A5E77" w14:textId="2E22F56C" w:rsidR="004B5E9E" w:rsidRDefault="004B5E9E">
          <w:pPr>
            <w:pStyle w:val="TOC1"/>
            <w:tabs>
              <w:tab w:val="left" w:pos="720"/>
              <w:tab w:val="right" w:leader="dot" w:pos="8630"/>
            </w:tabs>
            <w:rPr>
              <w:noProof/>
              <w:kern w:val="2"/>
              <w:sz w:val="24"/>
              <w:szCs w:val="24"/>
              <w:lang w:val="en-GB" w:eastAsia="en-GB"/>
              <w14:ligatures w14:val="standardContextual"/>
            </w:rPr>
          </w:pPr>
          <w:hyperlink w:anchor="_Toc210912512" w:history="1">
            <w:r>
              <w:rPr>
                <w:rStyle w:val="Hyperlink"/>
                <w:rFonts w:cstheme="majorHAnsi"/>
                <w:noProof/>
              </w:rPr>
              <w:t>10.</w:t>
            </w:r>
            <w:r>
              <w:rPr>
                <w:noProof/>
                <w:kern w:val="2"/>
                <w:sz w:val="24"/>
                <w:szCs w:val="24"/>
                <w:lang w:val="en-GB" w:eastAsia="en-GB"/>
                <w14:ligatures w14:val="standardContextual"/>
              </w:rPr>
              <w:t xml:space="preserve">   </w:t>
            </w:r>
            <w:r>
              <w:rPr>
                <w:rStyle w:val="Hyperlink"/>
                <w:rFonts w:cstheme="majorHAnsi"/>
                <w:noProof/>
              </w:rPr>
              <w:t>Investment and Commercials</w:t>
            </w:r>
            <w:r>
              <w:rPr>
                <w:noProof/>
                <w:webHidden/>
              </w:rPr>
              <w:tab/>
              <w:fldChar w:fldCharType="begin"/>
              <w:instrText xml:space="preserve"> PAGEREF _Toc210912512 \h </w:instrText>
              <w:fldChar w:fldCharType="separate"/>
              <w:t>14</w:t>
              <w:fldChar w:fldCharType="end"/>
            </w:r>
          </w:hyperlink>
        </w:p>
        <w:p w14:paraId="7FE6AF61" w14:textId="21BC96FD" w:rsidR="004B5E9E" w:rsidRDefault="004B5E9E">
          <w:pPr>
            <w:pStyle w:val="TOC1"/>
            <w:tabs>
              <w:tab w:val="left" w:pos="720"/>
              <w:tab w:val="right" w:leader="dot" w:pos="8630"/>
            </w:tabs>
            <w:rPr>
              <w:noProof/>
              <w:kern w:val="2"/>
              <w:sz w:val="24"/>
              <w:szCs w:val="24"/>
              <w:lang w:val="en-GB" w:eastAsia="en-GB"/>
              <w14:ligatures w14:val="standardContextual"/>
            </w:rPr>
          </w:pPr>
          <w:hyperlink w:anchor="_Toc210912513" w:history="1">
            <w:r>
              <w:rPr>
                <w:rStyle w:val="Hyperlink"/>
                <w:rFonts w:cstheme="majorHAnsi"/>
                <w:noProof/>
              </w:rPr>
              <w:t>11.</w:t>
            </w:r>
            <w:r>
              <w:rPr>
                <w:noProof/>
                <w:kern w:val="2"/>
                <w:sz w:val="24"/>
                <w:szCs w:val="24"/>
                <w:lang w:val="en-GB" w:eastAsia="en-GB"/>
                <w14:ligatures w14:val="standardContextual"/>
              </w:rPr>
              <w:t xml:space="preserve">   </w:t>
            </w:r>
            <w:r>
              <w:rPr>
                <w:rStyle w:val="Hyperlink"/>
                <w:rFonts w:cstheme="majorHAnsi"/>
                <w:noProof/>
              </w:rPr>
              <w:t>Next Steps</w:t>
            </w:r>
            <w:r>
              <w:rPr>
                <w:noProof/>
                <w:webHidden/>
              </w:rPr>
              <w:tab/>
              <w:fldChar w:fldCharType="begin"/>
              <w:instrText xml:space="preserve"> PAGEREF _Toc210912513 \h </w:instrText>
              <w:fldChar w:fldCharType="separate"/>
              <w:t>15</w:t>
              <w:fldChar w:fldCharType="end"/>
            </w:r>
          </w:hyperlink>
        </w:p>
        <w:p w14:paraId="1CC4EA40" w14:textId="270CBED5" w:rsidR="00C85BC2" w:rsidRPr="00906E9B" w:rsidRDefault="00C85BC2">
          <w:pPr>
            <w:rPr>
              <w:rFonts w:asciiTheme="majorHAnsi" w:hAnsiTheme="majorHAnsi" w:cstheme="majorHAnsi"/>
            </w:rPr>
          </w:pPr>
          <w:r>
            <w:rPr>
              <w:rFonts w:asciiTheme="majorHAnsi" w:hAnsiTheme="majorHAnsi" w:cstheme="majorHAnsi"/>
              <w:b/>
              <w:bCs/>
              <w:noProof/>
            </w:rPr>
            <w:fldChar w:fldCharType="end"/>
          </w:r>
        </w:p>
      </w:sdtContent>
    </w:sdt>
    <w:p w14:paraId="4C785033" w14:textId="76874095" w:rsidR="00D86F90" w:rsidRPr="00906E9B" w:rsidRDefault="00592109">
      <w:pPr>
        <w:rPr>
          <w:rFonts w:asciiTheme="majorHAnsi" w:hAnsiTheme="majorHAnsi" w:cstheme="majorHAnsi"/>
        </w:rPr>
      </w:pPr>
      <w:r>
        <w:rPr>
          <w:rFonts w:asciiTheme="majorHAnsi" w:hAnsiTheme="majorHAnsi" w:cstheme="majorHAnsi"/>
        </w:rPr>
        <w:br/>
      </w:r>
    </w:p>
    <w:p w14:paraId="590D27BF" w14:textId="77777777" w:rsidR="00C85BC2" w:rsidRPr="00906E9B" w:rsidRDefault="00C85BC2">
      <w:pPr>
        <w:rPr>
          <w:rFonts w:asciiTheme="majorHAnsi" w:eastAsiaTheme="majorEastAsia" w:hAnsiTheme="majorHAnsi" w:cstheme="majorHAnsi"/>
          <w:b/>
          <w:bCs/>
          <w:color w:val="365F91" w:themeColor="accent1" w:themeShade="BF"/>
          <w:sz w:val="28"/>
          <w:szCs w:val="28"/>
        </w:rPr>
      </w:pPr>
      <w:r>
        <w:rPr>
          <w:rFonts w:asciiTheme="majorHAnsi" w:hAnsiTheme="majorHAnsi" w:cstheme="majorHAnsi"/>
        </w:rPr>
        <w:br w:type="page"/>
      </w:r>
    </w:p>
    <w:p w14:paraId="3EA992B6" w14:textId="7CE42FDD" w:rsidR="00D86F90" w:rsidRPr="00C066C7" w:rsidRDefault="00592109" w:rsidP="00CB5528">
      <w:pPr>
        <w:pStyle w:val="Heading1"/>
        <w:numPr>
          <w:ilvl w:val="0"/>
          <w:numId w:val="11"/>
        </w:numPr>
        <w:rPr>
          <w:rFonts w:ascii="Calibri" w:hAnsi="Calibri" w:cs="Calibri"/>
          <w:color w:val="auto"/>
        </w:rPr>
      </w:pPr>
      <w:bookmarkStart w:id="0" w:name="_Toc210912496"/>
      <w:r>
        <w:rPr>
          <w:rFonts w:ascii="Calibri" w:hAnsi="Calibri" w:cs="Calibri"/>
          <w:color w:val="auto"/>
        </w:rPr>
        <w:lastRenderedPageBreak/>
        <w:t>Executive Summary</w:t>
      </w:r>
      <w:bookmarkEnd w:id="0"/>
    </w:p>
    <w:p w14:paraId="7331220C" w14:textId="60E0A49A" w:rsidR="00D20DD0" w:rsidRPr="00C066C7" w:rsidRDefault="00F75ECA" w:rsidP="00D20DD0">
      <w:pPr>
        <w:pStyle w:val="NormalWeb"/>
        <w:jc w:val="both"/>
        <w:rPr>
          <w:rFonts w:ascii="Calibri" w:hAnsi="Calibri" w:cs="Calibri"/>
          <w:sz w:val="22"/>
          <w:szCs w:val="22"/>
        </w:rPr>
      </w:pPr>
      <w:r>
        <w:rPr>
          <w:rFonts w:ascii="Calibri" w:hAnsi="Calibri" w:cs="Calibri"/>
          <w:sz w:val="22"/>
          <w:szCs w:val="22"/>
        </w:rPr>
        <w:t>GCT Group stands at a pivotal inflection point — transitioning from a traditional fibre ISP to Nigeria’s first fully converged, cloud-enabled, customer-centric digital telecoms service provider.</w:t>
      </w:r>
    </w:p>
    <w:p w14:paraId="3A7F4C4F" w14:textId="409F468B" w:rsidR="00D20DD0" w:rsidRPr="00C066C7" w:rsidRDefault="00D20DD0" w:rsidP="00D20DD0">
      <w:pPr>
        <w:pStyle w:val="NormalWeb"/>
        <w:jc w:val="both"/>
        <w:rPr>
          <w:rFonts w:ascii="Calibri" w:hAnsi="Calibri" w:cs="Calibri"/>
          <w:sz w:val="22"/>
          <w:szCs w:val="22"/>
        </w:rPr>
      </w:pPr>
      <w:r>
        <w:rPr>
          <w:rFonts w:ascii="Calibri" w:hAnsi="Calibri" w:cs="Calibri"/>
          <w:sz w:val="22"/>
          <w:szCs w:val="22"/>
        </w:rPr>
        <w:t xml:space="preserve">DSG proposes a </w:t>
      </w:r>
      <w:r>
        <w:rPr>
          <w:rStyle w:val="Strong"/>
          <w:rFonts w:ascii="Calibri" w:hAnsi="Calibri" w:cs="Calibri"/>
          <w:sz w:val="22"/>
          <w:szCs w:val="22"/>
        </w:rPr>
        <w:t>Design-Build-Operate-Transfer (DBOT)</w:t>
      </w:r>
      <w:r>
        <w:rPr>
          <w:rFonts w:ascii="Calibri" w:hAnsi="Calibri" w:cs="Calibri"/>
          <w:sz w:val="22"/>
          <w:szCs w:val="22"/>
        </w:rPr>
        <w:t xml:space="preserve"> partnership that delivers measurable outcomes:</w:t>
      </w:r>
    </w:p>
    <w:p w14:paraId="52DD8798" w14:textId="38E40F5B" w:rsidR="00B84F5C" w:rsidRPr="00C066C7" w:rsidRDefault="00D20DD0" w:rsidP="00B84F5C">
      <w:pPr>
        <w:pStyle w:val="NormalWeb"/>
        <w:numPr>
          <w:ilvl w:val="0"/>
          <w:numId w:val="26"/>
        </w:numPr>
        <w:jc w:val="both"/>
        <w:rPr>
          <w:rFonts w:ascii="Calibri" w:hAnsi="Calibri" w:cs="Calibri"/>
          <w:sz w:val="22"/>
          <w:szCs w:val="22"/>
        </w:rPr>
      </w:pPr>
      <w:r>
        <w:rPr>
          <w:rFonts w:ascii="Calibri" w:hAnsi="Calibri" w:cs="Calibri"/>
          <w:sz w:val="22"/>
          <w:szCs w:val="22"/>
        </w:rPr>
        <w:t>Sustainable revenue growth through diversified product innovation.</w:t>
      </w:r>
    </w:p>
    <w:p w14:paraId="56E3C628" w14:textId="77777777" w:rsidR="00B84F5C" w:rsidRPr="00C066C7" w:rsidRDefault="00D20DD0" w:rsidP="00B84F5C">
      <w:pPr>
        <w:pStyle w:val="NormalWeb"/>
        <w:numPr>
          <w:ilvl w:val="0"/>
          <w:numId w:val="26"/>
        </w:numPr>
        <w:jc w:val="both"/>
        <w:rPr>
          <w:rFonts w:ascii="Calibri" w:hAnsi="Calibri" w:cs="Calibri"/>
          <w:sz w:val="22"/>
          <w:szCs w:val="22"/>
        </w:rPr>
      </w:pPr>
      <w:r>
        <w:rPr>
          <w:rFonts w:ascii="Calibri" w:hAnsi="Calibri" w:cs="Calibri"/>
          <w:sz w:val="22"/>
          <w:szCs w:val="22"/>
        </w:rPr>
        <w:t>Operational efficiency through automation and digital process redesign.</w:t>
      </w:r>
    </w:p>
    <w:p w14:paraId="3EF42EA8" w14:textId="18F3AA95" w:rsidR="00D20DD0" w:rsidRPr="00C066C7" w:rsidRDefault="00D20DD0" w:rsidP="00B84F5C">
      <w:pPr>
        <w:pStyle w:val="NormalWeb"/>
        <w:numPr>
          <w:ilvl w:val="0"/>
          <w:numId w:val="26"/>
        </w:numPr>
        <w:jc w:val="both"/>
        <w:rPr>
          <w:rFonts w:ascii="Calibri" w:hAnsi="Calibri" w:cs="Calibri"/>
          <w:sz w:val="22"/>
          <w:szCs w:val="22"/>
        </w:rPr>
      </w:pPr>
      <w:r>
        <w:rPr>
          <w:rFonts w:ascii="Calibri" w:hAnsi="Calibri" w:cs="Calibri"/>
          <w:sz w:val="22"/>
          <w:szCs w:val="22"/>
        </w:rPr>
        <w:t>Customer excellence through data-driven engagement and omnichannel experience.</w:t>
      </w:r>
    </w:p>
    <w:p w14:paraId="38AEA618" w14:textId="4BEC0C0E" w:rsidR="00D20DD0" w:rsidRPr="00C066C7" w:rsidRDefault="00D20DD0" w:rsidP="00D20DD0">
      <w:pPr>
        <w:pStyle w:val="NormalWeb"/>
        <w:jc w:val="both"/>
        <w:rPr>
          <w:rFonts w:ascii="Calibri" w:hAnsi="Calibri" w:cs="Calibri"/>
          <w:sz w:val="22"/>
          <w:szCs w:val="22"/>
        </w:rPr>
      </w:pPr>
      <w:r>
        <w:rPr>
          <w:rFonts w:ascii="Calibri" w:hAnsi="Calibri" w:cs="Calibri"/>
          <w:sz w:val="22"/>
          <w:szCs w:val="22"/>
        </w:rPr>
        <w:t xml:space="preserve">This partnership will create a </w:t>
      </w:r>
      <w:r>
        <w:rPr>
          <w:rStyle w:val="Strong"/>
          <w:rFonts w:ascii="Calibri" w:hAnsi="Calibri" w:cs="Calibri"/>
          <w:sz w:val="22"/>
          <w:szCs w:val="22"/>
        </w:rPr>
        <w:t xml:space="preserve">future-ready GCT Group MVNO </w:t>
      </w:r>
      <w:r>
        <w:rPr>
          <w:rFonts w:ascii="Calibri" w:hAnsi="Calibri" w:cs="Calibri"/>
          <w:sz w:val="22"/>
          <w:szCs w:val="22"/>
        </w:rPr>
        <w:t>— financially strong, digitally agile, and strategically positioned to lead Nigeria’s telecom renaissance.</w:t>
      </w:r>
    </w:p>
    <w:p w14:paraId="730B7E4F" w14:textId="2E0DA01C" w:rsidR="00F767FE" w:rsidRPr="00C066C7" w:rsidRDefault="00592109" w:rsidP="00F767FE">
      <w:pPr>
        <w:pStyle w:val="Heading1"/>
        <w:numPr>
          <w:ilvl w:val="0"/>
          <w:numId w:val="11"/>
        </w:numPr>
        <w:rPr>
          <w:rFonts w:ascii="Calibri" w:hAnsi="Calibri" w:cs="Calibri"/>
          <w:color w:val="auto"/>
        </w:rPr>
      </w:pPr>
      <w:bookmarkStart w:id="1" w:name="_Toc210912497"/>
      <w:r>
        <w:rPr>
          <w:rFonts w:ascii="Calibri" w:hAnsi="Calibri" w:cs="Calibri"/>
          <w:color w:val="auto"/>
        </w:rPr>
        <w:t>Background and Context</w:t>
      </w:r>
      <w:bookmarkEnd w:id="1"/>
    </w:p>
    <w:p w14:paraId="0C91E687" w14:textId="77777777" w:rsidR="00F767FE" w:rsidRPr="00C066C7" w:rsidRDefault="00F767FE" w:rsidP="00F767FE">
      <w:pPr>
        <w:rPr>
          <w:rFonts w:ascii="Calibri" w:hAnsi="Calibri" w:cs="Calibri"/>
        </w:rPr>
      </w:pPr>
    </w:p>
    <w:p w14:paraId="09D16343" w14:textId="77777777" w:rsidR="00F767FE" w:rsidRPr="00F767FE" w:rsidRDefault="00F767FE" w:rsidP="00F767FE">
      <w:pPr>
        <w:rPr>
          <w:rFonts w:ascii="Calibri" w:hAnsi="Calibri" w:cs="Calibri"/>
          <w:b/>
          <w:bCs/>
          <w:lang w:val="en-GB"/>
        </w:rPr>
      </w:pPr>
      <w:r>
        <w:rPr>
          <w:rFonts w:ascii="Calibri" w:hAnsi="Calibri" w:cs="Calibri"/>
          <w:b/>
          <w:bCs/>
          <w:lang w:val="en-GB"/>
        </w:rPr>
        <w:t>Executive Overview</w:t>
      </w:r>
    </w:p>
    <w:p w14:paraId="40D9AC6D" w14:textId="77777777" w:rsidR="00F767FE" w:rsidRPr="00F767FE" w:rsidRDefault="00F767FE" w:rsidP="00A75EB3">
      <w:pPr>
        <w:jc w:val="both"/>
        <w:rPr>
          <w:rFonts w:ascii="Calibri" w:hAnsi="Calibri" w:cs="Calibri"/>
          <w:lang w:val="en-GB"/>
        </w:rPr>
      </w:pPr>
      <w:r>
        <w:rPr>
          <w:rFonts w:ascii="Calibri" w:hAnsi="Calibri" w:cs="Calibri"/>
          <w:lang w:val="en-GB"/>
        </w:rPr>
        <w:t>GCT Group has built a formidable reputation as one of Nigeria’s leading fibre-to-the-home (FTTH), enterprise connectivity, and data centre service providers. With a strong presence in key urban centres such as Lagos, Abuja, and Port Harcourt, GCT Group is already positioned as a premium connectivity brand trusted by residential and enterprise customers.</w:t>
      </w:r>
    </w:p>
    <w:p w14:paraId="79B89614" w14:textId="77777777" w:rsidR="00F767FE" w:rsidRPr="00F767FE" w:rsidRDefault="00F767FE" w:rsidP="00A75EB3">
      <w:pPr>
        <w:jc w:val="both"/>
        <w:rPr>
          <w:rFonts w:ascii="Calibri" w:hAnsi="Calibri" w:cs="Calibri"/>
          <w:lang w:val="en-GB"/>
        </w:rPr>
      </w:pPr>
      <w:r>
        <w:rPr>
          <w:rFonts w:ascii="Calibri" w:hAnsi="Calibri" w:cs="Calibri"/>
          <w:lang w:val="en-GB"/>
        </w:rPr>
        <w:t xml:space="preserve">The next logical strategic evolution for GCT Group is the addition of a </w:t>
      </w:r>
      <w:r>
        <w:rPr>
          <w:rFonts w:ascii="Calibri" w:hAnsi="Calibri" w:cs="Calibri"/>
          <w:b/>
          <w:bCs/>
          <w:lang w:val="en-GB"/>
        </w:rPr>
        <w:t>Mobile Virtual Network Operator (MVNO)</w:t>
      </w:r>
      <w:r>
        <w:rPr>
          <w:rFonts w:ascii="Calibri" w:hAnsi="Calibri" w:cs="Calibri"/>
          <w:lang w:val="en-GB"/>
        </w:rPr>
        <w:t xml:space="preserve"> capability — enabling GCT Group to offer fully integrated fixed-mobile convergence (FMC) services under its own brand.</w:t>
      </w:r>
    </w:p>
    <w:p w14:paraId="39627E38" w14:textId="77777777" w:rsidR="00F767FE" w:rsidRPr="00F767FE" w:rsidRDefault="00F767FE" w:rsidP="00A75EB3">
      <w:pPr>
        <w:jc w:val="both"/>
        <w:rPr>
          <w:rFonts w:ascii="Calibri" w:hAnsi="Calibri" w:cs="Calibri"/>
          <w:lang w:val="en-GB"/>
        </w:rPr>
      </w:pPr>
      <w:r>
        <w:rPr>
          <w:rFonts w:ascii="Calibri" w:hAnsi="Calibri" w:cs="Calibri"/>
          <w:lang w:val="en-GB"/>
        </w:rPr>
        <w:t xml:space="preserve">This proposal outlines how launching an </w:t>
      </w:r>
      <w:r>
        <w:rPr>
          <w:rFonts w:ascii="Calibri" w:hAnsi="Calibri" w:cs="Calibri"/>
          <w:b/>
          <w:bCs/>
          <w:lang w:val="en-GB"/>
        </w:rPr>
        <w:t>GCT Group Mobile MVNO</w:t>
      </w:r>
      <w:r>
        <w:rPr>
          <w:rFonts w:ascii="Calibri" w:hAnsi="Calibri" w:cs="Calibri"/>
          <w:lang w:val="en-GB"/>
        </w:rPr>
        <w:t xml:space="preserve"> will:</w:t>
      </w:r>
    </w:p>
    <w:p w14:paraId="1290F50D" w14:textId="77777777" w:rsidR="00F767FE" w:rsidRPr="00F767FE" w:rsidRDefault="00F767FE" w:rsidP="00F767FE">
      <w:pPr>
        <w:numPr>
          <w:ilvl w:val="0"/>
          <w:numId w:val="37"/>
        </w:numPr>
        <w:rPr>
          <w:rFonts w:ascii="Calibri" w:hAnsi="Calibri" w:cs="Calibri"/>
          <w:lang w:val="en-GB"/>
        </w:rPr>
      </w:pPr>
      <w:r>
        <w:rPr>
          <w:rFonts w:ascii="Calibri" w:hAnsi="Calibri" w:cs="Calibri"/>
          <w:lang w:val="en-GB"/>
        </w:rPr>
        <w:t>Expand Average Revenue Per User (ARPU)</w:t>
      </w:r>
    </w:p>
    <w:p w14:paraId="5E15AADE" w14:textId="77777777" w:rsidR="00F767FE" w:rsidRPr="00F767FE" w:rsidRDefault="00F767FE" w:rsidP="00F767FE">
      <w:pPr>
        <w:numPr>
          <w:ilvl w:val="0"/>
          <w:numId w:val="37"/>
        </w:numPr>
        <w:rPr>
          <w:rFonts w:ascii="Calibri" w:hAnsi="Calibri" w:cs="Calibri"/>
          <w:lang w:val="en-GB"/>
        </w:rPr>
      </w:pPr>
      <w:r>
        <w:rPr>
          <w:rFonts w:ascii="Calibri" w:hAnsi="Calibri" w:cs="Calibri"/>
          <w:lang w:val="en-GB"/>
        </w:rPr>
        <w:t>Reduce churn across fibre and enterprise customers</w:t>
      </w:r>
    </w:p>
    <w:p w14:paraId="0048FADE" w14:textId="77777777" w:rsidR="00F767FE" w:rsidRPr="00F767FE" w:rsidRDefault="00F767FE" w:rsidP="00F767FE">
      <w:pPr>
        <w:numPr>
          <w:ilvl w:val="0"/>
          <w:numId w:val="37"/>
        </w:numPr>
        <w:rPr>
          <w:rFonts w:ascii="Calibri" w:hAnsi="Calibri" w:cs="Calibri"/>
          <w:lang w:val="en-GB"/>
        </w:rPr>
      </w:pPr>
      <w:r>
        <w:rPr>
          <w:rFonts w:ascii="Calibri" w:hAnsi="Calibri" w:cs="Calibri"/>
          <w:lang w:val="en-GB"/>
        </w:rPr>
        <w:t>Strengthen brand stickiness</w:t>
      </w:r>
    </w:p>
    <w:p w14:paraId="0ACCBF90" w14:textId="77777777" w:rsidR="00F767FE" w:rsidRPr="00F767FE" w:rsidRDefault="00F767FE" w:rsidP="00F767FE">
      <w:pPr>
        <w:numPr>
          <w:ilvl w:val="0"/>
          <w:numId w:val="37"/>
        </w:numPr>
        <w:rPr>
          <w:rFonts w:ascii="Calibri" w:hAnsi="Calibri" w:cs="Calibri"/>
          <w:lang w:val="en-GB"/>
        </w:rPr>
      </w:pPr>
      <w:r>
        <w:rPr>
          <w:rFonts w:ascii="Calibri" w:hAnsi="Calibri" w:cs="Calibri"/>
          <w:lang w:val="en-GB"/>
        </w:rPr>
        <w:t>Unlock new B2C and B2B revenue streams</w:t>
      </w:r>
    </w:p>
    <w:p w14:paraId="32F09BCB" w14:textId="39B5F413" w:rsidR="00F767FE" w:rsidRPr="00F767FE" w:rsidRDefault="00F767FE" w:rsidP="00F767FE">
      <w:pPr>
        <w:numPr>
          <w:ilvl w:val="0"/>
          <w:numId w:val="37"/>
        </w:numPr>
        <w:rPr>
          <w:rFonts w:ascii="Calibri" w:hAnsi="Calibri" w:cs="Calibri"/>
          <w:lang w:val="en-GB"/>
        </w:rPr>
      </w:pPr>
      <w:r>
        <w:rPr>
          <w:rFonts w:ascii="Calibri" w:hAnsi="Calibri" w:cs="Calibri"/>
          <w:lang w:val="en-GB"/>
        </w:rPr>
        <w:t>Position GCT Group as a full digital connectivity provider</w:t>
      </w:r>
    </w:p>
    <w:p w14:paraId="53958CF1" w14:textId="77777777" w:rsidR="00F767FE" w:rsidRPr="00F767FE" w:rsidRDefault="00F767FE" w:rsidP="00F767FE">
      <w:pPr>
        <w:rPr>
          <w:rFonts w:ascii="Calibri" w:hAnsi="Calibri" w:cs="Calibri"/>
          <w:b/>
          <w:bCs/>
          <w:lang w:val="en-GB"/>
        </w:rPr>
      </w:pPr>
      <w:r>
        <w:rPr>
          <w:rFonts w:ascii="Calibri" w:hAnsi="Calibri" w:cs="Calibri"/>
          <w:b/>
          <w:bCs/>
          <w:lang w:val="en-GB"/>
        </w:rPr>
        <w:t>Why an MVNO Makes Strategic Sense for GCT Group</w:t>
      </w:r>
    </w:p>
    <w:p w14:paraId="2B4CDD5B" w14:textId="77777777" w:rsidR="00F767FE" w:rsidRPr="00F767FE" w:rsidRDefault="00F767FE" w:rsidP="00F767FE">
      <w:pPr>
        <w:rPr>
          <w:rFonts w:ascii="Calibri" w:hAnsi="Calibri" w:cs="Calibri"/>
          <w:lang w:val="en-GB"/>
        </w:rPr>
      </w:pPr>
      <w:r>
        <w:rPr>
          <w:rFonts w:ascii="Calibri" w:hAnsi="Calibri" w:cs="Calibri"/>
          <w:lang w:val="en-GB"/>
        </w:rPr>
        <w:t>Nigeria’s telecom market is mature but still highly mobile-first:</w:t>
      </w:r>
    </w:p>
    <w:p w14:paraId="3ED4C3CD" w14:textId="77777777" w:rsidR="00F767FE" w:rsidRPr="00F767FE" w:rsidRDefault="00F767FE" w:rsidP="00F767FE">
      <w:pPr>
        <w:numPr>
          <w:ilvl w:val="0"/>
          <w:numId w:val="38"/>
        </w:numPr>
        <w:rPr>
          <w:rFonts w:ascii="Calibri" w:hAnsi="Calibri" w:cs="Calibri"/>
          <w:lang w:val="en-GB"/>
        </w:rPr>
      </w:pPr>
      <w:r>
        <w:rPr>
          <w:rFonts w:ascii="Calibri" w:hAnsi="Calibri" w:cs="Calibri"/>
          <w:lang w:val="en-GB"/>
        </w:rPr>
        <w:lastRenderedPageBreak/>
        <w:t>Over 200 million mobile subscriptions</w:t>
      </w:r>
    </w:p>
    <w:p w14:paraId="03685DDA" w14:textId="77777777" w:rsidR="00F767FE" w:rsidRPr="00F767FE" w:rsidRDefault="00F767FE" w:rsidP="00F767FE">
      <w:pPr>
        <w:numPr>
          <w:ilvl w:val="0"/>
          <w:numId w:val="38"/>
        </w:numPr>
        <w:rPr>
          <w:rFonts w:ascii="Calibri" w:hAnsi="Calibri" w:cs="Calibri"/>
          <w:lang w:val="en-GB"/>
        </w:rPr>
      </w:pPr>
      <w:r>
        <w:rPr>
          <w:rFonts w:ascii="Calibri" w:hAnsi="Calibri" w:cs="Calibri"/>
          <w:lang w:val="en-GB"/>
        </w:rPr>
        <w:t>Data consumption growing double digits annually</w:t>
      </w:r>
    </w:p>
    <w:p w14:paraId="55E52785" w14:textId="77777777" w:rsidR="00F767FE" w:rsidRPr="00F767FE" w:rsidRDefault="00F767FE" w:rsidP="00F767FE">
      <w:pPr>
        <w:numPr>
          <w:ilvl w:val="0"/>
          <w:numId w:val="38"/>
        </w:numPr>
        <w:rPr>
          <w:rFonts w:ascii="Calibri" w:hAnsi="Calibri" w:cs="Calibri"/>
          <w:lang w:val="en-GB"/>
        </w:rPr>
      </w:pPr>
      <w:r>
        <w:rPr>
          <w:rFonts w:ascii="Calibri" w:hAnsi="Calibri" w:cs="Calibri"/>
          <w:lang w:val="en-GB"/>
        </w:rPr>
        <w:t>Increasing demand for bundled connectivity</w:t>
      </w:r>
    </w:p>
    <w:p w14:paraId="532A036A" w14:textId="77777777" w:rsidR="00F767FE" w:rsidRPr="00F767FE" w:rsidRDefault="00F767FE" w:rsidP="00F767FE">
      <w:pPr>
        <w:numPr>
          <w:ilvl w:val="0"/>
          <w:numId w:val="38"/>
        </w:numPr>
        <w:rPr>
          <w:rFonts w:ascii="Calibri" w:hAnsi="Calibri" w:cs="Calibri"/>
          <w:lang w:val="en-GB"/>
        </w:rPr>
      </w:pPr>
      <w:r>
        <w:rPr>
          <w:rFonts w:ascii="Calibri" w:hAnsi="Calibri" w:cs="Calibri"/>
          <w:lang w:val="en-GB"/>
        </w:rPr>
        <w:t>Growing SME digitisation</w:t>
      </w:r>
    </w:p>
    <w:p w14:paraId="0DD1DB25" w14:textId="77777777" w:rsidR="00F767FE" w:rsidRPr="00F767FE" w:rsidRDefault="00F767FE" w:rsidP="00F767FE">
      <w:pPr>
        <w:rPr>
          <w:rFonts w:ascii="Calibri" w:hAnsi="Calibri" w:cs="Calibri"/>
          <w:lang w:val="en-GB"/>
        </w:rPr>
      </w:pPr>
      <w:r>
        <w:rPr>
          <w:rFonts w:ascii="Calibri" w:hAnsi="Calibri" w:cs="Calibri"/>
          <w:lang w:val="en-GB"/>
        </w:rPr>
        <w:t>Yet most ISPs remain fixed-line providers only.</w:t>
      </w:r>
    </w:p>
    <w:p w14:paraId="519E3762" w14:textId="75C0D207" w:rsidR="00F767FE" w:rsidRPr="00F767FE" w:rsidRDefault="00F767FE" w:rsidP="00F767FE">
      <w:pPr>
        <w:rPr>
          <w:rFonts w:ascii="Calibri" w:hAnsi="Calibri" w:cs="Calibri"/>
          <w:lang w:val="en-GB"/>
        </w:rPr>
      </w:pPr>
      <w:r>
        <w:rPr>
          <w:rFonts w:ascii="Calibri" w:hAnsi="Calibri" w:cs="Calibri"/>
          <w:lang w:val="en-GB"/>
        </w:rPr>
        <w:t xml:space="preserve">By launching an MVNO, GCT Group would become a </w:t>
      </w:r>
      <w:r>
        <w:rPr>
          <w:rFonts w:ascii="Calibri" w:hAnsi="Calibri" w:cs="Calibri"/>
          <w:b/>
          <w:bCs/>
          <w:lang w:val="en-GB"/>
        </w:rPr>
        <w:t>converged digital connectivity operator</w:t>
      </w:r>
      <w:r>
        <w:rPr>
          <w:rFonts w:ascii="Calibri" w:hAnsi="Calibri" w:cs="Calibri"/>
          <w:lang w:val="en-GB"/>
        </w:rPr>
        <w:t xml:space="preserve"> — similar to global ISP-to-MVNO evolutions seen in Europe and Asia.</w:t>
      </w:r>
    </w:p>
    <w:p w14:paraId="3DBF796D" w14:textId="77777777" w:rsidR="00F767FE" w:rsidRPr="00F767FE" w:rsidRDefault="00F767FE" w:rsidP="00F767FE">
      <w:pPr>
        <w:rPr>
          <w:rFonts w:ascii="Calibri" w:hAnsi="Calibri" w:cs="Calibri"/>
          <w:b/>
          <w:bCs/>
          <w:lang w:val="en-GB"/>
        </w:rPr>
      </w:pPr>
      <w:r>
        <w:rPr>
          <w:rFonts w:ascii="Calibri" w:hAnsi="Calibri" w:cs="Calibri"/>
          <w:b/>
          <w:bCs/>
          <w:lang w:val="en-GB"/>
        </w:rPr>
        <w:t>Strategic Rationale</w:t>
      </w:r>
    </w:p>
    <w:p w14:paraId="75A227BB" w14:textId="77777777" w:rsidR="00F767FE" w:rsidRPr="00F767FE" w:rsidRDefault="00F767FE" w:rsidP="00F767FE">
      <w:pPr>
        <w:rPr>
          <w:rFonts w:ascii="Calibri" w:hAnsi="Calibri" w:cs="Calibri"/>
          <w:b/>
          <w:bCs/>
          <w:lang w:val="en-GB"/>
        </w:rPr>
      </w:pPr>
      <w:r>
        <w:rPr>
          <w:rFonts w:ascii="Calibri" w:hAnsi="Calibri" w:cs="Calibri"/>
          <w:b/>
          <w:bCs/>
          <w:lang w:val="en-GB"/>
        </w:rPr>
        <w:t>1. Fixed-Mobile Convergence (FMC)</w:t>
      </w:r>
    </w:p>
    <w:p w14:paraId="68DB28AB" w14:textId="77777777" w:rsidR="00F767FE" w:rsidRPr="00F767FE" w:rsidRDefault="00F767FE" w:rsidP="00F767FE">
      <w:pPr>
        <w:rPr>
          <w:rFonts w:ascii="Calibri" w:hAnsi="Calibri" w:cs="Calibri"/>
          <w:lang w:val="en-GB"/>
        </w:rPr>
      </w:pPr>
      <w:r>
        <w:rPr>
          <w:rFonts w:ascii="Calibri" w:hAnsi="Calibri" w:cs="Calibri"/>
          <w:lang w:val="en-GB"/>
        </w:rPr>
        <w:t>GCT Group already owns the fixed broadband relationship. Adding mobile allows:</w:t>
      </w:r>
    </w:p>
    <w:p w14:paraId="3AB40C27" w14:textId="77777777" w:rsidR="00F767FE" w:rsidRPr="00F767FE" w:rsidRDefault="00F767FE" w:rsidP="00F767FE">
      <w:pPr>
        <w:numPr>
          <w:ilvl w:val="0"/>
          <w:numId w:val="39"/>
        </w:numPr>
        <w:rPr>
          <w:rFonts w:ascii="Calibri" w:hAnsi="Calibri" w:cs="Calibri"/>
          <w:lang w:val="en-GB"/>
        </w:rPr>
      </w:pPr>
      <w:r>
        <w:rPr>
          <w:rFonts w:ascii="Calibri" w:hAnsi="Calibri" w:cs="Calibri"/>
          <w:lang w:val="en-GB"/>
        </w:rPr>
        <w:t>Bundled Fibre + Mobile data packages</w:t>
      </w:r>
    </w:p>
    <w:p w14:paraId="2842FA74" w14:textId="77777777" w:rsidR="00F767FE" w:rsidRPr="00F767FE" w:rsidRDefault="00F767FE" w:rsidP="00F767FE">
      <w:pPr>
        <w:numPr>
          <w:ilvl w:val="0"/>
          <w:numId w:val="39"/>
        </w:numPr>
        <w:rPr>
          <w:rFonts w:ascii="Calibri" w:hAnsi="Calibri" w:cs="Calibri"/>
          <w:lang w:val="en-GB"/>
        </w:rPr>
      </w:pPr>
      <w:r>
        <w:rPr>
          <w:rFonts w:ascii="Calibri" w:hAnsi="Calibri" w:cs="Calibri"/>
          <w:lang w:val="en-GB"/>
        </w:rPr>
        <w:t>Shared data pools for households</w:t>
      </w:r>
    </w:p>
    <w:p w14:paraId="2C8EF627" w14:textId="77777777" w:rsidR="00F767FE" w:rsidRPr="00F767FE" w:rsidRDefault="00F767FE" w:rsidP="00F767FE">
      <w:pPr>
        <w:numPr>
          <w:ilvl w:val="0"/>
          <w:numId w:val="39"/>
        </w:numPr>
        <w:rPr>
          <w:rFonts w:ascii="Calibri" w:hAnsi="Calibri" w:cs="Calibri"/>
          <w:lang w:val="en-GB"/>
        </w:rPr>
      </w:pPr>
      <w:r>
        <w:rPr>
          <w:rFonts w:ascii="Calibri" w:hAnsi="Calibri" w:cs="Calibri"/>
          <w:lang w:val="en-GB"/>
        </w:rPr>
        <w:t>Unified billing</w:t>
      </w:r>
    </w:p>
    <w:p w14:paraId="038610FC" w14:textId="09541A8B" w:rsidR="00F767FE" w:rsidRPr="00F767FE" w:rsidRDefault="00F767FE" w:rsidP="00F767FE">
      <w:pPr>
        <w:numPr>
          <w:ilvl w:val="0"/>
          <w:numId w:val="39"/>
        </w:numPr>
        <w:rPr>
          <w:rFonts w:ascii="Calibri" w:hAnsi="Calibri" w:cs="Calibri"/>
          <w:lang w:val="en-GB"/>
        </w:rPr>
      </w:pPr>
      <w:r>
        <w:rPr>
          <w:rFonts w:ascii="Calibri" w:hAnsi="Calibri" w:cs="Calibri"/>
          <w:lang w:val="en-GB"/>
        </w:rPr>
        <w:t xml:space="preserve">Cross-selling </w:t>
      </w:r>
    </w:p>
    <w:p w14:paraId="49464CB8" w14:textId="77777777" w:rsidR="00F767FE" w:rsidRPr="00F767FE" w:rsidRDefault="00F767FE" w:rsidP="00F767FE">
      <w:pPr>
        <w:numPr>
          <w:ilvl w:val="0"/>
          <w:numId w:val="39"/>
        </w:numPr>
        <w:rPr>
          <w:rFonts w:ascii="Calibri" w:hAnsi="Calibri" w:cs="Calibri"/>
          <w:lang w:val="en-GB"/>
        </w:rPr>
      </w:pPr>
      <w:r>
        <w:rPr>
          <w:rFonts w:ascii="Calibri" w:hAnsi="Calibri" w:cs="Calibri"/>
          <w:lang w:val="en-GB"/>
        </w:rPr>
        <w:t>SIM-enabled backup connectivity for fibre outages</w:t>
      </w:r>
    </w:p>
    <w:p w14:paraId="18D32E47" w14:textId="4E3FAF54" w:rsidR="00F767FE" w:rsidRPr="00F767FE" w:rsidRDefault="00F767FE" w:rsidP="00F767FE">
      <w:pPr>
        <w:rPr>
          <w:rFonts w:ascii="Calibri" w:hAnsi="Calibri" w:cs="Calibri"/>
          <w:lang w:val="en-GB"/>
        </w:rPr>
      </w:pPr>
      <w:r>
        <w:rPr>
          <w:rFonts w:ascii="Calibri" w:hAnsi="Calibri" w:cs="Calibri"/>
          <w:lang w:val="en-GB"/>
        </w:rPr>
        <w:t>This dramatically reduces churn and increases lifetime value.</w:t>
      </w:r>
    </w:p>
    <w:p w14:paraId="78A31E20" w14:textId="77777777" w:rsidR="00F767FE" w:rsidRPr="00F767FE" w:rsidRDefault="00F767FE" w:rsidP="00F767FE">
      <w:pPr>
        <w:rPr>
          <w:rFonts w:ascii="Calibri" w:hAnsi="Calibri" w:cs="Calibri"/>
          <w:b/>
          <w:bCs/>
          <w:lang w:val="en-GB"/>
        </w:rPr>
      </w:pPr>
      <w:r>
        <w:rPr>
          <w:rFonts w:ascii="Calibri" w:hAnsi="Calibri" w:cs="Calibri"/>
          <w:b/>
          <w:bCs/>
          <w:lang w:val="en-GB"/>
        </w:rPr>
        <w:t>2. Enterprise &amp; SME Upsell</w:t>
      </w:r>
    </w:p>
    <w:p w14:paraId="24C7A4A4" w14:textId="77777777" w:rsidR="00F767FE" w:rsidRPr="00F767FE" w:rsidRDefault="00F767FE" w:rsidP="00F767FE">
      <w:pPr>
        <w:rPr>
          <w:rFonts w:ascii="Calibri" w:hAnsi="Calibri" w:cs="Calibri"/>
          <w:lang w:val="en-GB"/>
        </w:rPr>
      </w:pPr>
      <w:r>
        <w:rPr>
          <w:rFonts w:ascii="Calibri" w:hAnsi="Calibri" w:cs="Calibri"/>
          <w:lang w:val="en-GB"/>
        </w:rPr>
        <w:t>GCT Group serves many corporate clients. An MVNO enables:</w:t>
      </w:r>
    </w:p>
    <w:p w14:paraId="1A03FA87" w14:textId="77777777" w:rsidR="00F767FE" w:rsidRPr="00F767FE" w:rsidRDefault="00F767FE" w:rsidP="00F767FE">
      <w:pPr>
        <w:numPr>
          <w:ilvl w:val="0"/>
          <w:numId w:val="40"/>
        </w:numPr>
        <w:rPr>
          <w:rFonts w:ascii="Calibri" w:hAnsi="Calibri" w:cs="Calibri"/>
          <w:lang w:val="en-GB"/>
        </w:rPr>
      </w:pPr>
      <w:r>
        <w:rPr>
          <w:rFonts w:ascii="Calibri" w:hAnsi="Calibri" w:cs="Calibri"/>
          <w:lang w:val="en-GB"/>
        </w:rPr>
        <w:t>Corporate mobile fleet packages</w:t>
      </w:r>
    </w:p>
    <w:p w14:paraId="25AEC371" w14:textId="77777777" w:rsidR="00F767FE" w:rsidRPr="00F767FE" w:rsidRDefault="00F767FE" w:rsidP="00F767FE">
      <w:pPr>
        <w:numPr>
          <w:ilvl w:val="0"/>
          <w:numId w:val="40"/>
        </w:numPr>
        <w:rPr>
          <w:rFonts w:ascii="Calibri" w:hAnsi="Calibri" w:cs="Calibri"/>
          <w:lang w:val="en-GB"/>
        </w:rPr>
      </w:pPr>
      <w:r>
        <w:rPr>
          <w:rFonts w:ascii="Calibri" w:hAnsi="Calibri" w:cs="Calibri"/>
          <w:lang w:val="en-GB"/>
        </w:rPr>
        <w:t>IoT SIMs</w:t>
      </w:r>
    </w:p>
    <w:p w14:paraId="3C8C9AF2" w14:textId="77777777" w:rsidR="00F767FE" w:rsidRPr="00F767FE" w:rsidRDefault="00F767FE" w:rsidP="00F767FE">
      <w:pPr>
        <w:numPr>
          <w:ilvl w:val="0"/>
          <w:numId w:val="40"/>
        </w:numPr>
        <w:rPr>
          <w:rFonts w:ascii="Calibri" w:hAnsi="Calibri" w:cs="Calibri"/>
          <w:lang w:val="en-GB"/>
        </w:rPr>
      </w:pPr>
      <w:r>
        <w:rPr>
          <w:rFonts w:ascii="Calibri" w:hAnsi="Calibri" w:cs="Calibri"/>
          <w:lang w:val="en-GB"/>
        </w:rPr>
        <w:t>M2M connectivity</w:t>
      </w:r>
    </w:p>
    <w:p w14:paraId="79210808" w14:textId="77777777" w:rsidR="00F767FE" w:rsidRPr="00F767FE" w:rsidRDefault="00F767FE" w:rsidP="00F767FE">
      <w:pPr>
        <w:numPr>
          <w:ilvl w:val="0"/>
          <w:numId w:val="40"/>
        </w:numPr>
        <w:rPr>
          <w:rFonts w:ascii="Calibri" w:hAnsi="Calibri" w:cs="Calibri"/>
          <w:lang w:val="en-GB"/>
        </w:rPr>
      </w:pPr>
      <w:r>
        <w:rPr>
          <w:rFonts w:ascii="Calibri" w:hAnsi="Calibri" w:cs="Calibri"/>
          <w:lang w:val="en-GB"/>
        </w:rPr>
        <w:t>Backup LTE failover for enterprise fibre</w:t>
      </w:r>
    </w:p>
    <w:p w14:paraId="033E1E1C" w14:textId="77777777" w:rsidR="00F767FE" w:rsidRPr="00F767FE" w:rsidRDefault="00F767FE" w:rsidP="00F767FE">
      <w:pPr>
        <w:numPr>
          <w:ilvl w:val="0"/>
          <w:numId w:val="40"/>
        </w:numPr>
        <w:rPr>
          <w:rFonts w:ascii="Calibri" w:hAnsi="Calibri" w:cs="Calibri"/>
          <w:lang w:val="en-GB"/>
        </w:rPr>
      </w:pPr>
      <w:r>
        <w:rPr>
          <w:rFonts w:ascii="Calibri" w:hAnsi="Calibri" w:cs="Calibri"/>
          <w:lang w:val="en-GB"/>
        </w:rPr>
        <w:t>Closed User Groups (CUGs)</w:t>
      </w:r>
    </w:p>
    <w:p w14:paraId="3C82ED5C" w14:textId="32A6275D" w:rsidR="00F767FE" w:rsidRPr="00F767FE" w:rsidRDefault="00F767FE" w:rsidP="00F767FE">
      <w:pPr>
        <w:rPr>
          <w:rFonts w:ascii="Calibri" w:hAnsi="Calibri" w:cs="Calibri"/>
          <w:lang w:val="en-GB"/>
        </w:rPr>
      </w:pPr>
      <w:r>
        <w:rPr>
          <w:rFonts w:ascii="Calibri" w:hAnsi="Calibri" w:cs="Calibri"/>
          <w:lang w:val="en-GB"/>
        </w:rPr>
        <w:t>This strengthens enterprise contracts and defends against MNO encroachment.</w:t>
      </w:r>
    </w:p>
    <w:p w14:paraId="05D8AC26" w14:textId="77777777" w:rsidR="00F767FE" w:rsidRPr="00F767FE" w:rsidRDefault="00F767FE" w:rsidP="00F767FE">
      <w:pPr>
        <w:rPr>
          <w:rFonts w:ascii="Calibri" w:hAnsi="Calibri" w:cs="Calibri"/>
          <w:b/>
          <w:bCs/>
          <w:lang w:val="en-GB"/>
        </w:rPr>
      </w:pPr>
      <w:r>
        <w:rPr>
          <w:rFonts w:ascii="Calibri" w:hAnsi="Calibri" w:cs="Calibri"/>
          <w:b/>
          <w:bCs/>
          <w:lang w:val="en-GB"/>
        </w:rPr>
        <w:t>3. Residential Cross-Sell Opportunity</w:t>
      </w:r>
    </w:p>
    <w:p w14:paraId="6450EA58" w14:textId="77777777" w:rsidR="00F767FE" w:rsidRPr="00F767FE" w:rsidRDefault="00F767FE" w:rsidP="00F767FE">
      <w:pPr>
        <w:rPr>
          <w:rFonts w:ascii="Calibri" w:hAnsi="Calibri" w:cs="Calibri"/>
          <w:lang w:val="en-GB"/>
        </w:rPr>
      </w:pPr>
      <w:r>
        <w:rPr>
          <w:rFonts w:ascii="Calibri" w:hAnsi="Calibri" w:cs="Calibri"/>
          <w:lang w:val="en-GB"/>
        </w:rPr>
        <w:lastRenderedPageBreak/>
        <w:t>GCT Group fibre households are prime candidates for:</w:t>
      </w:r>
    </w:p>
    <w:p w14:paraId="0F3B292F" w14:textId="72B88FA1" w:rsidR="00F767FE" w:rsidRPr="00F767FE" w:rsidRDefault="007B1219" w:rsidP="00F767FE">
      <w:pPr>
        <w:numPr>
          <w:ilvl w:val="0"/>
          <w:numId w:val="41"/>
        </w:numPr>
        <w:rPr>
          <w:rFonts w:ascii="Calibri" w:hAnsi="Calibri" w:cs="Calibri"/>
          <w:lang w:val="en-GB"/>
        </w:rPr>
      </w:pPr>
      <w:r>
        <w:rPr>
          <w:rFonts w:ascii="Calibri" w:hAnsi="Calibri" w:cs="Calibri"/>
          <w:lang w:val="en-GB"/>
        </w:rPr>
        <w:t>Value based mobile bundles</w:t>
      </w:r>
    </w:p>
    <w:p w14:paraId="6BA7A32C" w14:textId="77777777" w:rsidR="00F767FE" w:rsidRPr="00F767FE" w:rsidRDefault="00F767FE" w:rsidP="00F767FE">
      <w:pPr>
        <w:numPr>
          <w:ilvl w:val="0"/>
          <w:numId w:val="41"/>
        </w:numPr>
        <w:rPr>
          <w:rFonts w:ascii="Calibri" w:hAnsi="Calibri" w:cs="Calibri"/>
          <w:lang w:val="en-GB"/>
        </w:rPr>
      </w:pPr>
      <w:r>
        <w:rPr>
          <w:rFonts w:ascii="Calibri" w:hAnsi="Calibri" w:cs="Calibri"/>
          <w:lang w:val="en-GB"/>
        </w:rPr>
        <w:t>Family SIM packs</w:t>
      </w:r>
    </w:p>
    <w:p w14:paraId="192BCA8B" w14:textId="77777777" w:rsidR="00F767FE" w:rsidRPr="00F767FE" w:rsidRDefault="00F767FE" w:rsidP="00F767FE">
      <w:pPr>
        <w:numPr>
          <w:ilvl w:val="0"/>
          <w:numId w:val="41"/>
        </w:numPr>
        <w:rPr>
          <w:rFonts w:ascii="Calibri" w:hAnsi="Calibri" w:cs="Calibri"/>
          <w:lang w:val="en-GB"/>
        </w:rPr>
      </w:pPr>
      <w:r>
        <w:rPr>
          <w:rFonts w:ascii="Calibri" w:hAnsi="Calibri" w:cs="Calibri"/>
          <w:lang w:val="en-GB"/>
        </w:rPr>
        <w:t>Mobile data rewards linked to fibre usage</w:t>
      </w:r>
    </w:p>
    <w:p w14:paraId="4005FE34" w14:textId="77777777" w:rsidR="00F767FE" w:rsidRPr="00F767FE" w:rsidRDefault="00F767FE" w:rsidP="00F767FE">
      <w:pPr>
        <w:numPr>
          <w:ilvl w:val="0"/>
          <w:numId w:val="41"/>
        </w:numPr>
        <w:rPr>
          <w:rFonts w:ascii="Calibri" w:hAnsi="Calibri" w:cs="Calibri"/>
          <w:lang w:val="en-GB"/>
        </w:rPr>
      </w:pPr>
      <w:r>
        <w:rPr>
          <w:rFonts w:ascii="Calibri" w:hAnsi="Calibri" w:cs="Calibri"/>
          <w:lang w:val="en-GB"/>
        </w:rPr>
        <w:t>Loyalty-driven bundles</w:t>
      </w:r>
    </w:p>
    <w:p w14:paraId="3440C4DC" w14:textId="37AEDD87" w:rsidR="00F767FE" w:rsidRPr="00F767FE" w:rsidRDefault="00F767FE" w:rsidP="00F767FE">
      <w:pPr>
        <w:rPr>
          <w:rFonts w:ascii="Calibri" w:hAnsi="Calibri" w:cs="Calibri"/>
          <w:lang w:val="en-GB"/>
        </w:rPr>
      </w:pPr>
      <w:r>
        <w:rPr>
          <w:rFonts w:ascii="Calibri" w:hAnsi="Calibri" w:cs="Calibri"/>
          <w:lang w:val="en-GB"/>
        </w:rPr>
        <w:t>Mobile becomes a retention tool rather than just a revenue line.</w:t>
      </w:r>
    </w:p>
    <w:p w14:paraId="33CCEC36" w14:textId="77777777" w:rsidR="00F767FE" w:rsidRPr="00F767FE" w:rsidRDefault="00F767FE" w:rsidP="00F767FE">
      <w:pPr>
        <w:rPr>
          <w:rFonts w:ascii="Calibri" w:hAnsi="Calibri" w:cs="Calibri"/>
          <w:b/>
          <w:bCs/>
          <w:lang w:val="en-GB"/>
        </w:rPr>
      </w:pPr>
      <w:r>
        <w:rPr>
          <w:rFonts w:ascii="Calibri" w:hAnsi="Calibri" w:cs="Calibri"/>
          <w:b/>
          <w:bCs/>
          <w:lang w:val="en-GB"/>
        </w:rPr>
        <w:t>4. Asset-Light Expansion</w:t>
      </w:r>
    </w:p>
    <w:p w14:paraId="578EA79C" w14:textId="77777777" w:rsidR="00F767FE" w:rsidRPr="00F767FE" w:rsidRDefault="00F767FE" w:rsidP="00F767FE">
      <w:pPr>
        <w:rPr>
          <w:rFonts w:ascii="Calibri" w:hAnsi="Calibri" w:cs="Calibri"/>
          <w:lang w:val="en-GB"/>
        </w:rPr>
      </w:pPr>
      <w:r>
        <w:rPr>
          <w:rFonts w:ascii="Calibri" w:hAnsi="Calibri" w:cs="Calibri"/>
          <w:lang w:val="en-GB"/>
        </w:rPr>
        <w:t>An MVNO model allows GCT Group to:</w:t>
      </w:r>
    </w:p>
    <w:p w14:paraId="16C0FD44" w14:textId="77777777" w:rsidR="00F767FE" w:rsidRPr="00F767FE" w:rsidRDefault="00F767FE" w:rsidP="00F767FE">
      <w:pPr>
        <w:numPr>
          <w:ilvl w:val="0"/>
          <w:numId w:val="42"/>
        </w:numPr>
        <w:rPr>
          <w:rFonts w:ascii="Calibri" w:hAnsi="Calibri" w:cs="Calibri"/>
          <w:lang w:val="en-GB"/>
        </w:rPr>
      </w:pPr>
      <w:r>
        <w:rPr>
          <w:rFonts w:ascii="Calibri" w:hAnsi="Calibri" w:cs="Calibri"/>
          <w:lang w:val="en-GB"/>
        </w:rPr>
        <w:t>Avoid spectrum and RAN investment</w:t>
      </w:r>
    </w:p>
    <w:p w14:paraId="04C0DB45" w14:textId="77777777" w:rsidR="00F767FE" w:rsidRPr="00F767FE" w:rsidRDefault="00F767FE" w:rsidP="00F767FE">
      <w:pPr>
        <w:numPr>
          <w:ilvl w:val="0"/>
          <w:numId w:val="42"/>
        </w:numPr>
        <w:rPr>
          <w:rFonts w:ascii="Calibri" w:hAnsi="Calibri" w:cs="Calibri"/>
          <w:lang w:val="en-GB"/>
        </w:rPr>
      </w:pPr>
      <w:r>
        <w:rPr>
          <w:rFonts w:ascii="Calibri" w:hAnsi="Calibri" w:cs="Calibri"/>
          <w:lang w:val="en-GB"/>
        </w:rPr>
        <w:t>Leverage an existing MNO network (MTN, Airtel, Glo, etc.)</w:t>
      </w:r>
    </w:p>
    <w:p w14:paraId="75A89711" w14:textId="77777777" w:rsidR="00F767FE" w:rsidRPr="00F767FE" w:rsidRDefault="00F767FE" w:rsidP="00F767FE">
      <w:pPr>
        <w:numPr>
          <w:ilvl w:val="0"/>
          <w:numId w:val="42"/>
        </w:numPr>
        <w:rPr>
          <w:rFonts w:ascii="Calibri" w:hAnsi="Calibri" w:cs="Calibri"/>
          <w:lang w:val="en-GB"/>
        </w:rPr>
      </w:pPr>
      <w:r>
        <w:rPr>
          <w:rFonts w:ascii="Calibri" w:hAnsi="Calibri" w:cs="Calibri"/>
          <w:lang w:val="en-GB"/>
        </w:rPr>
        <w:t>Focus on brand, billing, customer experience, and bundling</w:t>
      </w:r>
    </w:p>
    <w:p w14:paraId="5FB85F6F" w14:textId="5FFDB748" w:rsidR="00F767FE" w:rsidRPr="00F767FE" w:rsidRDefault="00F767FE" w:rsidP="00F767FE">
      <w:pPr>
        <w:numPr>
          <w:ilvl w:val="0"/>
          <w:numId w:val="42"/>
        </w:numPr>
        <w:rPr>
          <w:rFonts w:ascii="Calibri" w:hAnsi="Calibri" w:cs="Calibri"/>
          <w:lang w:val="en-GB"/>
        </w:rPr>
      </w:pPr>
      <w:r>
        <w:rPr>
          <w:rFonts w:ascii="Calibri" w:hAnsi="Calibri" w:cs="Calibri"/>
          <w:lang w:val="en-GB"/>
        </w:rPr>
        <w:t>Launch within a few months</w:t>
      </w:r>
    </w:p>
    <w:p w14:paraId="7F2A5C7E" w14:textId="48CAE5E6" w:rsidR="00F767FE" w:rsidRPr="00F767FE" w:rsidRDefault="00F767FE" w:rsidP="00F767FE">
      <w:pPr>
        <w:rPr>
          <w:rFonts w:ascii="Calibri" w:hAnsi="Calibri" w:cs="Calibri"/>
          <w:lang w:val="en-GB"/>
        </w:rPr>
      </w:pPr>
      <w:r>
        <w:rPr>
          <w:rFonts w:ascii="Calibri" w:hAnsi="Calibri" w:cs="Calibri"/>
          <w:lang w:val="en-GB"/>
        </w:rPr>
        <w:t>Capex remains controlled while revenue diversifies.</w:t>
      </w:r>
    </w:p>
    <w:p w14:paraId="172B3CE5" w14:textId="77777777" w:rsidR="00F767FE" w:rsidRPr="00F767FE" w:rsidRDefault="00F767FE" w:rsidP="00F767FE">
      <w:pPr>
        <w:rPr>
          <w:rFonts w:ascii="Calibri" w:hAnsi="Calibri" w:cs="Calibri"/>
          <w:b/>
          <w:bCs/>
          <w:lang w:val="en-GB"/>
        </w:rPr>
      </w:pPr>
      <w:r>
        <w:rPr>
          <w:rFonts w:ascii="Calibri" w:hAnsi="Calibri" w:cs="Calibri"/>
          <w:b/>
          <w:bCs/>
          <w:lang w:val="en-GB"/>
        </w:rPr>
        <w:t>Proposed GCT Group MVNO Positioning</w:t>
      </w:r>
    </w:p>
    <w:p w14:paraId="70CBDF0D" w14:textId="77777777" w:rsidR="00F767FE" w:rsidRPr="00F767FE" w:rsidRDefault="00F767FE" w:rsidP="00F767FE">
      <w:pPr>
        <w:rPr>
          <w:rFonts w:ascii="Calibri" w:hAnsi="Calibri" w:cs="Calibri"/>
          <w:b/>
          <w:bCs/>
          <w:lang w:val="en-GB"/>
        </w:rPr>
      </w:pPr>
      <w:r>
        <w:rPr>
          <w:rFonts w:ascii="Calibri" w:hAnsi="Calibri" w:cs="Calibri"/>
          <w:b/>
          <w:bCs/>
          <w:lang w:val="en-GB"/>
        </w:rPr>
        <w:t>Brand Concept:</w:t>
      </w:r>
    </w:p>
    <w:p w14:paraId="5838E8F6" w14:textId="77777777" w:rsidR="00F767FE" w:rsidRPr="00F767FE" w:rsidRDefault="00F767FE" w:rsidP="00F767FE">
      <w:pPr>
        <w:rPr>
          <w:rFonts w:ascii="Calibri" w:hAnsi="Calibri" w:cs="Calibri"/>
          <w:lang w:val="en-GB"/>
        </w:rPr>
      </w:pPr>
      <w:r>
        <w:rPr>
          <w:rFonts w:ascii="Calibri" w:hAnsi="Calibri" w:cs="Calibri"/>
          <w:b/>
          <w:bCs/>
          <w:lang w:val="en-GB"/>
        </w:rPr>
        <w:t>“GCT Group One Network” – Seamless Home, Office &amp; Mobile Connectivity</w:t>
      </w:r>
    </w:p>
    <w:p w14:paraId="1A4E0D4C" w14:textId="77777777" w:rsidR="00F767FE" w:rsidRPr="00F767FE" w:rsidRDefault="00F767FE" w:rsidP="00F767FE">
      <w:pPr>
        <w:rPr>
          <w:rFonts w:ascii="Calibri" w:hAnsi="Calibri" w:cs="Calibri"/>
          <w:b/>
          <w:bCs/>
          <w:lang w:val="en-GB"/>
        </w:rPr>
      </w:pPr>
      <w:r>
        <w:rPr>
          <w:rFonts w:ascii="Calibri" w:hAnsi="Calibri" w:cs="Calibri"/>
          <w:b/>
          <w:bCs/>
          <w:lang w:val="en-GB"/>
        </w:rPr>
        <w:t>Core Pillars:</w:t>
      </w:r>
    </w:p>
    <w:p w14:paraId="3F60CD9D" w14:textId="77777777" w:rsidR="00F767FE" w:rsidRPr="00F767FE" w:rsidRDefault="00F767FE" w:rsidP="00F767FE">
      <w:pPr>
        <w:numPr>
          <w:ilvl w:val="0"/>
          <w:numId w:val="43"/>
        </w:numPr>
        <w:rPr>
          <w:rFonts w:ascii="Calibri" w:hAnsi="Calibri" w:cs="Calibri"/>
          <w:lang w:val="en-GB"/>
        </w:rPr>
      </w:pPr>
      <w:r>
        <w:rPr>
          <w:rFonts w:ascii="Calibri" w:hAnsi="Calibri" w:cs="Calibri"/>
          <w:lang w:val="en-GB"/>
        </w:rPr>
        <w:t>Converged connectivity</w:t>
      </w:r>
    </w:p>
    <w:p w14:paraId="7FBCD1EE" w14:textId="77777777" w:rsidR="00F767FE" w:rsidRPr="00F767FE" w:rsidRDefault="00F767FE" w:rsidP="00F767FE">
      <w:pPr>
        <w:numPr>
          <w:ilvl w:val="0"/>
          <w:numId w:val="43"/>
        </w:numPr>
        <w:rPr>
          <w:rFonts w:ascii="Calibri" w:hAnsi="Calibri" w:cs="Calibri"/>
          <w:lang w:val="en-GB"/>
        </w:rPr>
      </w:pPr>
      <w:r>
        <w:rPr>
          <w:rFonts w:ascii="Calibri" w:hAnsi="Calibri" w:cs="Calibri"/>
          <w:lang w:val="en-GB"/>
        </w:rPr>
        <w:t>Premium customer experience</w:t>
      </w:r>
    </w:p>
    <w:p w14:paraId="09CE85C2" w14:textId="77777777" w:rsidR="00F767FE" w:rsidRPr="00F767FE" w:rsidRDefault="00F767FE" w:rsidP="00F767FE">
      <w:pPr>
        <w:numPr>
          <w:ilvl w:val="0"/>
          <w:numId w:val="43"/>
        </w:numPr>
        <w:rPr>
          <w:rFonts w:ascii="Calibri" w:hAnsi="Calibri" w:cs="Calibri"/>
          <w:lang w:val="en-GB"/>
        </w:rPr>
      </w:pPr>
      <w:r>
        <w:rPr>
          <w:rFonts w:ascii="Calibri" w:hAnsi="Calibri" w:cs="Calibri"/>
          <w:lang w:val="en-GB"/>
        </w:rPr>
        <w:t>Enterprise-grade reliability</w:t>
      </w:r>
    </w:p>
    <w:p w14:paraId="52EE2556" w14:textId="77777777" w:rsidR="00F767FE" w:rsidRPr="00F767FE" w:rsidRDefault="00F767FE" w:rsidP="00F767FE">
      <w:pPr>
        <w:numPr>
          <w:ilvl w:val="0"/>
          <w:numId w:val="43"/>
        </w:numPr>
        <w:rPr>
          <w:rFonts w:ascii="Calibri" w:hAnsi="Calibri" w:cs="Calibri"/>
          <w:lang w:val="en-GB"/>
        </w:rPr>
      </w:pPr>
      <w:r>
        <w:rPr>
          <w:rFonts w:ascii="Calibri" w:hAnsi="Calibri" w:cs="Calibri"/>
          <w:lang w:val="en-GB"/>
        </w:rPr>
        <w:t>Transparent pricing</w:t>
      </w:r>
    </w:p>
    <w:p w14:paraId="52922175" w14:textId="689686A8" w:rsidR="00F767FE" w:rsidRPr="00C066C7" w:rsidRDefault="00F767FE" w:rsidP="00F767FE">
      <w:pPr>
        <w:numPr>
          <w:ilvl w:val="0"/>
          <w:numId w:val="43"/>
        </w:numPr>
        <w:rPr>
          <w:rFonts w:ascii="Calibri" w:hAnsi="Calibri" w:cs="Calibri"/>
          <w:lang w:val="en-GB"/>
        </w:rPr>
      </w:pPr>
      <w:r>
        <w:rPr>
          <w:rFonts w:ascii="Calibri" w:hAnsi="Calibri" w:cs="Calibri"/>
          <w:lang w:val="en-GB"/>
        </w:rPr>
        <w:t>Data-led loyalty rewards</w:t>
      </w:r>
    </w:p>
    <w:p w14:paraId="2CBB14BB" w14:textId="6B6ED6C6" w:rsidR="007B1219" w:rsidRPr="00F767FE" w:rsidRDefault="007B1219" w:rsidP="00F767FE">
      <w:pPr>
        <w:numPr>
          <w:ilvl w:val="0"/>
          <w:numId w:val="43"/>
        </w:numPr>
        <w:rPr>
          <w:rFonts w:ascii="Calibri" w:hAnsi="Calibri" w:cs="Calibri"/>
          <w:lang w:val="en-GB"/>
        </w:rPr>
      </w:pPr>
      <w:r>
        <w:rPr>
          <w:rFonts w:ascii="Calibri" w:hAnsi="Calibri" w:cs="Calibri"/>
          <w:lang w:val="en-GB"/>
        </w:rPr>
        <w:t xml:space="preserve">Value added services – Travel eSIM, Cyber Security through Bit Defender, </w:t>
      </w:r>
    </w:p>
    <w:p w14:paraId="4B1A754C" w14:textId="77777777" w:rsidR="00F767FE" w:rsidRPr="00F767FE" w:rsidRDefault="00F767FE" w:rsidP="00F767FE">
      <w:pPr>
        <w:rPr>
          <w:rFonts w:ascii="Calibri" w:hAnsi="Calibri" w:cs="Calibri"/>
          <w:b/>
          <w:bCs/>
          <w:lang w:val="en-GB"/>
        </w:rPr>
      </w:pPr>
      <w:r>
        <w:rPr>
          <w:rFonts w:ascii="Calibri" w:hAnsi="Calibri" w:cs="Calibri"/>
          <w:b/>
          <w:bCs/>
          <w:lang w:val="en-GB"/>
        </w:rPr>
        <w:t>Revenue Model Overview</w:t>
      </w:r>
    </w:p>
    <w:p w14:paraId="5112BEBF" w14:textId="77777777" w:rsidR="00F767FE" w:rsidRPr="00F767FE" w:rsidRDefault="00F767FE" w:rsidP="00F767FE">
      <w:pPr>
        <w:rPr>
          <w:rFonts w:ascii="Calibri" w:hAnsi="Calibri" w:cs="Calibri"/>
          <w:b/>
          <w:bCs/>
          <w:lang w:val="en-GB"/>
        </w:rPr>
      </w:pPr>
      <w:r>
        <w:rPr>
          <w:rFonts w:ascii="Calibri" w:hAnsi="Calibri" w:cs="Calibri"/>
          <w:b/>
          <w:bCs/>
          <w:lang w:val="en-GB"/>
        </w:rPr>
        <w:t>Key Revenue Drivers:</w:t>
      </w:r>
    </w:p>
    <w:p w14:paraId="572C92EE" w14:textId="77777777" w:rsidR="00F767FE" w:rsidRPr="00F767FE" w:rsidRDefault="00F767FE" w:rsidP="00F767FE">
      <w:pPr>
        <w:numPr>
          <w:ilvl w:val="0"/>
          <w:numId w:val="44"/>
        </w:numPr>
        <w:rPr>
          <w:rFonts w:ascii="Calibri" w:hAnsi="Calibri" w:cs="Calibri"/>
          <w:lang w:val="en-GB"/>
        </w:rPr>
      </w:pPr>
      <w:r>
        <w:rPr>
          <w:rFonts w:ascii="Calibri" w:hAnsi="Calibri" w:cs="Calibri"/>
          <w:lang w:val="en-GB"/>
        </w:rPr>
        <w:lastRenderedPageBreak/>
        <w:t>Prepaid mobile data bundles</w:t>
      </w:r>
    </w:p>
    <w:p w14:paraId="640DA3BA" w14:textId="3ABEBA67" w:rsidR="00F767FE" w:rsidRPr="00F767FE" w:rsidRDefault="00F767FE" w:rsidP="00F767FE">
      <w:pPr>
        <w:numPr>
          <w:ilvl w:val="0"/>
          <w:numId w:val="44"/>
        </w:numPr>
        <w:rPr>
          <w:rFonts w:ascii="Calibri" w:hAnsi="Calibri" w:cs="Calibri"/>
          <w:lang w:val="en-GB"/>
        </w:rPr>
      </w:pPr>
      <w:r>
        <w:rPr>
          <w:rFonts w:ascii="Calibri" w:hAnsi="Calibri" w:cs="Calibri"/>
          <w:lang w:val="en-GB"/>
        </w:rPr>
        <w:t>Postpaid/Prepaid SME contracts</w:t>
      </w:r>
    </w:p>
    <w:p w14:paraId="7A4F0CA7" w14:textId="77777777" w:rsidR="00F767FE" w:rsidRPr="00F767FE" w:rsidRDefault="00F767FE" w:rsidP="00F767FE">
      <w:pPr>
        <w:numPr>
          <w:ilvl w:val="0"/>
          <w:numId w:val="44"/>
        </w:numPr>
        <w:rPr>
          <w:rFonts w:ascii="Calibri" w:hAnsi="Calibri" w:cs="Calibri"/>
          <w:lang w:val="en-GB"/>
        </w:rPr>
      </w:pPr>
      <w:r>
        <w:rPr>
          <w:rFonts w:ascii="Calibri" w:hAnsi="Calibri" w:cs="Calibri"/>
          <w:lang w:val="en-GB"/>
        </w:rPr>
        <w:t>IoT connectivity</w:t>
      </w:r>
    </w:p>
    <w:p w14:paraId="45A56D0F" w14:textId="77777777" w:rsidR="00F767FE" w:rsidRPr="00F767FE" w:rsidRDefault="00F767FE" w:rsidP="00F767FE">
      <w:pPr>
        <w:numPr>
          <w:ilvl w:val="0"/>
          <w:numId w:val="44"/>
        </w:numPr>
        <w:rPr>
          <w:rFonts w:ascii="Calibri" w:hAnsi="Calibri" w:cs="Calibri"/>
          <w:lang w:val="en-GB"/>
        </w:rPr>
      </w:pPr>
      <w:r>
        <w:rPr>
          <w:rFonts w:ascii="Calibri" w:hAnsi="Calibri" w:cs="Calibri"/>
          <w:lang w:val="en-GB"/>
        </w:rPr>
        <w:t>Device financing</w:t>
      </w:r>
    </w:p>
    <w:p w14:paraId="7655C52B" w14:textId="77777777" w:rsidR="00F767FE" w:rsidRPr="00F767FE" w:rsidRDefault="00F767FE" w:rsidP="00F767FE">
      <w:pPr>
        <w:numPr>
          <w:ilvl w:val="0"/>
          <w:numId w:val="44"/>
        </w:numPr>
        <w:rPr>
          <w:rFonts w:ascii="Calibri" w:hAnsi="Calibri" w:cs="Calibri"/>
          <w:lang w:val="en-GB"/>
        </w:rPr>
      </w:pPr>
      <w:r>
        <w:rPr>
          <w:rFonts w:ascii="Calibri" w:hAnsi="Calibri" w:cs="Calibri"/>
          <w:lang w:val="en-GB"/>
        </w:rPr>
        <w:t>Cross-sell uplift to fibre base</w:t>
      </w:r>
    </w:p>
    <w:p w14:paraId="5379F1F7" w14:textId="77777777" w:rsidR="00F767FE" w:rsidRPr="00F767FE" w:rsidRDefault="00F767FE" w:rsidP="00F767FE">
      <w:pPr>
        <w:numPr>
          <w:ilvl w:val="0"/>
          <w:numId w:val="44"/>
        </w:numPr>
        <w:rPr>
          <w:rFonts w:ascii="Calibri" w:hAnsi="Calibri" w:cs="Calibri"/>
          <w:lang w:val="en-GB"/>
        </w:rPr>
      </w:pPr>
      <w:r>
        <w:rPr>
          <w:rFonts w:ascii="Calibri" w:hAnsi="Calibri" w:cs="Calibri"/>
          <w:lang w:val="en-GB"/>
        </w:rPr>
        <w:t>Reduced fibre churn</w:t>
      </w:r>
    </w:p>
    <w:p w14:paraId="08446793" w14:textId="77777777" w:rsidR="00F767FE" w:rsidRPr="00F767FE" w:rsidRDefault="00F767FE" w:rsidP="00F767FE">
      <w:pPr>
        <w:rPr>
          <w:rFonts w:ascii="Calibri" w:hAnsi="Calibri" w:cs="Calibri"/>
          <w:b/>
          <w:bCs/>
          <w:lang w:val="en-GB"/>
        </w:rPr>
      </w:pPr>
      <w:r>
        <w:rPr>
          <w:rFonts w:ascii="Calibri" w:hAnsi="Calibri" w:cs="Calibri"/>
          <w:b/>
          <w:bCs/>
          <w:lang w:val="en-GB"/>
        </w:rPr>
        <w:t>Financial Uplift Potential:</w:t>
      </w:r>
    </w:p>
    <w:p w14:paraId="434639E2" w14:textId="77777777" w:rsidR="00F767FE" w:rsidRPr="00F767FE" w:rsidRDefault="00F767FE" w:rsidP="00F767FE">
      <w:pPr>
        <w:numPr>
          <w:ilvl w:val="0"/>
          <w:numId w:val="45"/>
        </w:numPr>
        <w:rPr>
          <w:rFonts w:ascii="Calibri" w:hAnsi="Calibri" w:cs="Calibri"/>
          <w:lang w:val="en-GB"/>
        </w:rPr>
      </w:pPr>
      <w:r>
        <w:rPr>
          <w:rFonts w:ascii="Calibri" w:hAnsi="Calibri" w:cs="Calibri"/>
          <w:lang w:val="en-GB"/>
        </w:rPr>
        <w:t>10–15% ARPU uplift on existing fibre customers</w:t>
      </w:r>
    </w:p>
    <w:p w14:paraId="782777E1" w14:textId="77777777" w:rsidR="00F767FE" w:rsidRPr="00F767FE" w:rsidRDefault="00F767FE" w:rsidP="00F767FE">
      <w:pPr>
        <w:numPr>
          <w:ilvl w:val="0"/>
          <w:numId w:val="45"/>
        </w:numPr>
        <w:rPr>
          <w:rFonts w:ascii="Calibri" w:hAnsi="Calibri" w:cs="Calibri"/>
          <w:lang w:val="en-GB"/>
        </w:rPr>
      </w:pPr>
      <w:r>
        <w:rPr>
          <w:rFonts w:ascii="Calibri" w:hAnsi="Calibri" w:cs="Calibri"/>
          <w:lang w:val="en-GB"/>
        </w:rPr>
        <w:t>5–10% churn reduction</w:t>
      </w:r>
    </w:p>
    <w:p w14:paraId="292E6723" w14:textId="79A8FA93" w:rsidR="00F767FE" w:rsidRPr="00F767FE" w:rsidRDefault="00F767FE" w:rsidP="00F767FE">
      <w:pPr>
        <w:numPr>
          <w:ilvl w:val="0"/>
          <w:numId w:val="45"/>
        </w:numPr>
        <w:rPr>
          <w:rFonts w:ascii="Calibri" w:hAnsi="Calibri" w:cs="Calibri"/>
          <w:lang w:val="en-GB"/>
        </w:rPr>
      </w:pPr>
      <w:r>
        <w:rPr>
          <w:rFonts w:ascii="Calibri" w:hAnsi="Calibri" w:cs="Calibri"/>
          <w:lang w:val="en-GB"/>
        </w:rPr>
        <w:t>New subscriber growth beyond fibre footprint</w:t>
      </w:r>
    </w:p>
    <w:p w14:paraId="743761E9" w14:textId="77777777" w:rsidR="00F767FE" w:rsidRPr="00F767FE" w:rsidRDefault="00F767FE" w:rsidP="00F767FE">
      <w:pPr>
        <w:rPr>
          <w:rFonts w:ascii="Calibri" w:hAnsi="Calibri" w:cs="Calibri"/>
          <w:b/>
          <w:bCs/>
          <w:lang w:val="en-GB"/>
        </w:rPr>
      </w:pPr>
      <w:r>
        <w:rPr>
          <w:rFonts w:ascii="Calibri" w:hAnsi="Calibri" w:cs="Calibri"/>
          <w:b/>
          <w:bCs/>
          <w:lang w:val="en-GB"/>
        </w:rPr>
        <w:t>Competitive Differentiation</w:t>
      </w:r>
    </w:p>
    <w:p w14:paraId="0BB40A54" w14:textId="77777777" w:rsidR="00F767FE" w:rsidRPr="00F767FE" w:rsidRDefault="00F767FE" w:rsidP="00F767FE">
      <w:pPr>
        <w:rPr>
          <w:rFonts w:ascii="Calibri" w:hAnsi="Calibri" w:cs="Calibri"/>
          <w:lang w:val="en-GB"/>
        </w:rPr>
      </w:pPr>
      <w:r>
        <w:rPr>
          <w:rFonts w:ascii="Calibri" w:hAnsi="Calibri" w:cs="Calibri"/>
          <w:lang w:val="en-GB"/>
        </w:rPr>
        <w:t>Unlike traditional Nigerian MNOs, GCT Group can offer: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gridCol w:w="3218"/>
      </w:tblGrid>
      <w:tr w:rsidR="00F767FE" w:rsidRPr="00F767FE" w14:paraId="2E8184D7" w14:textId="77777777">
        <w:trPr>
          <w:tblHeader/>
          <w:tblCellSpacing w:w="15" w:type="dxa"/>
        </w:trPr>
        <w:tc>
          <w:tcPr>
            <w:tcW w:w="0" w:type="auto"/>
            <w:vAlign w:val="center"/>
            <w:hideMark/>
          </w:tcPr>
          <w:p w14:paraId="14FCF489" w14:textId="77777777" w:rsidR="00F767FE" w:rsidRPr="00F767FE" w:rsidRDefault="00F767FE" w:rsidP="00F767FE">
            <w:pPr>
              <w:rPr>
                <w:rFonts w:ascii="Calibri" w:hAnsi="Calibri" w:cs="Calibri"/>
                <w:b/>
                <w:bCs/>
                <w:lang w:val="en-GB"/>
              </w:rPr>
            </w:pPr>
            <w:r>
              <w:rPr>
                <w:rFonts w:ascii="Calibri" w:hAnsi="Calibri" w:cs="Calibri"/>
                <w:b/>
                <w:bCs/>
                <w:lang w:val="en-GB"/>
              </w:rPr>
              <w:t>Traditional MNO</w:t>
            </w:r>
          </w:p>
        </w:tc>
        <w:tc>
          <w:tcPr>
            <w:tcW w:w="0" w:type="auto"/>
            <w:vAlign w:val="center"/>
            <w:hideMark/>
          </w:tcPr>
          <w:p w14:paraId="473DF234" w14:textId="77777777" w:rsidR="00F767FE" w:rsidRPr="00F767FE" w:rsidRDefault="00F767FE" w:rsidP="00F767FE">
            <w:pPr>
              <w:rPr>
                <w:rFonts w:ascii="Calibri" w:hAnsi="Calibri" w:cs="Calibri"/>
                <w:b/>
                <w:bCs/>
                <w:lang w:val="en-GB"/>
              </w:rPr>
            </w:pPr>
            <w:r>
              <w:rPr>
                <w:rFonts w:ascii="Calibri" w:hAnsi="Calibri" w:cs="Calibri"/>
                <w:b/>
                <w:bCs/>
                <w:lang w:val="en-GB"/>
              </w:rPr>
              <w:t>GCT Group MVNO Advantage</w:t>
            </w:r>
          </w:p>
        </w:tc>
      </w:tr>
      <w:tr w:rsidR="00F767FE" w:rsidRPr="00F767FE" w14:paraId="2AFEC27D" w14:textId="77777777">
        <w:trPr>
          <w:tblCellSpacing w:w="15" w:type="dxa"/>
        </w:trPr>
        <w:tc>
          <w:tcPr>
            <w:tcW w:w="0" w:type="auto"/>
            <w:vAlign w:val="center"/>
            <w:hideMark/>
          </w:tcPr>
          <w:p w14:paraId="39D1FEAD" w14:textId="77777777" w:rsidR="00F767FE" w:rsidRPr="00F767FE" w:rsidRDefault="00F767FE" w:rsidP="00F767FE">
            <w:pPr>
              <w:rPr>
                <w:rFonts w:ascii="Calibri" w:hAnsi="Calibri" w:cs="Calibri"/>
                <w:lang w:val="en-GB"/>
              </w:rPr>
            </w:pPr>
            <w:r>
              <w:rPr>
                <w:rFonts w:ascii="Calibri" w:hAnsi="Calibri" w:cs="Calibri"/>
                <w:lang w:val="en-GB"/>
              </w:rPr>
              <w:t>Mobile-only</w:t>
            </w:r>
          </w:p>
        </w:tc>
        <w:tc>
          <w:tcPr>
            <w:tcW w:w="0" w:type="auto"/>
            <w:vAlign w:val="center"/>
            <w:hideMark/>
          </w:tcPr>
          <w:p w14:paraId="48241321" w14:textId="77777777" w:rsidR="00F767FE" w:rsidRPr="00F767FE" w:rsidRDefault="00F767FE" w:rsidP="00F767FE">
            <w:pPr>
              <w:rPr>
                <w:rFonts w:ascii="Calibri" w:hAnsi="Calibri" w:cs="Calibri"/>
                <w:lang w:val="en-GB"/>
              </w:rPr>
            </w:pPr>
            <w:r>
              <w:rPr>
                <w:rFonts w:ascii="Calibri" w:hAnsi="Calibri" w:cs="Calibri"/>
                <w:lang w:val="en-GB"/>
              </w:rPr>
              <w:t>Fixed + Mobile convergence</w:t>
            </w:r>
          </w:p>
        </w:tc>
      </w:tr>
      <w:tr w:rsidR="00F767FE" w:rsidRPr="00F767FE" w14:paraId="2EE5D41F" w14:textId="77777777">
        <w:trPr>
          <w:tblCellSpacing w:w="15" w:type="dxa"/>
        </w:trPr>
        <w:tc>
          <w:tcPr>
            <w:tcW w:w="0" w:type="auto"/>
            <w:vAlign w:val="center"/>
            <w:hideMark/>
          </w:tcPr>
          <w:p w14:paraId="0A7805A9" w14:textId="77777777" w:rsidR="00F767FE" w:rsidRPr="00F767FE" w:rsidRDefault="00F767FE" w:rsidP="00F767FE">
            <w:pPr>
              <w:rPr>
                <w:rFonts w:ascii="Calibri" w:hAnsi="Calibri" w:cs="Calibri"/>
                <w:lang w:val="en-GB"/>
              </w:rPr>
            </w:pPr>
            <w:r>
              <w:rPr>
                <w:rFonts w:ascii="Calibri" w:hAnsi="Calibri" w:cs="Calibri"/>
                <w:lang w:val="en-GB"/>
              </w:rPr>
              <w:t>Mass market</w:t>
            </w:r>
          </w:p>
        </w:tc>
        <w:tc>
          <w:tcPr>
            <w:tcW w:w="0" w:type="auto"/>
            <w:vAlign w:val="center"/>
            <w:hideMark/>
          </w:tcPr>
          <w:p w14:paraId="397DEC7A" w14:textId="77777777" w:rsidR="00F767FE" w:rsidRPr="00F767FE" w:rsidRDefault="00F767FE" w:rsidP="00F767FE">
            <w:pPr>
              <w:rPr>
                <w:rFonts w:ascii="Calibri" w:hAnsi="Calibri" w:cs="Calibri"/>
                <w:lang w:val="en-GB"/>
              </w:rPr>
            </w:pPr>
            <w:r>
              <w:rPr>
                <w:rFonts w:ascii="Calibri" w:hAnsi="Calibri" w:cs="Calibri"/>
                <w:lang w:val="en-GB"/>
              </w:rPr>
              <w:t>Premium urban segment</w:t>
            </w:r>
          </w:p>
        </w:tc>
      </w:tr>
      <w:tr w:rsidR="00F767FE" w:rsidRPr="00F767FE" w14:paraId="24139F3B" w14:textId="77777777">
        <w:trPr>
          <w:tblCellSpacing w:w="15" w:type="dxa"/>
        </w:trPr>
        <w:tc>
          <w:tcPr>
            <w:tcW w:w="0" w:type="auto"/>
            <w:vAlign w:val="center"/>
            <w:hideMark/>
          </w:tcPr>
          <w:p w14:paraId="42076DE5" w14:textId="77777777" w:rsidR="00F767FE" w:rsidRPr="00F767FE" w:rsidRDefault="00F767FE" w:rsidP="00F767FE">
            <w:pPr>
              <w:rPr>
                <w:rFonts w:ascii="Calibri" w:hAnsi="Calibri" w:cs="Calibri"/>
                <w:lang w:val="en-GB"/>
              </w:rPr>
            </w:pPr>
            <w:r>
              <w:rPr>
                <w:rFonts w:ascii="Calibri" w:hAnsi="Calibri" w:cs="Calibri"/>
                <w:lang w:val="en-GB"/>
              </w:rPr>
              <w:t>Generic bundles</w:t>
            </w:r>
          </w:p>
        </w:tc>
        <w:tc>
          <w:tcPr>
            <w:tcW w:w="0" w:type="auto"/>
            <w:vAlign w:val="center"/>
            <w:hideMark/>
          </w:tcPr>
          <w:p w14:paraId="320FD2B8" w14:textId="77777777" w:rsidR="00F767FE" w:rsidRPr="00F767FE" w:rsidRDefault="00F767FE" w:rsidP="00F767FE">
            <w:pPr>
              <w:rPr>
                <w:rFonts w:ascii="Calibri" w:hAnsi="Calibri" w:cs="Calibri"/>
                <w:lang w:val="en-GB"/>
              </w:rPr>
            </w:pPr>
            <w:r>
              <w:rPr>
                <w:rFonts w:ascii="Calibri" w:hAnsi="Calibri" w:cs="Calibri"/>
                <w:lang w:val="en-GB"/>
              </w:rPr>
              <w:t>Converged smart home bundles</w:t>
            </w:r>
          </w:p>
        </w:tc>
      </w:tr>
      <w:tr w:rsidR="00F767FE" w:rsidRPr="00F767FE" w14:paraId="2F37758E" w14:textId="77777777">
        <w:trPr>
          <w:tblCellSpacing w:w="15" w:type="dxa"/>
        </w:trPr>
        <w:tc>
          <w:tcPr>
            <w:tcW w:w="0" w:type="auto"/>
            <w:vAlign w:val="center"/>
            <w:hideMark/>
          </w:tcPr>
          <w:p w14:paraId="1FD071BA" w14:textId="77777777" w:rsidR="00F767FE" w:rsidRPr="00F767FE" w:rsidRDefault="00F767FE" w:rsidP="00F767FE">
            <w:pPr>
              <w:rPr>
                <w:rFonts w:ascii="Calibri" w:hAnsi="Calibri" w:cs="Calibri"/>
                <w:lang w:val="en-GB"/>
              </w:rPr>
            </w:pPr>
            <w:r>
              <w:rPr>
                <w:rFonts w:ascii="Calibri" w:hAnsi="Calibri" w:cs="Calibri"/>
                <w:lang w:val="en-GB"/>
              </w:rPr>
              <w:t>Limited enterprise integration</w:t>
            </w:r>
          </w:p>
        </w:tc>
        <w:tc>
          <w:tcPr>
            <w:tcW w:w="0" w:type="auto"/>
            <w:vAlign w:val="center"/>
            <w:hideMark/>
          </w:tcPr>
          <w:p w14:paraId="1AA7B780" w14:textId="77777777" w:rsidR="00F767FE" w:rsidRPr="00F767FE" w:rsidRDefault="00F767FE" w:rsidP="00F767FE">
            <w:pPr>
              <w:rPr>
                <w:rFonts w:ascii="Calibri" w:hAnsi="Calibri" w:cs="Calibri"/>
                <w:lang w:val="en-GB"/>
              </w:rPr>
            </w:pPr>
            <w:r>
              <w:rPr>
                <w:rFonts w:ascii="Calibri" w:hAnsi="Calibri" w:cs="Calibri"/>
                <w:lang w:val="en-GB"/>
              </w:rPr>
              <w:t>Full ICT + fibre + mobile integration</w:t>
            </w:r>
          </w:p>
        </w:tc>
      </w:tr>
    </w:tbl>
    <w:p w14:paraId="52AECB4D" w14:textId="7613347A" w:rsidR="00F767FE" w:rsidRPr="00F767FE" w:rsidRDefault="00F767FE" w:rsidP="00F767FE">
      <w:pPr>
        <w:rPr>
          <w:rFonts w:ascii="Calibri" w:hAnsi="Calibri" w:cs="Calibri"/>
          <w:lang w:val="en-GB"/>
        </w:rPr>
      </w:pPr>
      <w:r>
        <w:rPr>
          <w:rFonts w:ascii="Calibri" w:hAnsi="Calibri" w:cs="Calibri"/>
          <w:lang w:val="en-GB"/>
        </w:rPr>
        <w:t xml:space="preserve">GCT Group can occupy the </w:t>
      </w:r>
      <w:r>
        <w:rPr>
          <w:rFonts w:ascii="Calibri" w:hAnsi="Calibri" w:cs="Calibri"/>
          <w:b/>
          <w:bCs/>
          <w:lang w:val="en-GB"/>
        </w:rPr>
        <w:t>premium converged ISP-mobile niche</w:t>
      </w:r>
      <w:r>
        <w:rPr>
          <w:rFonts w:ascii="Calibri" w:hAnsi="Calibri" w:cs="Calibri"/>
          <w:lang w:val="en-GB"/>
        </w:rPr>
        <w:t>, similar to European fibre-led operators.</w:t>
      </w:r>
    </w:p>
    <w:p w14:paraId="16BA1F11" w14:textId="77777777" w:rsidR="00F767FE" w:rsidRPr="00F767FE" w:rsidRDefault="00F767FE" w:rsidP="00F767FE">
      <w:pPr>
        <w:rPr>
          <w:rFonts w:ascii="Calibri" w:hAnsi="Calibri" w:cs="Calibri"/>
          <w:b/>
          <w:bCs/>
          <w:lang w:val="en-GB"/>
        </w:rPr>
      </w:pPr>
      <w:r>
        <w:rPr>
          <w:rFonts w:ascii="Calibri" w:hAnsi="Calibri" w:cs="Calibri"/>
          <w:b/>
          <w:bCs/>
          <w:lang w:val="en-GB"/>
        </w:rPr>
        <w:t>Implementation Framework</w:t>
      </w:r>
    </w:p>
    <w:p w14:paraId="7D469DB2" w14:textId="77777777" w:rsidR="00F767FE" w:rsidRPr="00F767FE" w:rsidRDefault="00F767FE" w:rsidP="00F767FE">
      <w:pPr>
        <w:rPr>
          <w:rFonts w:ascii="Calibri" w:hAnsi="Calibri" w:cs="Calibri"/>
          <w:b/>
          <w:bCs/>
          <w:lang w:val="en-GB"/>
        </w:rPr>
      </w:pPr>
      <w:r>
        <w:rPr>
          <w:rFonts w:ascii="Calibri" w:hAnsi="Calibri" w:cs="Calibri"/>
          <w:b/>
          <w:bCs/>
          <w:lang w:val="en-GB"/>
        </w:rPr>
        <w:t>Phase 1 – Strategy &amp; Commercial Modelling</w:t>
      </w:r>
    </w:p>
    <w:p w14:paraId="191CC3A8" w14:textId="77777777" w:rsidR="00F767FE" w:rsidRPr="00F767FE" w:rsidRDefault="00F767FE" w:rsidP="00F767FE">
      <w:pPr>
        <w:numPr>
          <w:ilvl w:val="0"/>
          <w:numId w:val="46"/>
        </w:numPr>
        <w:rPr>
          <w:rFonts w:ascii="Calibri" w:hAnsi="Calibri" w:cs="Calibri"/>
          <w:lang w:val="en-GB"/>
        </w:rPr>
      </w:pPr>
      <w:r>
        <w:rPr>
          <w:rFonts w:ascii="Calibri" w:hAnsi="Calibri" w:cs="Calibri"/>
          <w:lang w:val="en-GB"/>
        </w:rPr>
        <w:t>Target segments</w:t>
      </w:r>
    </w:p>
    <w:p w14:paraId="7F8ABF98" w14:textId="77777777" w:rsidR="00F767FE" w:rsidRPr="00F767FE" w:rsidRDefault="00F767FE" w:rsidP="00F767FE">
      <w:pPr>
        <w:numPr>
          <w:ilvl w:val="0"/>
          <w:numId w:val="46"/>
        </w:numPr>
        <w:rPr>
          <w:rFonts w:ascii="Calibri" w:hAnsi="Calibri" w:cs="Calibri"/>
          <w:lang w:val="en-GB"/>
        </w:rPr>
      </w:pPr>
      <w:r>
        <w:rPr>
          <w:rFonts w:ascii="Calibri" w:hAnsi="Calibri" w:cs="Calibri"/>
          <w:lang w:val="en-GB"/>
        </w:rPr>
        <w:t>Bundle design</w:t>
      </w:r>
    </w:p>
    <w:p w14:paraId="08E539EF" w14:textId="77777777" w:rsidR="00F767FE" w:rsidRPr="00F767FE" w:rsidRDefault="00F767FE" w:rsidP="00F767FE">
      <w:pPr>
        <w:numPr>
          <w:ilvl w:val="0"/>
          <w:numId w:val="46"/>
        </w:numPr>
        <w:rPr>
          <w:rFonts w:ascii="Calibri" w:hAnsi="Calibri" w:cs="Calibri"/>
          <w:lang w:val="en-GB"/>
        </w:rPr>
      </w:pPr>
      <w:r>
        <w:rPr>
          <w:rFonts w:ascii="Calibri" w:hAnsi="Calibri" w:cs="Calibri"/>
          <w:lang w:val="en-GB"/>
        </w:rPr>
        <w:t>MNO host negotiation</w:t>
      </w:r>
    </w:p>
    <w:p w14:paraId="5CEC4849" w14:textId="77777777" w:rsidR="00F767FE" w:rsidRPr="00F767FE" w:rsidRDefault="00F767FE" w:rsidP="00F767FE">
      <w:pPr>
        <w:numPr>
          <w:ilvl w:val="0"/>
          <w:numId w:val="46"/>
        </w:numPr>
        <w:rPr>
          <w:rFonts w:ascii="Calibri" w:hAnsi="Calibri" w:cs="Calibri"/>
          <w:lang w:val="en-GB"/>
        </w:rPr>
      </w:pPr>
      <w:r>
        <w:rPr>
          <w:rFonts w:ascii="Calibri" w:hAnsi="Calibri" w:cs="Calibri"/>
          <w:lang w:val="en-GB"/>
        </w:rPr>
        <w:t>Financial modelling (5-year forecast)</w:t>
      </w:r>
    </w:p>
    <w:p w14:paraId="6F9DF6C7" w14:textId="77777777" w:rsidR="00F767FE" w:rsidRPr="00F767FE" w:rsidRDefault="00F767FE" w:rsidP="00F767FE">
      <w:pPr>
        <w:rPr>
          <w:rFonts w:ascii="Calibri" w:hAnsi="Calibri" w:cs="Calibri"/>
          <w:b/>
          <w:bCs/>
          <w:lang w:val="en-GB"/>
        </w:rPr>
      </w:pPr>
      <w:r>
        <w:rPr>
          <w:rFonts w:ascii="Calibri" w:hAnsi="Calibri" w:cs="Calibri"/>
          <w:b/>
          <w:bCs/>
          <w:lang w:val="en-GB"/>
        </w:rPr>
        <w:lastRenderedPageBreak/>
        <w:t>Phase 2 – Technical Enablement</w:t>
      </w:r>
    </w:p>
    <w:p w14:paraId="1A111D77" w14:textId="77777777" w:rsidR="00F767FE" w:rsidRPr="00F767FE" w:rsidRDefault="00F767FE" w:rsidP="00F767FE">
      <w:pPr>
        <w:numPr>
          <w:ilvl w:val="0"/>
          <w:numId w:val="47"/>
        </w:numPr>
        <w:rPr>
          <w:rFonts w:ascii="Calibri" w:hAnsi="Calibri" w:cs="Calibri"/>
          <w:lang w:val="en-GB"/>
        </w:rPr>
      </w:pPr>
      <w:r>
        <w:rPr>
          <w:rFonts w:ascii="Calibri" w:hAnsi="Calibri" w:cs="Calibri"/>
          <w:lang w:val="en-GB"/>
        </w:rPr>
        <w:t>Billing integration</w:t>
      </w:r>
    </w:p>
    <w:p w14:paraId="1DA42ABC" w14:textId="77777777" w:rsidR="00F767FE" w:rsidRPr="00F767FE" w:rsidRDefault="00F767FE" w:rsidP="00F767FE">
      <w:pPr>
        <w:numPr>
          <w:ilvl w:val="0"/>
          <w:numId w:val="47"/>
        </w:numPr>
        <w:rPr>
          <w:rFonts w:ascii="Calibri" w:hAnsi="Calibri" w:cs="Calibri"/>
          <w:lang w:val="en-GB"/>
        </w:rPr>
      </w:pPr>
      <w:r>
        <w:rPr>
          <w:rFonts w:ascii="Calibri" w:hAnsi="Calibri" w:cs="Calibri"/>
          <w:lang w:val="en-GB"/>
        </w:rPr>
        <w:t>CRM integration</w:t>
      </w:r>
    </w:p>
    <w:p w14:paraId="3E08333B" w14:textId="77777777" w:rsidR="00F767FE" w:rsidRPr="00F767FE" w:rsidRDefault="00F767FE" w:rsidP="00F767FE">
      <w:pPr>
        <w:numPr>
          <w:ilvl w:val="0"/>
          <w:numId w:val="47"/>
        </w:numPr>
        <w:rPr>
          <w:rFonts w:ascii="Calibri" w:hAnsi="Calibri" w:cs="Calibri"/>
          <w:lang w:val="en-GB"/>
        </w:rPr>
      </w:pPr>
      <w:r>
        <w:rPr>
          <w:rFonts w:ascii="Calibri" w:hAnsi="Calibri" w:cs="Calibri"/>
          <w:lang w:val="en-GB"/>
        </w:rPr>
        <w:t>OCS &amp; provisioning</w:t>
      </w:r>
    </w:p>
    <w:p w14:paraId="5BA23C78" w14:textId="42EEFB45" w:rsidR="00F767FE" w:rsidRPr="00F767FE" w:rsidRDefault="0016671F" w:rsidP="00F767FE">
      <w:pPr>
        <w:numPr>
          <w:ilvl w:val="0"/>
          <w:numId w:val="47"/>
        </w:numPr>
        <w:rPr>
          <w:rFonts w:ascii="Calibri" w:hAnsi="Calibri" w:cs="Calibri"/>
          <w:lang w:val="en-GB"/>
        </w:rPr>
      </w:pPr>
      <w:r>
        <w:rPr>
          <w:rFonts w:ascii="Calibri" w:hAnsi="Calibri" w:cs="Calibri"/>
          <w:lang w:val="en-GB"/>
        </w:rPr>
        <w:t>KYC compliance in Nigeria</w:t>
      </w:r>
    </w:p>
    <w:p w14:paraId="79F69FDB" w14:textId="77777777" w:rsidR="00F767FE" w:rsidRPr="00F767FE" w:rsidRDefault="00F767FE" w:rsidP="00F767FE">
      <w:pPr>
        <w:rPr>
          <w:rFonts w:ascii="Calibri" w:hAnsi="Calibri" w:cs="Calibri"/>
          <w:b/>
          <w:bCs/>
          <w:lang w:val="en-GB"/>
        </w:rPr>
      </w:pPr>
      <w:r>
        <w:rPr>
          <w:rFonts w:ascii="Calibri" w:hAnsi="Calibri" w:cs="Calibri"/>
          <w:b/>
          <w:bCs/>
          <w:lang w:val="en-GB"/>
        </w:rPr>
        <w:t>Phase 3 – Soft Launch</w:t>
      </w:r>
    </w:p>
    <w:p w14:paraId="055F93B7" w14:textId="5D037018" w:rsidR="00F767FE" w:rsidRPr="00F767FE" w:rsidRDefault="00F767FE" w:rsidP="00F767FE">
      <w:pPr>
        <w:numPr>
          <w:ilvl w:val="0"/>
          <w:numId w:val="48"/>
        </w:numPr>
        <w:rPr>
          <w:rFonts w:ascii="Calibri" w:hAnsi="Calibri" w:cs="Calibri"/>
          <w:lang w:val="en-GB"/>
        </w:rPr>
      </w:pPr>
      <w:r>
        <w:rPr>
          <w:rFonts w:ascii="Calibri" w:hAnsi="Calibri" w:cs="Calibri"/>
          <w:lang w:val="en-GB"/>
        </w:rPr>
        <w:t>Pilot to staff</w:t>
      </w:r>
    </w:p>
    <w:p w14:paraId="6097BFEF" w14:textId="2A3E0341" w:rsidR="00F767FE" w:rsidRPr="00F767FE" w:rsidRDefault="00F767FE" w:rsidP="00F767FE">
      <w:pPr>
        <w:rPr>
          <w:rFonts w:ascii="Calibri" w:hAnsi="Calibri" w:cs="Calibri"/>
          <w:b/>
          <w:bCs/>
          <w:lang w:val="en-GB"/>
        </w:rPr>
      </w:pPr>
      <w:r>
        <w:rPr>
          <w:rFonts w:ascii="Calibri" w:hAnsi="Calibri" w:cs="Calibri"/>
          <w:b/>
          <w:bCs/>
          <w:lang w:val="en-GB"/>
        </w:rPr>
        <w:t>Phase 4 – Full Commercial Launch</w:t>
      </w:r>
    </w:p>
    <w:p w14:paraId="38AB1036" w14:textId="77777777" w:rsidR="00F767FE" w:rsidRPr="00F767FE" w:rsidRDefault="00F767FE" w:rsidP="00F767FE">
      <w:pPr>
        <w:rPr>
          <w:rFonts w:ascii="Calibri" w:hAnsi="Calibri" w:cs="Calibri"/>
          <w:b/>
          <w:bCs/>
          <w:lang w:val="en-GB"/>
        </w:rPr>
      </w:pPr>
      <w:r>
        <w:rPr>
          <w:rFonts w:ascii="Calibri" w:hAnsi="Calibri" w:cs="Calibri"/>
          <w:b/>
          <w:bCs/>
          <w:lang w:val="en-GB"/>
        </w:rPr>
        <w:t>Why Now?</w:t>
      </w:r>
    </w:p>
    <w:p w14:paraId="1599C009" w14:textId="77777777" w:rsidR="00F767FE" w:rsidRPr="00F767FE" w:rsidRDefault="00F767FE" w:rsidP="00F767FE">
      <w:pPr>
        <w:numPr>
          <w:ilvl w:val="0"/>
          <w:numId w:val="49"/>
        </w:numPr>
        <w:rPr>
          <w:rFonts w:ascii="Calibri" w:hAnsi="Calibri" w:cs="Calibri"/>
          <w:lang w:val="en-GB"/>
        </w:rPr>
      </w:pPr>
      <w:r>
        <w:rPr>
          <w:rFonts w:ascii="Calibri" w:hAnsi="Calibri" w:cs="Calibri"/>
          <w:lang w:val="en-GB"/>
        </w:rPr>
        <w:t>Nigeria’s data demand continues to accelerate</w:t>
      </w:r>
    </w:p>
    <w:p w14:paraId="4668D9A2" w14:textId="77777777" w:rsidR="00F767FE" w:rsidRPr="00F767FE" w:rsidRDefault="00F767FE" w:rsidP="00F767FE">
      <w:pPr>
        <w:numPr>
          <w:ilvl w:val="0"/>
          <w:numId w:val="49"/>
        </w:numPr>
        <w:rPr>
          <w:rFonts w:ascii="Calibri" w:hAnsi="Calibri" w:cs="Calibri"/>
          <w:lang w:val="en-GB"/>
        </w:rPr>
      </w:pPr>
      <w:r>
        <w:rPr>
          <w:rFonts w:ascii="Calibri" w:hAnsi="Calibri" w:cs="Calibri"/>
          <w:lang w:val="en-GB"/>
        </w:rPr>
        <w:t>Fibre players must defend against mobile-first competitors</w:t>
      </w:r>
    </w:p>
    <w:p w14:paraId="3F71F6D1" w14:textId="77777777" w:rsidR="00F767FE" w:rsidRPr="00F767FE" w:rsidRDefault="00F767FE" w:rsidP="00F767FE">
      <w:pPr>
        <w:numPr>
          <w:ilvl w:val="0"/>
          <w:numId w:val="49"/>
        </w:numPr>
        <w:rPr>
          <w:rFonts w:ascii="Calibri" w:hAnsi="Calibri" w:cs="Calibri"/>
          <w:lang w:val="en-GB"/>
        </w:rPr>
      </w:pPr>
      <w:r>
        <w:rPr>
          <w:rFonts w:ascii="Calibri" w:hAnsi="Calibri" w:cs="Calibri"/>
          <w:lang w:val="en-GB"/>
        </w:rPr>
        <w:t>FMC is underdeveloped in Nigeria</w:t>
      </w:r>
    </w:p>
    <w:p w14:paraId="12167709" w14:textId="77777777" w:rsidR="00F767FE" w:rsidRPr="00F767FE" w:rsidRDefault="00F767FE" w:rsidP="00F767FE">
      <w:pPr>
        <w:numPr>
          <w:ilvl w:val="0"/>
          <w:numId w:val="49"/>
        </w:numPr>
        <w:rPr>
          <w:rFonts w:ascii="Calibri" w:hAnsi="Calibri" w:cs="Calibri"/>
          <w:lang w:val="en-GB"/>
        </w:rPr>
      </w:pPr>
      <w:r>
        <w:rPr>
          <w:rFonts w:ascii="Calibri" w:hAnsi="Calibri" w:cs="Calibri"/>
          <w:lang w:val="en-GB"/>
        </w:rPr>
        <w:t>Enterprise digital transformation is accelerating</w:t>
      </w:r>
    </w:p>
    <w:p w14:paraId="19B5031A" w14:textId="38FCAD8C" w:rsidR="00F767FE" w:rsidRPr="00F767FE" w:rsidRDefault="00F767FE" w:rsidP="00F767FE">
      <w:pPr>
        <w:numPr>
          <w:ilvl w:val="0"/>
          <w:numId w:val="49"/>
        </w:numPr>
        <w:rPr>
          <w:rFonts w:ascii="Calibri" w:hAnsi="Calibri" w:cs="Calibri"/>
          <w:lang w:val="en-GB"/>
        </w:rPr>
      </w:pPr>
      <w:r>
        <w:rPr>
          <w:rFonts w:ascii="Calibri" w:hAnsi="Calibri" w:cs="Calibri"/>
          <w:lang w:val="en-GB"/>
        </w:rPr>
        <w:t>Customer acquisition costs are rising — convergence reduces CAC</w:t>
      </w:r>
    </w:p>
    <w:p w14:paraId="5044B9BD" w14:textId="77777777" w:rsidR="00F767FE" w:rsidRPr="00F767FE" w:rsidRDefault="00F767FE" w:rsidP="00F767FE">
      <w:pPr>
        <w:rPr>
          <w:rFonts w:ascii="Calibri" w:hAnsi="Calibri" w:cs="Calibri"/>
          <w:b/>
          <w:bCs/>
          <w:lang w:val="en-GB"/>
        </w:rPr>
      </w:pPr>
      <w:r>
        <w:rPr>
          <w:rFonts w:ascii="Calibri" w:hAnsi="Calibri" w:cs="Calibri"/>
          <w:b/>
          <w:bCs/>
          <w:lang w:val="en-GB"/>
        </w:rPr>
        <w:t>Strategic Outcome</w:t>
      </w:r>
    </w:p>
    <w:p w14:paraId="77966877" w14:textId="77777777" w:rsidR="00F767FE" w:rsidRPr="00F767FE" w:rsidRDefault="00F767FE" w:rsidP="00F767FE">
      <w:pPr>
        <w:rPr>
          <w:rFonts w:ascii="Calibri" w:hAnsi="Calibri" w:cs="Calibri"/>
          <w:lang w:val="en-GB"/>
        </w:rPr>
      </w:pPr>
      <w:r>
        <w:rPr>
          <w:rFonts w:ascii="Calibri" w:hAnsi="Calibri" w:cs="Calibri"/>
          <w:lang w:val="en-GB"/>
        </w:rPr>
        <w:t>Launching an MVNO positions GCT Group to:</w:t>
      </w:r>
    </w:p>
    <w:p w14:paraId="60329125" w14:textId="77777777" w:rsidR="00F767FE" w:rsidRPr="00F767FE" w:rsidRDefault="00F767FE" w:rsidP="00F767FE">
      <w:pPr>
        <w:numPr>
          <w:ilvl w:val="0"/>
          <w:numId w:val="50"/>
        </w:numPr>
        <w:rPr>
          <w:rFonts w:ascii="Calibri" w:hAnsi="Calibri" w:cs="Calibri"/>
          <w:lang w:val="en-GB"/>
        </w:rPr>
      </w:pPr>
      <w:r>
        <w:rPr>
          <w:rFonts w:ascii="Calibri" w:hAnsi="Calibri" w:cs="Calibri"/>
          <w:lang w:val="en-GB"/>
        </w:rPr>
        <w:t xml:space="preserve">Transition from ISP to </w:t>
      </w:r>
      <w:r>
        <w:rPr>
          <w:rFonts w:ascii="Calibri" w:hAnsi="Calibri" w:cs="Calibri"/>
          <w:b/>
          <w:bCs/>
          <w:lang w:val="en-GB"/>
        </w:rPr>
        <w:t>Digital Connectivity Operator</w:t>
      </w:r>
    </w:p>
    <w:p w14:paraId="0EF71249" w14:textId="77777777" w:rsidR="00F767FE" w:rsidRPr="00F767FE" w:rsidRDefault="00F767FE" w:rsidP="00F767FE">
      <w:pPr>
        <w:numPr>
          <w:ilvl w:val="0"/>
          <w:numId w:val="50"/>
        </w:numPr>
        <w:rPr>
          <w:rFonts w:ascii="Calibri" w:hAnsi="Calibri" w:cs="Calibri"/>
          <w:lang w:val="en-GB"/>
        </w:rPr>
      </w:pPr>
      <w:r>
        <w:rPr>
          <w:rFonts w:ascii="Calibri" w:hAnsi="Calibri" w:cs="Calibri"/>
          <w:lang w:val="en-GB"/>
        </w:rPr>
        <w:t>Strengthen valuation multiples</w:t>
      </w:r>
    </w:p>
    <w:p w14:paraId="2606334F" w14:textId="77777777" w:rsidR="00810DFA" w:rsidRPr="00C066C7" w:rsidRDefault="00F767FE" w:rsidP="005D26D2">
      <w:pPr>
        <w:numPr>
          <w:ilvl w:val="0"/>
          <w:numId w:val="50"/>
        </w:numPr>
        <w:rPr>
          <w:rFonts w:ascii="Calibri" w:hAnsi="Calibri" w:cs="Calibri"/>
          <w:lang w:val="en-GB"/>
        </w:rPr>
      </w:pPr>
      <w:r>
        <w:rPr>
          <w:rFonts w:ascii="Calibri" w:hAnsi="Calibri" w:cs="Calibri"/>
          <w:lang w:val="en-GB"/>
        </w:rPr>
        <w:t>Increase EBITDA margins through bundled revenue</w:t>
      </w:r>
    </w:p>
    <w:p w14:paraId="1CF04367" w14:textId="2ECA680B" w:rsidR="00F767FE" w:rsidRPr="00C066C7" w:rsidRDefault="00F767FE" w:rsidP="005D26D2">
      <w:pPr>
        <w:numPr>
          <w:ilvl w:val="0"/>
          <w:numId w:val="50"/>
        </w:numPr>
        <w:rPr>
          <w:rFonts w:ascii="Calibri" w:hAnsi="Calibri" w:cs="Calibri"/>
          <w:lang w:val="en-GB"/>
        </w:rPr>
      </w:pPr>
      <w:r>
        <w:rPr>
          <w:rFonts w:ascii="Calibri" w:hAnsi="Calibri" w:cs="Calibri"/>
          <w:lang w:val="en-GB"/>
        </w:rPr>
        <w:t>Create long-term defensive positioning against mobile incumbents</w:t>
      </w:r>
      <w:r>
        <w:rPr>
          <w:rFonts w:ascii="Calibri" w:hAnsi="Calibri" w:cs="Calibri"/>
          <w:vanish/>
          <w:lang w:val="en-GB"/>
        </w:rPr>
        <w:t>Bottom of Form</w:t>
      </w:r>
    </w:p>
    <w:p w14:paraId="30C66571" w14:textId="77777777" w:rsidR="00ED793D" w:rsidRPr="00EB79B0" w:rsidRDefault="00513392" w:rsidP="00EB580E">
      <w:pPr>
        <w:pStyle w:val="Heading1"/>
        <w:numPr>
          <w:ilvl w:val="0"/>
          <w:numId w:val="30"/>
        </w:numPr>
        <w:rPr>
          <w:rFonts w:cstheme="majorHAnsi"/>
          <w:b w:val="0"/>
          <w:bCs w:val="0"/>
          <w:color w:val="auto"/>
        </w:rPr>
      </w:pPr>
      <w:bookmarkStart w:id="2" w:name="_Toc210912498"/>
      <w:r>
        <w:rPr>
          <w:rFonts w:cstheme="majorHAnsi"/>
          <w:color w:val="auto"/>
        </w:rPr>
        <w:lastRenderedPageBreak/>
        <w:t>Why DSG?</w:t>
      </w:r>
      <w:bookmarkEnd w:id="2"/>
    </w:p>
    <w:p w14:paraId="61FF9BFA" w14:textId="5DBAB6A7" w:rsidR="0074223A" w:rsidRPr="00906E9B" w:rsidRDefault="00ED793D" w:rsidP="00ED793D">
      <w:pPr>
        <w:pStyle w:val="Heading1"/>
        <w:jc w:val="both"/>
        <w:rPr>
          <w:rFonts w:cstheme="majorHAnsi"/>
          <w:lang w:val="en-GB"/>
        </w:rPr>
      </w:pPr>
      <w:bookmarkStart w:id="3" w:name="_Toc210893225"/>
      <w:bookmarkStart w:id="4" w:name="_Toc210912499"/>
      <w:r>
        <w:rPr>
          <w:rFonts w:eastAsiaTheme="minorEastAsia" w:cstheme="majorHAnsi"/>
          <w:b w:val="0"/>
          <w:bCs w:val="0"/>
          <w:color w:val="auto"/>
          <w:sz w:val="22"/>
          <w:szCs w:val="22"/>
          <w:lang w:val="en-GB"/>
        </w:rPr>
        <w:t>We partner with our customers across Africa to build comprehensive solutions, which innovate business relationships to yield mutual return on investment. Our people and diverse technology enable anywhere, anytime access to products and services ensuring a customer centric focus.</w:t>
      </w:r>
      <w:r>
        <w:rPr>
          <w:rFonts w:cstheme="majorHAnsi"/>
          <w:lang w:val="en-GB"/>
        </w:rPr>
        <w:t xml:space="preserve"> </w:t>
      </w:r>
      <w:r>
        <w:rPr>
          <w:rFonts w:eastAsiaTheme="minorEastAsia" w:cstheme="majorHAnsi"/>
          <w:b w:val="0"/>
          <w:bCs w:val="0"/>
          <w:color w:val="auto"/>
          <w:sz w:val="22"/>
          <w:szCs w:val="22"/>
          <w:lang w:val="en-GB"/>
        </w:rPr>
        <w:t>DSG serves and manages digital transformation for large consumer facing brands, and we are responsible for the execution of their strategy.</w:t>
      </w:r>
      <w:bookmarkEnd w:id="3"/>
      <w:bookmarkEnd w:id="4"/>
      <w:r>
        <w:rPr>
          <w:rFonts w:cstheme="majorHAnsi"/>
          <w:lang w:val="en-GB"/>
        </w:rPr>
        <w:t xml:space="preserve"> </w:t>
      </w:r>
    </w:p>
    <w:p w14:paraId="2EFF5E13" w14:textId="77777777" w:rsidR="00906E9B" w:rsidRDefault="00906E9B" w:rsidP="00906E9B">
      <w:pPr>
        <w:rPr>
          <w:rFonts w:asciiTheme="majorHAnsi" w:hAnsiTheme="majorHAnsi" w:cstheme="majorHAnsi"/>
          <w:lang w:val="en-GB"/>
        </w:rPr>
      </w:pPr>
    </w:p>
    <w:p w14:paraId="0FF58B4F" w14:textId="77777777" w:rsidR="00810DFA" w:rsidRPr="00906E9B" w:rsidRDefault="00810DFA" w:rsidP="00906E9B">
      <w:pPr>
        <w:rPr>
          <w:rFonts w:asciiTheme="majorHAnsi" w:hAnsiTheme="majorHAnsi" w:cstheme="majorHAnsi"/>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9"/>
        <w:gridCol w:w="3040"/>
        <w:gridCol w:w="3301"/>
      </w:tblGrid>
      <w:tr w:rsidR="00906E9B" w:rsidRPr="00906E9B" w14:paraId="3EF4DC8E" w14:textId="77777777" w:rsidTr="00906E9B">
        <w:tc>
          <w:tcPr>
            <w:tcW w:w="2318" w:type="dxa"/>
          </w:tcPr>
          <w:p w14:paraId="732C4010" w14:textId="77777777" w:rsidR="00906E9B" w:rsidRPr="00906E9B" w:rsidRDefault="00906E9B" w:rsidP="001E64DC">
            <w:pPr>
              <w:rPr>
                <w:rFonts w:asciiTheme="majorHAnsi" w:hAnsiTheme="majorHAnsi" w:cstheme="majorHAnsi"/>
                <w:b/>
                <w:bCs/>
                <w:noProof/>
                <w:color w:val="000000"/>
                <w:sz w:val="18"/>
                <w:szCs w:val="18"/>
              </w:rPr>
            </w:pPr>
          </w:p>
        </w:tc>
        <w:tc>
          <w:tcPr>
            <w:tcW w:w="3052" w:type="dxa"/>
          </w:tcPr>
          <w:p w14:paraId="03A2AC2A" w14:textId="77777777" w:rsidR="00906E9B" w:rsidRPr="00906E9B" w:rsidRDefault="00906E9B" w:rsidP="001E64DC">
            <w:pPr>
              <w:jc w:val="center"/>
              <w:rPr>
                <w:rFonts w:asciiTheme="majorHAnsi" w:hAnsiTheme="majorHAnsi" w:cstheme="majorHAnsi"/>
                <w:b/>
                <w:bCs/>
                <w:color w:val="000000"/>
                <w:sz w:val="16"/>
                <w:szCs w:val="16"/>
              </w:rPr>
            </w:pPr>
            <w:r>
              <w:rPr>
                <w:rFonts w:asciiTheme="majorHAnsi" w:hAnsiTheme="majorHAnsi" w:cstheme="majorHAnsi"/>
                <w:b/>
                <w:bCs/>
                <w:noProof/>
                <w:color w:val="000000"/>
                <w:sz w:val="16"/>
                <w:szCs w:val="16"/>
              </w:rPr>
              <w:drawing>
                <wp:inline distT="0" distB="0" distL="0" distR="0" wp14:anchorId="728B57F6" wp14:editId="66BA6982">
                  <wp:extent cx="1116631" cy="478155"/>
                  <wp:effectExtent l="0" t="0" r="0" b="0"/>
                  <wp:docPr id="9" name="DSG_Logo_RED.png" descr="DSG_Logo_RED.png">
                    <a:hlinkClick xmlns:a="http://schemas.openxmlformats.org/drawingml/2006/main" r:id="rId9"/>
                    <a:extLst xmlns:a="http://schemas.openxmlformats.org/drawingml/2006/main">
                      <a:ext uri="{FF2B5EF4-FFF2-40B4-BE49-F238E27FC236}">
                        <a16:creationId xmlns:a16="http://schemas.microsoft.com/office/drawing/2014/main" id="{253FAD84-4803-24DE-AA25-9CA3C1562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SG_Logo_RED.png" descr="DSG_Logo_RED.png">
                            <a:hlinkClick r:id="rId9"/>
                            <a:extLst>
                              <a:ext uri="{FF2B5EF4-FFF2-40B4-BE49-F238E27FC236}">
                                <a16:creationId xmlns:a16="http://schemas.microsoft.com/office/drawing/2014/main" id="{253FAD84-4803-24DE-AA25-9CA3C15621E9}"/>
                              </a:ext>
                            </a:extLst>
                          </pic:cNvPr>
                          <pic:cNvPicPr>
                            <a:picLocks noChangeAspect="1"/>
                          </pic:cNvPicPr>
                        </pic:nvPicPr>
                        <pic:blipFill>
                          <a:blip r:embed="rId10"/>
                          <a:stretch>
                            <a:fillRect/>
                          </a:stretch>
                        </pic:blipFill>
                        <pic:spPr>
                          <a:xfrm>
                            <a:off x="0" y="0"/>
                            <a:ext cx="1118616" cy="479005"/>
                          </a:xfrm>
                          <a:prstGeom prst="rect">
                            <a:avLst/>
                          </a:prstGeom>
                          <a:ln w="12700">
                            <a:miter lim="400000"/>
                          </a:ln>
                        </pic:spPr>
                      </pic:pic>
                    </a:graphicData>
                  </a:graphic>
                </wp:inline>
              </w:drawing>
            </w:r>
          </w:p>
          <w:p w14:paraId="12B36E99" w14:textId="77777777" w:rsidR="00906E9B" w:rsidRPr="00906E9B" w:rsidRDefault="00906E9B" w:rsidP="001E64DC">
            <w:pPr>
              <w:rPr>
                <w:rFonts w:asciiTheme="majorHAnsi" w:hAnsiTheme="majorHAnsi" w:cstheme="majorHAnsi"/>
                <w:b/>
                <w:bCs/>
                <w:color w:val="000000"/>
                <w:sz w:val="16"/>
                <w:szCs w:val="16"/>
              </w:rPr>
            </w:pPr>
          </w:p>
          <w:p w14:paraId="08A6A4EC" w14:textId="77777777" w:rsidR="00906E9B" w:rsidRPr="00906E9B" w:rsidRDefault="00906E9B" w:rsidP="001E64DC">
            <w:pPr>
              <w:jc w:val="center"/>
              <w:rPr>
                <w:rFonts w:asciiTheme="majorHAnsi" w:hAnsiTheme="majorHAnsi" w:cstheme="majorHAnsi"/>
                <w:b/>
                <w:bCs/>
                <w:color w:val="000000"/>
                <w:sz w:val="16"/>
                <w:szCs w:val="16"/>
              </w:rPr>
            </w:pPr>
            <w:r>
              <w:rPr>
                <w:rFonts w:asciiTheme="majorHAnsi" w:hAnsiTheme="majorHAnsi" w:cstheme="majorHAnsi"/>
                <w:b/>
                <w:bCs/>
                <w:noProof/>
                <w:color w:val="000000"/>
                <w:sz w:val="16"/>
                <w:szCs w:val="16"/>
              </w:rPr>
              <w:drawing>
                <wp:inline distT="0" distB="0" distL="0" distR="0" wp14:anchorId="186E84DC" wp14:editId="62EB9D39">
                  <wp:extent cx="1743318" cy="181000"/>
                  <wp:effectExtent l="0" t="0" r="9525" b="9525"/>
                  <wp:docPr id="792069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69210" name="Picture 792069210"/>
                          <pic:cNvPicPr/>
                        </pic:nvPicPr>
                        <pic:blipFill>
                          <a:blip r:embed="rId11">
                            <a:extLst>
                              <a:ext uri="{28A0092B-C50C-407E-A947-70E740481C1C}">
                                <a14:useLocalDpi xmlns:a14="http://schemas.microsoft.com/office/drawing/2010/main" val="0"/>
                              </a:ext>
                            </a:extLst>
                          </a:blip>
                          <a:stretch>
                            <a:fillRect/>
                          </a:stretch>
                        </pic:blipFill>
                        <pic:spPr>
                          <a:xfrm>
                            <a:off x="0" y="0"/>
                            <a:ext cx="1743318" cy="181000"/>
                          </a:xfrm>
                          <a:prstGeom prst="rect">
                            <a:avLst/>
                          </a:prstGeom>
                        </pic:spPr>
                      </pic:pic>
                    </a:graphicData>
                  </a:graphic>
                </wp:inline>
              </w:drawing>
            </w:r>
          </w:p>
          <w:p w14:paraId="123A2049" w14:textId="77777777" w:rsidR="00906E9B" w:rsidRPr="00906E9B" w:rsidRDefault="00906E9B" w:rsidP="001E64DC">
            <w:pPr>
              <w:jc w:val="center"/>
              <w:rPr>
                <w:rFonts w:asciiTheme="majorHAnsi" w:hAnsiTheme="majorHAnsi" w:cstheme="majorHAnsi"/>
                <w:b/>
                <w:bCs/>
                <w:color w:val="000000"/>
                <w:sz w:val="16"/>
                <w:szCs w:val="16"/>
              </w:rPr>
            </w:pPr>
          </w:p>
          <w:p w14:paraId="7C11B431" w14:textId="77777777" w:rsidR="00906E9B" w:rsidRPr="00906E9B" w:rsidRDefault="00906E9B" w:rsidP="001E64DC">
            <w:pPr>
              <w:jc w:val="center"/>
              <w:rPr>
                <w:rFonts w:asciiTheme="majorHAnsi" w:hAnsiTheme="majorHAnsi" w:cstheme="majorHAnsi"/>
                <w:b/>
                <w:bCs/>
                <w:color w:val="000000"/>
                <w:sz w:val="16"/>
                <w:szCs w:val="16"/>
              </w:rPr>
            </w:pPr>
          </w:p>
        </w:tc>
        <w:tc>
          <w:tcPr>
            <w:tcW w:w="3486" w:type="dxa"/>
          </w:tcPr>
          <w:p w14:paraId="4E3AC06C" w14:textId="77777777" w:rsidR="00906E9B" w:rsidRPr="00906E9B" w:rsidRDefault="00906E9B" w:rsidP="001E64DC">
            <w:pPr>
              <w:rPr>
                <w:rFonts w:asciiTheme="majorHAnsi" w:hAnsiTheme="majorHAnsi" w:cstheme="majorHAnsi"/>
                <w:sz w:val="16"/>
                <w:szCs w:val="16"/>
                <w:lang w:val="it-IT"/>
              </w:rPr>
            </w:pPr>
          </w:p>
        </w:tc>
      </w:tr>
      <w:tr w:rsidR="00906E9B" w:rsidRPr="00906E9B" w14:paraId="4D12F0BD" w14:textId="77777777" w:rsidTr="00906E9B">
        <w:tc>
          <w:tcPr>
            <w:tcW w:w="2318" w:type="dxa"/>
          </w:tcPr>
          <w:p w14:paraId="33B0CE2A" w14:textId="678F8BF8" w:rsidR="00906E9B" w:rsidRPr="00906E9B" w:rsidRDefault="00906E9B" w:rsidP="00906E9B">
            <w:pPr>
              <w:rPr>
                <w:rFonts w:asciiTheme="majorHAnsi" w:hAnsiTheme="majorHAnsi" w:cstheme="majorHAnsi"/>
                <w:b/>
                <w:bCs/>
                <w:noProof/>
                <w:color w:val="000000"/>
                <w:sz w:val="18"/>
                <w:szCs w:val="18"/>
              </w:rPr>
            </w:pPr>
            <w:r>
              <w:rPr>
                <w:rFonts w:asciiTheme="majorHAnsi" w:hAnsiTheme="majorHAnsi" w:cstheme="majorHAnsi"/>
                <w:b/>
                <w:bCs/>
                <w:noProof/>
                <w:sz w:val="18"/>
                <w:szCs w:val="18"/>
              </w:rPr>
              <w:drawing>
                <wp:inline distT="0" distB="0" distL="0" distR="0" wp14:anchorId="08F98496" wp14:editId="676019A6">
                  <wp:extent cx="1148080" cy="406400"/>
                  <wp:effectExtent l="0" t="0" r="0" b="0"/>
                  <wp:docPr id="811079723" name="Picture 6" descr="A blue and whit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79723" name="Picture 6" descr="A blue and white text on a black background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9073" cy="435070"/>
                          </a:xfrm>
                          <a:prstGeom prst="rect">
                            <a:avLst/>
                          </a:prstGeom>
                        </pic:spPr>
                      </pic:pic>
                    </a:graphicData>
                  </a:graphic>
                </wp:inline>
              </w:drawing>
            </w:r>
          </w:p>
        </w:tc>
        <w:tc>
          <w:tcPr>
            <w:tcW w:w="3052" w:type="dxa"/>
          </w:tcPr>
          <w:p w14:paraId="20E1DF87" w14:textId="6CC4E71E" w:rsidR="00906E9B" w:rsidRPr="00906E9B" w:rsidRDefault="00906E9B" w:rsidP="00906E9B">
            <w:pPr>
              <w:rPr>
                <w:rFonts w:asciiTheme="majorHAnsi" w:hAnsiTheme="majorHAnsi" w:cstheme="majorHAnsi"/>
                <w:b/>
                <w:bCs/>
                <w:color w:val="000000"/>
                <w:sz w:val="16"/>
                <w:szCs w:val="16"/>
              </w:rPr>
            </w:pPr>
            <w:r>
              <w:rPr>
                <w:rFonts w:asciiTheme="majorHAnsi" w:hAnsiTheme="majorHAnsi" w:cstheme="majorHAnsi"/>
                <w:b/>
                <w:bCs/>
                <w:sz w:val="16"/>
                <w:szCs w:val="16"/>
              </w:rPr>
              <w:t xml:space="preserve">MVNE </w:t>
            </w:r>
            <w:r>
              <w:rPr>
                <w:rFonts w:asciiTheme="majorHAnsi" w:hAnsiTheme="majorHAnsi" w:cstheme="majorHAnsi"/>
                <w:sz w:val="16"/>
                <w:szCs w:val="16"/>
              </w:rPr>
              <w:t>(Mobile Virtual Network Enabler) – Provides mobile virtual services for large consumer-facing brands seeking to integrate mobile into their strategy, includes unique consulting and comprehensive MVNO Commercial Viability analysis.</w:t>
            </w:r>
          </w:p>
        </w:tc>
        <w:tc>
          <w:tcPr>
            <w:tcW w:w="3486" w:type="dxa"/>
          </w:tcPr>
          <w:p w14:paraId="58E366BA" w14:textId="77777777" w:rsidR="00906E9B" w:rsidRPr="00906E9B" w:rsidRDefault="00906E9B" w:rsidP="00906E9B">
            <w:pPr>
              <w:pStyle w:val="ListParagraph"/>
              <w:numPr>
                <w:ilvl w:val="0"/>
                <w:numId w:val="34"/>
              </w:numPr>
              <w:rPr>
                <w:rFonts w:asciiTheme="majorHAnsi" w:hAnsiTheme="majorHAnsi" w:cstheme="majorHAnsi"/>
                <w:sz w:val="16"/>
                <w:szCs w:val="16"/>
              </w:rPr>
            </w:pPr>
            <w:r>
              <w:rPr>
                <w:rFonts w:asciiTheme="majorHAnsi" w:hAnsiTheme="majorHAnsi" w:cstheme="majorHAnsi"/>
                <w:sz w:val="16"/>
                <w:szCs w:val="16"/>
              </w:rPr>
              <w:t>Commercial Viability analysis</w:t>
            </w:r>
          </w:p>
          <w:p w14:paraId="26E8DF17" w14:textId="77777777" w:rsidR="00906E9B" w:rsidRPr="00906E9B" w:rsidRDefault="00906E9B" w:rsidP="00906E9B">
            <w:pPr>
              <w:pStyle w:val="ListParagraph"/>
              <w:numPr>
                <w:ilvl w:val="0"/>
                <w:numId w:val="34"/>
              </w:numPr>
              <w:rPr>
                <w:rFonts w:asciiTheme="majorHAnsi" w:hAnsiTheme="majorHAnsi" w:cstheme="majorHAnsi"/>
                <w:sz w:val="16"/>
                <w:szCs w:val="16"/>
              </w:rPr>
            </w:pPr>
            <w:r>
              <w:rPr>
                <w:rFonts w:asciiTheme="majorHAnsi" w:hAnsiTheme="majorHAnsi" w:cstheme="majorHAnsi"/>
                <w:sz w:val="16"/>
                <w:szCs w:val="16"/>
              </w:rPr>
              <w:t>MVNO platform and ecosystem management</w:t>
            </w:r>
          </w:p>
          <w:p w14:paraId="4EC32FF3" w14:textId="77777777" w:rsidR="00906E9B" w:rsidRPr="00906E9B" w:rsidRDefault="00906E9B" w:rsidP="00906E9B">
            <w:pPr>
              <w:pStyle w:val="ListParagraph"/>
              <w:numPr>
                <w:ilvl w:val="0"/>
                <w:numId w:val="34"/>
              </w:numPr>
              <w:rPr>
                <w:rFonts w:asciiTheme="majorHAnsi" w:hAnsiTheme="majorHAnsi" w:cstheme="majorHAnsi"/>
                <w:sz w:val="16"/>
                <w:szCs w:val="16"/>
              </w:rPr>
            </w:pPr>
            <w:r>
              <w:rPr>
                <w:rFonts w:asciiTheme="majorHAnsi" w:hAnsiTheme="majorHAnsi" w:cstheme="majorHAnsi"/>
                <w:sz w:val="16"/>
                <w:szCs w:val="16"/>
              </w:rPr>
              <w:t>VAS</w:t>
            </w:r>
          </w:p>
          <w:p w14:paraId="311358C4"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 xml:space="preserve">Insurance </w:t>
            </w:r>
          </w:p>
          <w:p w14:paraId="4E4128B9"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 xml:space="preserve">OTT </w:t>
            </w:r>
          </w:p>
          <w:p w14:paraId="34C43306"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 xml:space="preserve">Cloud Storage </w:t>
            </w:r>
          </w:p>
          <w:p w14:paraId="65E643A5"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Security</w:t>
            </w:r>
          </w:p>
          <w:p w14:paraId="4DBE024F"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eSIM</w:t>
            </w:r>
          </w:p>
          <w:p w14:paraId="0D6B63B9"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Travel eSIM</w:t>
            </w:r>
          </w:p>
          <w:p w14:paraId="6BDD6D92"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Loyalty Programs</w:t>
            </w:r>
          </w:p>
          <w:p w14:paraId="28C1712D"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 xml:space="preserve">Devices </w:t>
            </w:r>
          </w:p>
          <w:p w14:paraId="201F9DFF"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 xml:space="preserve">Device Financing </w:t>
            </w:r>
          </w:p>
          <w:p w14:paraId="77FD0086"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Safe Family (McAfee)</w:t>
            </w:r>
          </w:p>
          <w:p w14:paraId="4009FA0F"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Sentiance (UBI)</w:t>
            </w:r>
          </w:p>
          <w:p w14:paraId="59CAE225" w14:textId="77777777" w:rsidR="00906E9B" w:rsidRPr="00906E9B" w:rsidRDefault="00906E9B" w:rsidP="00906E9B">
            <w:pPr>
              <w:pStyle w:val="ListParagraph"/>
              <w:numPr>
                <w:ilvl w:val="1"/>
                <w:numId w:val="34"/>
              </w:numPr>
              <w:rPr>
                <w:rFonts w:asciiTheme="majorHAnsi" w:hAnsiTheme="majorHAnsi" w:cstheme="majorHAnsi"/>
                <w:sz w:val="16"/>
                <w:szCs w:val="16"/>
              </w:rPr>
            </w:pPr>
            <w:r>
              <w:rPr>
                <w:rFonts w:asciiTheme="majorHAnsi" w:hAnsiTheme="majorHAnsi" w:cstheme="majorHAnsi"/>
                <w:sz w:val="16"/>
                <w:szCs w:val="16"/>
              </w:rPr>
              <w:t>MARS – revenue assurance</w:t>
            </w:r>
          </w:p>
          <w:p w14:paraId="1448EF59" w14:textId="77777777" w:rsidR="00906E9B" w:rsidRPr="00906E9B" w:rsidRDefault="00906E9B" w:rsidP="00FB509C">
            <w:pPr>
              <w:pStyle w:val="ListParagraph"/>
              <w:rPr>
                <w:rFonts w:asciiTheme="majorHAnsi" w:hAnsiTheme="majorHAnsi" w:cstheme="majorHAnsi"/>
                <w:sz w:val="16"/>
                <w:szCs w:val="16"/>
                <w:lang w:val="it-IT"/>
              </w:rPr>
            </w:pPr>
          </w:p>
        </w:tc>
      </w:tr>
      <w:tr w:rsidR="00906E9B" w:rsidRPr="00906E9B" w14:paraId="342BF10A" w14:textId="77777777" w:rsidTr="00906E9B">
        <w:tc>
          <w:tcPr>
            <w:tcW w:w="2318" w:type="dxa"/>
          </w:tcPr>
          <w:p w14:paraId="52BE0DF3" w14:textId="77777777" w:rsidR="00906E9B" w:rsidRPr="00906E9B" w:rsidRDefault="00906E9B" w:rsidP="00906E9B">
            <w:pPr>
              <w:rPr>
                <w:rFonts w:asciiTheme="majorHAnsi" w:hAnsiTheme="majorHAnsi" w:cstheme="majorHAnsi"/>
                <w:b/>
                <w:bCs/>
                <w:color w:val="000000"/>
                <w:sz w:val="18"/>
                <w:szCs w:val="18"/>
              </w:rPr>
            </w:pPr>
            <w:r>
              <w:rPr>
                <w:rFonts w:asciiTheme="majorHAnsi" w:hAnsiTheme="majorHAnsi" w:cstheme="majorHAnsi"/>
                <w:b/>
                <w:bCs/>
                <w:noProof/>
                <w:color w:val="000000"/>
                <w:sz w:val="18"/>
                <w:szCs w:val="18"/>
              </w:rPr>
              <w:drawing>
                <wp:inline distT="0" distB="0" distL="0" distR="0" wp14:anchorId="03FB817B" wp14:editId="62A30321">
                  <wp:extent cx="831930" cy="438150"/>
                  <wp:effectExtent l="0" t="0" r="6350" b="0"/>
                  <wp:docPr id="2123839597" name="Picture 1" descr="A red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39597" name="Picture 1" descr="A red and black logo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33843" cy="439158"/>
                          </a:xfrm>
                          <a:prstGeom prst="rect">
                            <a:avLst/>
                          </a:prstGeom>
                        </pic:spPr>
                      </pic:pic>
                    </a:graphicData>
                  </a:graphic>
                </wp:inline>
              </w:drawing>
            </w:r>
          </w:p>
        </w:tc>
        <w:tc>
          <w:tcPr>
            <w:tcW w:w="3052" w:type="dxa"/>
          </w:tcPr>
          <w:p w14:paraId="6029FF5D" w14:textId="77777777" w:rsidR="00906E9B" w:rsidRPr="00906E9B" w:rsidRDefault="00906E9B" w:rsidP="00906E9B">
            <w:pPr>
              <w:rPr>
                <w:rFonts w:asciiTheme="majorHAnsi" w:hAnsiTheme="majorHAnsi" w:cstheme="majorHAnsi"/>
                <w:color w:val="000000"/>
                <w:sz w:val="16"/>
                <w:szCs w:val="16"/>
              </w:rPr>
            </w:pPr>
            <w:r>
              <w:rPr>
                <w:rFonts w:asciiTheme="majorHAnsi" w:hAnsiTheme="majorHAnsi" w:cstheme="majorHAnsi"/>
                <w:b/>
                <w:bCs/>
                <w:color w:val="000000"/>
                <w:sz w:val="16"/>
                <w:szCs w:val="16"/>
              </w:rPr>
              <w:t>CXG</w:t>
            </w:r>
            <w:r>
              <w:rPr>
                <w:rFonts w:asciiTheme="majorHAnsi" w:hAnsiTheme="majorHAnsi" w:cstheme="majorHAnsi"/>
                <w:color w:val="000000"/>
                <w:sz w:val="16"/>
                <w:szCs w:val="16"/>
              </w:rPr>
              <w:t xml:space="preserve"> (Customer Experience Group) – Integrated customer experience solutions, aimed at consumer</w:t>
              <w:noBreakHyphen/>
              <w:t>facing organisations seeking cost</w:t>
              <w:noBreakHyphen/>
              <w:t>effective, prioritised CX strategies, including contact centre, social media, whatapp, sms, email channels, leveraging a world class tech stack.</w:t>
            </w:r>
          </w:p>
          <w:p w14:paraId="463675B1" w14:textId="77777777" w:rsidR="00906E9B" w:rsidRPr="00906E9B" w:rsidRDefault="00906E9B" w:rsidP="00906E9B">
            <w:pPr>
              <w:rPr>
                <w:rFonts w:asciiTheme="majorHAnsi" w:hAnsiTheme="majorHAnsi" w:cstheme="majorHAnsi"/>
                <w:sz w:val="16"/>
                <w:szCs w:val="16"/>
              </w:rPr>
            </w:pPr>
          </w:p>
        </w:tc>
        <w:tc>
          <w:tcPr>
            <w:tcW w:w="3486" w:type="dxa"/>
          </w:tcPr>
          <w:p w14:paraId="324DD826" w14:textId="77777777" w:rsidR="00906E9B" w:rsidRPr="00906E9B" w:rsidRDefault="00906E9B" w:rsidP="00906E9B">
            <w:pPr>
              <w:pStyle w:val="ListParagraph"/>
              <w:numPr>
                <w:ilvl w:val="0"/>
                <w:numId w:val="31"/>
              </w:numPr>
              <w:rPr>
                <w:rFonts w:asciiTheme="majorHAnsi" w:hAnsiTheme="majorHAnsi" w:cstheme="majorHAnsi"/>
                <w:sz w:val="16"/>
                <w:szCs w:val="16"/>
                <w:lang w:val="it-IT"/>
              </w:rPr>
            </w:pPr>
            <w:r>
              <w:rPr>
                <w:rFonts w:asciiTheme="majorHAnsi" w:hAnsiTheme="majorHAnsi" w:cstheme="majorHAnsi"/>
                <w:sz w:val="16"/>
                <w:szCs w:val="16"/>
                <w:lang w:val="it-IT"/>
              </w:rPr>
              <w:t>Omni Channel support</w:t>
            </w:r>
          </w:p>
          <w:p w14:paraId="6F6A0344" w14:textId="77777777" w:rsidR="00906E9B" w:rsidRPr="00906E9B" w:rsidRDefault="00906E9B" w:rsidP="00906E9B">
            <w:pPr>
              <w:pStyle w:val="ListParagraph"/>
              <w:numPr>
                <w:ilvl w:val="0"/>
                <w:numId w:val="31"/>
              </w:numPr>
              <w:rPr>
                <w:rFonts w:asciiTheme="majorHAnsi" w:hAnsiTheme="majorHAnsi" w:cstheme="majorHAnsi"/>
                <w:sz w:val="16"/>
                <w:szCs w:val="16"/>
                <w:lang w:val="it-IT"/>
              </w:rPr>
            </w:pPr>
            <w:r>
              <w:rPr>
                <w:rFonts w:asciiTheme="majorHAnsi" w:hAnsiTheme="majorHAnsi" w:cstheme="majorHAnsi"/>
                <w:sz w:val="16"/>
                <w:szCs w:val="16"/>
                <w:lang w:val="it-IT"/>
              </w:rPr>
              <w:t>CX (Customer support)</w:t>
            </w:r>
          </w:p>
          <w:p w14:paraId="510C4342" w14:textId="77777777" w:rsidR="00906E9B" w:rsidRPr="00906E9B" w:rsidRDefault="00906E9B" w:rsidP="00906E9B">
            <w:pPr>
              <w:pStyle w:val="ListParagraph"/>
              <w:numPr>
                <w:ilvl w:val="0"/>
                <w:numId w:val="31"/>
              </w:numPr>
              <w:rPr>
                <w:rFonts w:asciiTheme="majorHAnsi" w:hAnsiTheme="majorHAnsi" w:cstheme="majorHAnsi"/>
                <w:sz w:val="16"/>
                <w:szCs w:val="16"/>
                <w:lang w:val="it-IT"/>
              </w:rPr>
            </w:pPr>
            <w:r>
              <w:rPr>
                <w:rFonts w:asciiTheme="majorHAnsi" w:hAnsiTheme="majorHAnsi" w:cstheme="majorHAnsi"/>
                <w:sz w:val="16"/>
                <w:szCs w:val="16"/>
                <w:lang w:val="it-IT"/>
              </w:rPr>
              <w:t>Customer Care</w:t>
            </w:r>
          </w:p>
          <w:p w14:paraId="5E7D290B" w14:textId="77777777" w:rsidR="00906E9B" w:rsidRPr="00906E9B" w:rsidRDefault="00906E9B" w:rsidP="00906E9B">
            <w:pPr>
              <w:pStyle w:val="ListParagraph"/>
              <w:numPr>
                <w:ilvl w:val="0"/>
                <w:numId w:val="31"/>
              </w:numPr>
              <w:rPr>
                <w:rFonts w:asciiTheme="majorHAnsi" w:hAnsiTheme="majorHAnsi" w:cstheme="majorHAnsi"/>
                <w:sz w:val="16"/>
                <w:szCs w:val="16"/>
                <w:lang w:val="it-IT"/>
              </w:rPr>
            </w:pPr>
            <w:r>
              <w:rPr>
                <w:rFonts w:asciiTheme="majorHAnsi" w:hAnsiTheme="majorHAnsi" w:cstheme="majorHAnsi"/>
                <w:sz w:val="16"/>
                <w:szCs w:val="16"/>
                <w:lang w:val="it-IT"/>
              </w:rPr>
              <w:t>Social Media engagement</w:t>
            </w:r>
          </w:p>
          <w:p w14:paraId="029C84AF" w14:textId="77777777" w:rsidR="00906E9B" w:rsidRPr="00906E9B" w:rsidRDefault="00906E9B" w:rsidP="00906E9B">
            <w:pPr>
              <w:pStyle w:val="ListParagraph"/>
              <w:numPr>
                <w:ilvl w:val="0"/>
                <w:numId w:val="31"/>
              </w:numPr>
              <w:rPr>
                <w:rFonts w:asciiTheme="majorHAnsi" w:hAnsiTheme="majorHAnsi" w:cstheme="majorHAnsi"/>
                <w:sz w:val="16"/>
                <w:szCs w:val="16"/>
              </w:rPr>
            </w:pPr>
            <w:r>
              <w:rPr>
                <w:rFonts w:asciiTheme="majorHAnsi" w:hAnsiTheme="majorHAnsi" w:cstheme="majorHAnsi"/>
                <w:sz w:val="16"/>
                <w:szCs w:val="16"/>
              </w:rPr>
              <w:t>IT service desk and management</w:t>
            </w:r>
          </w:p>
          <w:p w14:paraId="499AE073" w14:textId="77777777" w:rsidR="00906E9B" w:rsidRPr="00906E9B" w:rsidRDefault="00906E9B" w:rsidP="00906E9B">
            <w:pPr>
              <w:pStyle w:val="ListParagraph"/>
              <w:numPr>
                <w:ilvl w:val="0"/>
                <w:numId w:val="31"/>
              </w:numPr>
              <w:rPr>
                <w:rFonts w:asciiTheme="majorHAnsi" w:hAnsiTheme="majorHAnsi" w:cstheme="majorHAnsi"/>
                <w:sz w:val="16"/>
                <w:szCs w:val="16"/>
              </w:rPr>
            </w:pPr>
            <w:r>
              <w:rPr>
                <w:rFonts w:asciiTheme="majorHAnsi" w:hAnsiTheme="majorHAnsi" w:cstheme="majorHAnsi"/>
                <w:sz w:val="16"/>
                <w:szCs w:val="16"/>
              </w:rPr>
              <w:t>Contact Centre Services</w:t>
            </w:r>
          </w:p>
          <w:p w14:paraId="55A1826E" w14:textId="77777777" w:rsidR="00906E9B" w:rsidRPr="00906E9B" w:rsidRDefault="00906E9B" w:rsidP="00906E9B">
            <w:pPr>
              <w:pStyle w:val="ListParagraph"/>
              <w:numPr>
                <w:ilvl w:val="0"/>
                <w:numId w:val="31"/>
              </w:numPr>
              <w:rPr>
                <w:rFonts w:asciiTheme="majorHAnsi" w:hAnsiTheme="majorHAnsi" w:cstheme="majorHAnsi"/>
                <w:sz w:val="16"/>
                <w:szCs w:val="16"/>
              </w:rPr>
            </w:pPr>
            <w:r>
              <w:rPr>
                <w:rFonts w:asciiTheme="majorHAnsi" w:hAnsiTheme="majorHAnsi" w:cstheme="majorHAnsi"/>
                <w:sz w:val="16"/>
                <w:szCs w:val="16"/>
              </w:rPr>
              <w:t>Workforce Management</w:t>
            </w:r>
          </w:p>
          <w:p w14:paraId="3015A0F6" w14:textId="77777777" w:rsidR="00906E9B" w:rsidRPr="00906E9B" w:rsidRDefault="00906E9B" w:rsidP="00906E9B">
            <w:pPr>
              <w:pStyle w:val="ListParagraph"/>
              <w:numPr>
                <w:ilvl w:val="0"/>
                <w:numId w:val="31"/>
              </w:numPr>
              <w:rPr>
                <w:rFonts w:asciiTheme="majorHAnsi" w:hAnsiTheme="majorHAnsi" w:cstheme="majorHAnsi"/>
                <w:sz w:val="16"/>
                <w:szCs w:val="16"/>
              </w:rPr>
            </w:pPr>
            <w:r>
              <w:rPr>
                <w:rFonts w:asciiTheme="majorHAnsi" w:hAnsiTheme="majorHAnsi" w:cstheme="majorHAnsi"/>
                <w:sz w:val="16"/>
                <w:szCs w:val="16"/>
              </w:rPr>
              <w:t>Dynamic CRM Solutions</w:t>
            </w:r>
          </w:p>
          <w:p w14:paraId="48CCBF87" w14:textId="77777777" w:rsidR="00906E9B" w:rsidRPr="00906E9B" w:rsidRDefault="00906E9B" w:rsidP="00906E9B">
            <w:pPr>
              <w:pStyle w:val="ListParagraph"/>
              <w:numPr>
                <w:ilvl w:val="0"/>
                <w:numId w:val="31"/>
              </w:numPr>
              <w:rPr>
                <w:rFonts w:asciiTheme="majorHAnsi" w:hAnsiTheme="majorHAnsi" w:cstheme="majorHAnsi"/>
                <w:sz w:val="16"/>
                <w:szCs w:val="16"/>
              </w:rPr>
            </w:pPr>
            <w:r>
              <w:rPr>
                <w:rFonts w:asciiTheme="majorHAnsi" w:hAnsiTheme="majorHAnsi" w:cstheme="majorHAnsi"/>
                <w:sz w:val="16"/>
                <w:szCs w:val="16"/>
              </w:rPr>
              <w:t>Business Intelligence and deep domain insights</w:t>
            </w:r>
          </w:p>
          <w:p w14:paraId="71DC86CA" w14:textId="77777777" w:rsidR="00906E9B" w:rsidRPr="00906E9B" w:rsidRDefault="00906E9B" w:rsidP="00906E9B">
            <w:pPr>
              <w:pStyle w:val="ListParagraph"/>
              <w:rPr>
                <w:rFonts w:asciiTheme="majorHAnsi" w:hAnsiTheme="majorHAnsi" w:cstheme="majorHAnsi"/>
                <w:sz w:val="16"/>
                <w:szCs w:val="16"/>
              </w:rPr>
            </w:pPr>
          </w:p>
        </w:tc>
      </w:tr>
      <w:tr w:rsidR="00906E9B" w:rsidRPr="00906E9B" w14:paraId="4AA71FBC" w14:textId="77777777" w:rsidTr="00906E9B">
        <w:tc>
          <w:tcPr>
            <w:tcW w:w="2318" w:type="dxa"/>
          </w:tcPr>
          <w:p w14:paraId="14CAD7A4" w14:textId="77777777" w:rsidR="00906E9B" w:rsidRPr="00906E9B" w:rsidRDefault="00906E9B" w:rsidP="00906E9B">
            <w:pPr>
              <w:rPr>
                <w:rFonts w:asciiTheme="majorHAnsi" w:hAnsiTheme="majorHAnsi" w:cstheme="majorHAnsi"/>
                <w:b/>
                <w:bCs/>
                <w:sz w:val="18"/>
                <w:szCs w:val="18"/>
              </w:rPr>
            </w:pPr>
            <w:r>
              <w:rPr>
                <w:rFonts w:asciiTheme="majorHAnsi" w:hAnsiTheme="majorHAnsi" w:cstheme="majorHAnsi"/>
                <w:b/>
                <w:bCs/>
                <w:noProof/>
                <w:sz w:val="18"/>
                <w:szCs w:val="18"/>
              </w:rPr>
              <w:drawing>
                <wp:inline distT="0" distB="0" distL="0" distR="0" wp14:anchorId="22BBF2B7" wp14:editId="1F5B1546">
                  <wp:extent cx="1252941" cy="298450"/>
                  <wp:effectExtent l="0" t="0" r="4445" b="6350"/>
                  <wp:docPr id="1430959175" name="Picture 2" descr="A red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59175" name="Picture 2" descr="A red text on a black background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6410" cy="313568"/>
                          </a:xfrm>
                          <a:prstGeom prst="rect">
                            <a:avLst/>
                          </a:prstGeom>
                        </pic:spPr>
                      </pic:pic>
                    </a:graphicData>
                  </a:graphic>
                </wp:inline>
              </w:drawing>
            </w:r>
          </w:p>
        </w:tc>
        <w:tc>
          <w:tcPr>
            <w:tcW w:w="3052" w:type="dxa"/>
          </w:tcPr>
          <w:p w14:paraId="44BF5B3C" w14:textId="77777777" w:rsidR="00906E9B" w:rsidRPr="00906E9B" w:rsidRDefault="00906E9B" w:rsidP="00906E9B">
            <w:pPr>
              <w:rPr>
                <w:rFonts w:asciiTheme="majorHAnsi" w:hAnsiTheme="majorHAnsi" w:cstheme="majorHAnsi"/>
                <w:sz w:val="16"/>
                <w:szCs w:val="16"/>
              </w:rPr>
            </w:pPr>
            <w:r>
              <w:rPr>
                <w:rFonts w:asciiTheme="majorHAnsi" w:hAnsiTheme="majorHAnsi" w:cstheme="majorHAnsi"/>
                <w:b/>
                <w:bCs/>
                <w:sz w:val="16"/>
                <w:szCs w:val="16"/>
              </w:rPr>
              <w:t>Digitalise</w:t>
            </w:r>
            <w:r>
              <w:rPr>
                <w:rFonts w:asciiTheme="majorHAnsi" w:hAnsiTheme="majorHAnsi" w:cstheme="majorHAnsi"/>
                <w:sz w:val="16"/>
                <w:szCs w:val="16"/>
              </w:rPr>
              <w:t xml:space="preserve"> – A design and development studio delivering made</w:t>
            </w:r>
            <w:r>
              <w:rPr>
                <w:rFonts w:ascii="Cambria Math" w:hAnsi="Cambria Math" w:cs="Cambria Math"/>
                <w:sz w:val="16"/>
                <w:szCs w:val="16"/>
              </w:rPr>
              <w:t>‑</w:t>
            </w:r>
            <w:r>
              <w:rPr>
                <w:rFonts w:asciiTheme="majorHAnsi" w:hAnsiTheme="majorHAnsi" w:cstheme="majorHAnsi"/>
                <w:sz w:val="16"/>
                <w:szCs w:val="16"/>
              </w:rPr>
              <w:t>to</w:t>
            </w:r>
            <w:r>
              <w:rPr>
                <w:rFonts w:ascii="Cambria Math" w:hAnsi="Cambria Math" w:cs="Cambria Math"/>
                <w:sz w:val="16"/>
                <w:szCs w:val="16"/>
              </w:rPr>
              <w:t>‑</w:t>
            </w:r>
            <w:r>
              <w:rPr>
                <w:rFonts w:asciiTheme="majorHAnsi" w:hAnsiTheme="majorHAnsi" w:cstheme="majorHAnsi"/>
                <w:sz w:val="16"/>
                <w:szCs w:val="16"/>
              </w:rPr>
              <w:t>fit user experiences aligning with brand and CX objectives.</w:t>
            </w:r>
          </w:p>
        </w:tc>
        <w:tc>
          <w:tcPr>
            <w:tcW w:w="3486" w:type="dxa"/>
          </w:tcPr>
          <w:p w14:paraId="7C1BF086" w14:textId="77777777" w:rsidR="00906E9B" w:rsidRPr="00906E9B" w:rsidRDefault="00906E9B" w:rsidP="00906E9B">
            <w:pPr>
              <w:pStyle w:val="ListParagraph"/>
              <w:numPr>
                <w:ilvl w:val="0"/>
                <w:numId w:val="32"/>
              </w:numPr>
              <w:rPr>
                <w:rFonts w:asciiTheme="majorHAnsi" w:hAnsiTheme="majorHAnsi" w:cstheme="majorHAnsi"/>
                <w:sz w:val="16"/>
                <w:szCs w:val="16"/>
              </w:rPr>
            </w:pPr>
            <w:r>
              <w:rPr>
                <w:rFonts w:asciiTheme="majorHAnsi" w:hAnsiTheme="majorHAnsi" w:cstheme="majorHAnsi"/>
                <w:sz w:val="16"/>
                <w:szCs w:val="16"/>
              </w:rPr>
              <w:t>Digital Transformation</w:t>
            </w:r>
          </w:p>
          <w:p w14:paraId="56E73BD1" w14:textId="77777777" w:rsidR="00906E9B" w:rsidRPr="00906E9B" w:rsidRDefault="00906E9B" w:rsidP="00906E9B">
            <w:pPr>
              <w:pStyle w:val="ListParagraph"/>
              <w:numPr>
                <w:ilvl w:val="0"/>
                <w:numId w:val="32"/>
              </w:numPr>
              <w:rPr>
                <w:rFonts w:asciiTheme="majorHAnsi" w:hAnsiTheme="majorHAnsi" w:cstheme="majorHAnsi"/>
                <w:sz w:val="16"/>
                <w:szCs w:val="16"/>
              </w:rPr>
            </w:pPr>
            <w:r>
              <w:rPr>
                <w:rFonts w:asciiTheme="majorHAnsi" w:hAnsiTheme="majorHAnsi" w:cstheme="majorHAnsi"/>
                <w:sz w:val="16"/>
                <w:szCs w:val="16"/>
              </w:rPr>
              <w:t>Social CRM and online reputation</w:t>
            </w:r>
          </w:p>
          <w:p w14:paraId="7FEE9391" w14:textId="77777777" w:rsidR="00906E9B" w:rsidRPr="00906E9B" w:rsidRDefault="00906E9B" w:rsidP="00906E9B">
            <w:pPr>
              <w:pStyle w:val="ListParagraph"/>
              <w:numPr>
                <w:ilvl w:val="0"/>
                <w:numId w:val="32"/>
              </w:numPr>
              <w:rPr>
                <w:rFonts w:asciiTheme="majorHAnsi" w:hAnsiTheme="majorHAnsi" w:cstheme="majorHAnsi"/>
                <w:sz w:val="16"/>
                <w:szCs w:val="16"/>
              </w:rPr>
            </w:pPr>
            <w:r>
              <w:rPr>
                <w:rFonts w:asciiTheme="majorHAnsi" w:hAnsiTheme="majorHAnsi" w:cstheme="majorHAnsi"/>
                <w:sz w:val="16"/>
                <w:szCs w:val="16"/>
              </w:rPr>
              <w:t>SEOP and PPC management</w:t>
            </w:r>
          </w:p>
          <w:p w14:paraId="7EA02F49" w14:textId="77777777" w:rsidR="00906E9B" w:rsidRPr="00906E9B" w:rsidRDefault="00906E9B" w:rsidP="00906E9B">
            <w:pPr>
              <w:pStyle w:val="ListParagraph"/>
              <w:numPr>
                <w:ilvl w:val="0"/>
                <w:numId w:val="32"/>
              </w:numPr>
              <w:rPr>
                <w:rFonts w:asciiTheme="majorHAnsi" w:hAnsiTheme="majorHAnsi" w:cstheme="majorHAnsi"/>
                <w:sz w:val="16"/>
                <w:szCs w:val="16"/>
              </w:rPr>
            </w:pPr>
            <w:r>
              <w:rPr>
                <w:rFonts w:asciiTheme="majorHAnsi" w:hAnsiTheme="majorHAnsi" w:cstheme="majorHAnsi"/>
                <w:sz w:val="16"/>
                <w:szCs w:val="16"/>
              </w:rPr>
              <w:t>Enterprise workforce management</w:t>
            </w:r>
          </w:p>
          <w:p w14:paraId="62430F69" w14:textId="77777777" w:rsidR="00906E9B" w:rsidRPr="00906E9B" w:rsidRDefault="00906E9B" w:rsidP="00906E9B">
            <w:pPr>
              <w:pStyle w:val="ListParagraph"/>
              <w:numPr>
                <w:ilvl w:val="0"/>
                <w:numId w:val="32"/>
              </w:numPr>
              <w:rPr>
                <w:rFonts w:asciiTheme="majorHAnsi" w:hAnsiTheme="majorHAnsi" w:cstheme="majorHAnsi"/>
                <w:sz w:val="16"/>
                <w:szCs w:val="16"/>
              </w:rPr>
            </w:pPr>
            <w:r>
              <w:rPr>
                <w:rFonts w:asciiTheme="majorHAnsi" w:hAnsiTheme="majorHAnsi" w:cstheme="majorHAnsi"/>
                <w:sz w:val="16"/>
                <w:szCs w:val="16"/>
              </w:rPr>
              <w:t>Web development</w:t>
            </w:r>
          </w:p>
          <w:p w14:paraId="41B30DC7" w14:textId="77777777" w:rsidR="00906E9B" w:rsidRPr="00906E9B" w:rsidRDefault="00906E9B" w:rsidP="00906E9B">
            <w:pPr>
              <w:pStyle w:val="ListParagraph"/>
              <w:numPr>
                <w:ilvl w:val="0"/>
                <w:numId w:val="32"/>
              </w:numPr>
              <w:rPr>
                <w:rFonts w:asciiTheme="majorHAnsi" w:hAnsiTheme="majorHAnsi" w:cstheme="majorHAnsi"/>
                <w:sz w:val="16"/>
                <w:szCs w:val="16"/>
              </w:rPr>
            </w:pPr>
            <w:r>
              <w:rPr>
                <w:rFonts w:asciiTheme="majorHAnsi" w:hAnsiTheme="majorHAnsi" w:cstheme="majorHAnsi"/>
                <w:sz w:val="16"/>
                <w:szCs w:val="16"/>
              </w:rPr>
              <w:t>App development</w:t>
            </w:r>
          </w:p>
          <w:p w14:paraId="0D2474F2" w14:textId="77777777" w:rsidR="00906E9B" w:rsidRPr="00906E9B" w:rsidRDefault="00906E9B" w:rsidP="00906E9B">
            <w:pPr>
              <w:pStyle w:val="ListParagraph"/>
              <w:rPr>
                <w:rFonts w:asciiTheme="majorHAnsi" w:hAnsiTheme="majorHAnsi" w:cstheme="majorHAnsi"/>
                <w:sz w:val="16"/>
                <w:szCs w:val="16"/>
              </w:rPr>
            </w:pPr>
          </w:p>
        </w:tc>
      </w:tr>
      <w:tr w:rsidR="00906E9B" w:rsidRPr="00906E9B" w14:paraId="4C0557A1" w14:textId="77777777" w:rsidTr="00906E9B">
        <w:tc>
          <w:tcPr>
            <w:tcW w:w="2318" w:type="dxa"/>
          </w:tcPr>
          <w:p w14:paraId="08795581" w14:textId="77777777" w:rsidR="00906E9B" w:rsidRPr="00906E9B" w:rsidRDefault="00906E9B" w:rsidP="00906E9B">
            <w:pPr>
              <w:rPr>
                <w:rFonts w:asciiTheme="majorHAnsi" w:hAnsiTheme="majorHAnsi" w:cstheme="majorHAnsi"/>
                <w:b/>
                <w:bCs/>
                <w:sz w:val="18"/>
                <w:szCs w:val="18"/>
              </w:rPr>
            </w:pPr>
            <w:r>
              <w:rPr>
                <w:rFonts w:asciiTheme="majorHAnsi" w:hAnsiTheme="majorHAnsi" w:cstheme="majorHAnsi"/>
                <w:b/>
                <w:bCs/>
                <w:noProof/>
                <w:sz w:val="18"/>
                <w:szCs w:val="18"/>
              </w:rPr>
              <w:lastRenderedPageBreak/>
              <w:drawing>
                <wp:inline distT="0" distB="0" distL="0" distR="0" wp14:anchorId="044BDA27" wp14:editId="6CFCB4BA">
                  <wp:extent cx="1230403" cy="342900"/>
                  <wp:effectExtent l="0" t="0" r="8255" b="0"/>
                  <wp:docPr id="1568371803" name="Picture 3"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1803" name="Picture 3" descr="A black text on a white background  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258919" cy="350847"/>
                          </a:xfrm>
                          <a:prstGeom prst="rect">
                            <a:avLst/>
                          </a:prstGeom>
                        </pic:spPr>
                      </pic:pic>
                    </a:graphicData>
                  </a:graphic>
                </wp:inline>
              </w:drawing>
            </w:r>
          </w:p>
        </w:tc>
        <w:tc>
          <w:tcPr>
            <w:tcW w:w="3052" w:type="dxa"/>
          </w:tcPr>
          <w:p w14:paraId="31D1E00D" w14:textId="77777777" w:rsidR="00906E9B" w:rsidRPr="00906E9B" w:rsidRDefault="00906E9B" w:rsidP="00906E9B">
            <w:pPr>
              <w:rPr>
                <w:rFonts w:asciiTheme="majorHAnsi" w:hAnsiTheme="majorHAnsi" w:cstheme="majorHAnsi"/>
                <w:sz w:val="16"/>
                <w:szCs w:val="16"/>
              </w:rPr>
            </w:pPr>
            <w:r>
              <w:rPr>
                <w:rFonts w:asciiTheme="majorHAnsi" w:hAnsiTheme="majorHAnsi" w:cstheme="majorHAnsi"/>
                <w:b/>
                <w:bCs/>
                <w:sz w:val="16"/>
                <w:szCs w:val="16"/>
              </w:rPr>
              <w:t xml:space="preserve">BroadBrand </w:t>
            </w:r>
            <w:r>
              <w:rPr>
                <w:rFonts w:asciiTheme="majorHAnsi" w:hAnsiTheme="majorHAnsi" w:cstheme="majorHAnsi"/>
                <w:sz w:val="16"/>
                <w:szCs w:val="16"/>
              </w:rPr>
              <w:t>– A mobile media marketing solution harnessing AI and mobile moments to build customer relationships, including the Xanite (CVM) customer engagement platform</w:t>
            </w:r>
          </w:p>
        </w:tc>
        <w:tc>
          <w:tcPr>
            <w:tcW w:w="3486" w:type="dxa"/>
          </w:tcPr>
          <w:p w14:paraId="5B8D1050"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MaaS 3</w:t>
            </w:r>
          </w:p>
          <w:p w14:paraId="4DB7B2BD"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AI-Driven Strategy Development</w:t>
            </w:r>
          </w:p>
          <w:p w14:paraId="1B50E929"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Content Creation Powered by AI</w:t>
            </w:r>
          </w:p>
          <w:p w14:paraId="0A0D7DF9"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AI-Enhanced Digital Advertising</w:t>
            </w:r>
          </w:p>
          <w:p w14:paraId="42A67626"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SEO and SEM with AI Insights</w:t>
            </w:r>
          </w:p>
          <w:p w14:paraId="070F6E98"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Social Media Management with AI</w:t>
            </w:r>
          </w:p>
          <w:p w14:paraId="76126813"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Analytics, Reporting, and AI Tool Reselling</w:t>
            </w:r>
          </w:p>
          <w:p w14:paraId="3B2F9D36" w14:textId="77777777" w:rsidR="00906E9B" w:rsidRPr="00906E9B" w:rsidRDefault="00906E9B" w:rsidP="00906E9B">
            <w:pPr>
              <w:pStyle w:val="ListParagraph"/>
              <w:numPr>
                <w:ilvl w:val="0"/>
                <w:numId w:val="33"/>
              </w:numPr>
              <w:rPr>
                <w:rFonts w:asciiTheme="majorHAnsi" w:hAnsiTheme="majorHAnsi" w:cstheme="majorHAnsi"/>
                <w:sz w:val="16"/>
                <w:szCs w:val="16"/>
              </w:rPr>
            </w:pPr>
            <w:r>
              <w:rPr>
                <w:rFonts w:asciiTheme="majorHAnsi" w:hAnsiTheme="majorHAnsi" w:cstheme="majorHAnsi"/>
                <w:sz w:val="16"/>
                <w:szCs w:val="16"/>
              </w:rPr>
              <w:t>Xanite – CVM</w:t>
            </w:r>
          </w:p>
          <w:p w14:paraId="2CAEE148" w14:textId="77777777" w:rsidR="00906E9B" w:rsidRPr="00906E9B" w:rsidRDefault="00906E9B" w:rsidP="00906E9B">
            <w:pPr>
              <w:pStyle w:val="ListParagraph"/>
              <w:rPr>
                <w:rFonts w:asciiTheme="majorHAnsi" w:hAnsiTheme="majorHAnsi" w:cstheme="majorHAnsi"/>
                <w:sz w:val="16"/>
                <w:szCs w:val="16"/>
              </w:rPr>
            </w:pPr>
          </w:p>
        </w:tc>
      </w:tr>
      <w:tr w:rsidR="00906E9B" w:rsidRPr="00906E9B" w14:paraId="03F839A6" w14:textId="77777777" w:rsidTr="00906E9B">
        <w:tc>
          <w:tcPr>
            <w:tcW w:w="2318" w:type="dxa"/>
          </w:tcPr>
          <w:p w14:paraId="03FF987A" w14:textId="77777777" w:rsidR="00906E9B" w:rsidRPr="00906E9B" w:rsidRDefault="00906E9B" w:rsidP="00906E9B">
            <w:pPr>
              <w:rPr>
                <w:rFonts w:asciiTheme="majorHAnsi" w:hAnsiTheme="majorHAnsi" w:cstheme="majorHAnsi"/>
                <w:b/>
                <w:bCs/>
                <w:sz w:val="18"/>
                <w:szCs w:val="18"/>
              </w:rPr>
            </w:pPr>
            <w:r>
              <w:rPr>
                <w:rFonts w:asciiTheme="majorHAnsi" w:hAnsiTheme="majorHAnsi" w:cstheme="majorHAnsi"/>
                <w:b/>
                <w:bCs/>
                <w:noProof/>
                <w:sz w:val="18"/>
                <w:szCs w:val="18"/>
              </w:rPr>
              <w:drawing>
                <wp:inline distT="0" distB="0" distL="0" distR="0" wp14:anchorId="35AE2401" wp14:editId="74A80B82">
                  <wp:extent cx="1149290" cy="292100"/>
                  <wp:effectExtent l="0" t="0" r="0" b="0"/>
                  <wp:docPr id="1851165615" name="Picture 4" descr="A red letter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65615" name="Picture 4" descr="A red letter on a black background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73941" cy="298365"/>
                          </a:xfrm>
                          <a:prstGeom prst="rect">
                            <a:avLst/>
                          </a:prstGeom>
                        </pic:spPr>
                      </pic:pic>
                    </a:graphicData>
                  </a:graphic>
                </wp:inline>
              </w:drawing>
            </w:r>
          </w:p>
        </w:tc>
        <w:tc>
          <w:tcPr>
            <w:tcW w:w="3052" w:type="dxa"/>
          </w:tcPr>
          <w:p w14:paraId="7F8943C1" w14:textId="77777777" w:rsidR="00906E9B" w:rsidRPr="00906E9B" w:rsidRDefault="00906E9B" w:rsidP="00906E9B">
            <w:pPr>
              <w:rPr>
                <w:rFonts w:asciiTheme="majorHAnsi" w:hAnsiTheme="majorHAnsi" w:cstheme="majorHAnsi"/>
                <w:sz w:val="16"/>
                <w:szCs w:val="16"/>
              </w:rPr>
            </w:pPr>
            <w:r>
              <w:rPr>
                <w:rFonts w:asciiTheme="majorHAnsi" w:hAnsiTheme="majorHAnsi" w:cstheme="majorHAnsi"/>
                <w:b/>
                <w:bCs/>
                <w:sz w:val="16"/>
                <w:szCs w:val="16"/>
              </w:rPr>
              <w:t>digitalmall.com</w:t>
            </w:r>
            <w:r>
              <w:rPr>
                <w:rFonts w:asciiTheme="majorHAnsi" w:hAnsiTheme="majorHAnsi" w:cstheme="majorHAnsi"/>
                <w:sz w:val="16"/>
                <w:szCs w:val="16"/>
              </w:rPr>
              <w:t xml:space="preserve"> – A turnkey e</w:t>
            </w:r>
            <w:r>
              <w:rPr>
                <w:rFonts w:ascii="Cambria Math" w:hAnsi="Cambria Math" w:cs="Cambria Math"/>
                <w:sz w:val="16"/>
                <w:szCs w:val="16"/>
              </w:rPr>
              <w:t>‑</w:t>
            </w:r>
            <w:r>
              <w:rPr>
                <w:rFonts w:asciiTheme="majorHAnsi" w:hAnsiTheme="majorHAnsi" w:cstheme="majorHAnsi"/>
                <w:sz w:val="16"/>
                <w:szCs w:val="16"/>
              </w:rPr>
              <w:t>commerce technology partner, allowing brands to launch online stores without complexity or high overheads</w:t>
            </w:r>
          </w:p>
          <w:p w14:paraId="4FF92F3C" w14:textId="77777777" w:rsidR="00906E9B" w:rsidRPr="00906E9B" w:rsidRDefault="00906E9B" w:rsidP="00906E9B">
            <w:pPr>
              <w:rPr>
                <w:rFonts w:asciiTheme="majorHAnsi" w:hAnsiTheme="majorHAnsi" w:cstheme="majorHAnsi"/>
                <w:sz w:val="16"/>
                <w:szCs w:val="16"/>
              </w:rPr>
            </w:pPr>
          </w:p>
        </w:tc>
        <w:tc>
          <w:tcPr>
            <w:tcW w:w="3486" w:type="dxa"/>
          </w:tcPr>
          <w:p w14:paraId="2595EED5" w14:textId="77777777" w:rsidR="00906E9B" w:rsidRPr="00906E9B" w:rsidRDefault="00906E9B" w:rsidP="00906E9B">
            <w:pPr>
              <w:pStyle w:val="ListParagraph"/>
              <w:numPr>
                <w:ilvl w:val="0"/>
                <w:numId w:val="34"/>
              </w:numPr>
              <w:rPr>
                <w:rFonts w:asciiTheme="majorHAnsi" w:hAnsiTheme="majorHAnsi" w:cstheme="majorHAnsi"/>
                <w:sz w:val="16"/>
                <w:szCs w:val="16"/>
              </w:rPr>
            </w:pPr>
            <w:r>
              <w:rPr>
                <w:rFonts w:asciiTheme="majorHAnsi" w:hAnsiTheme="majorHAnsi" w:cstheme="majorHAnsi"/>
                <w:sz w:val="16"/>
                <w:szCs w:val="16"/>
              </w:rPr>
              <w:t>Online e-Commerce services</w:t>
            </w:r>
          </w:p>
        </w:tc>
      </w:tr>
      <w:tr w:rsidR="00906E9B" w:rsidRPr="00906E9B" w14:paraId="4BAD3786" w14:textId="77777777" w:rsidTr="00906E9B">
        <w:tc>
          <w:tcPr>
            <w:tcW w:w="2318" w:type="dxa"/>
          </w:tcPr>
          <w:p w14:paraId="64C847BB" w14:textId="323021B6" w:rsidR="00906E9B" w:rsidRPr="00906E9B" w:rsidRDefault="00906E9B" w:rsidP="00906E9B">
            <w:pPr>
              <w:rPr>
                <w:rFonts w:asciiTheme="majorHAnsi" w:hAnsiTheme="majorHAnsi" w:cstheme="majorHAnsi"/>
                <w:b/>
                <w:bCs/>
                <w:sz w:val="18"/>
                <w:szCs w:val="18"/>
              </w:rPr>
            </w:pPr>
          </w:p>
        </w:tc>
        <w:tc>
          <w:tcPr>
            <w:tcW w:w="3052" w:type="dxa"/>
          </w:tcPr>
          <w:p w14:paraId="7274B423" w14:textId="5DEB97EC" w:rsidR="00906E9B" w:rsidRPr="00906E9B" w:rsidRDefault="00906E9B" w:rsidP="00906E9B">
            <w:pPr>
              <w:rPr>
                <w:rFonts w:asciiTheme="majorHAnsi" w:hAnsiTheme="majorHAnsi" w:cstheme="majorHAnsi"/>
                <w:sz w:val="16"/>
                <w:szCs w:val="16"/>
              </w:rPr>
            </w:pPr>
          </w:p>
        </w:tc>
        <w:tc>
          <w:tcPr>
            <w:tcW w:w="3486" w:type="dxa"/>
          </w:tcPr>
          <w:p w14:paraId="3123F650" w14:textId="77777777" w:rsidR="00906E9B" w:rsidRPr="00906E9B" w:rsidRDefault="00906E9B" w:rsidP="00906E9B">
            <w:pPr>
              <w:pStyle w:val="ListParagraph"/>
              <w:ind w:left="1440"/>
              <w:rPr>
                <w:rFonts w:asciiTheme="majorHAnsi" w:hAnsiTheme="majorHAnsi" w:cstheme="majorHAnsi"/>
                <w:sz w:val="16"/>
                <w:szCs w:val="16"/>
              </w:rPr>
            </w:pPr>
          </w:p>
        </w:tc>
      </w:tr>
      <w:tr w:rsidR="00906E9B" w:rsidRPr="00906E9B" w14:paraId="381D71AA" w14:textId="77777777" w:rsidTr="00906E9B">
        <w:tc>
          <w:tcPr>
            <w:tcW w:w="2318" w:type="dxa"/>
          </w:tcPr>
          <w:p w14:paraId="4F37EF10" w14:textId="77777777" w:rsidR="00906E9B" w:rsidRPr="00906E9B" w:rsidRDefault="00906E9B" w:rsidP="00906E9B">
            <w:pPr>
              <w:rPr>
                <w:rFonts w:asciiTheme="majorHAnsi" w:hAnsiTheme="majorHAnsi" w:cstheme="majorHAnsi"/>
                <w:b/>
                <w:bCs/>
                <w:sz w:val="18"/>
                <w:szCs w:val="18"/>
              </w:rPr>
            </w:pPr>
            <w:r>
              <w:rPr>
                <w:rFonts w:asciiTheme="majorHAnsi" w:hAnsiTheme="majorHAnsi" w:cstheme="majorHAnsi"/>
                <w:b/>
                <w:bCs/>
                <w:noProof/>
                <w:sz w:val="18"/>
                <w:szCs w:val="18"/>
              </w:rPr>
              <w:drawing>
                <wp:inline distT="0" distB="0" distL="0" distR="0" wp14:anchorId="058BA8EA" wp14:editId="59DBD600">
                  <wp:extent cx="1091359" cy="444500"/>
                  <wp:effectExtent l="0" t="0" r="0" b="0"/>
                  <wp:docPr id="1098151799" name="Picture 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1799" name="Picture 7" descr="A blue text on a black background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32920" cy="461428"/>
                          </a:xfrm>
                          <a:prstGeom prst="rect">
                            <a:avLst/>
                          </a:prstGeom>
                        </pic:spPr>
                      </pic:pic>
                    </a:graphicData>
                  </a:graphic>
                </wp:inline>
              </w:drawing>
            </w:r>
          </w:p>
        </w:tc>
        <w:tc>
          <w:tcPr>
            <w:tcW w:w="3052" w:type="dxa"/>
          </w:tcPr>
          <w:p w14:paraId="2FDB1B6B" w14:textId="77777777" w:rsidR="00906E9B" w:rsidRPr="00906E9B" w:rsidRDefault="00906E9B" w:rsidP="00906E9B">
            <w:pPr>
              <w:rPr>
                <w:rFonts w:asciiTheme="majorHAnsi" w:hAnsiTheme="majorHAnsi" w:cstheme="majorHAnsi"/>
                <w:sz w:val="16"/>
                <w:szCs w:val="16"/>
              </w:rPr>
            </w:pPr>
            <w:r>
              <w:rPr>
                <w:rFonts w:asciiTheme="majorHAnsi" w:hAnsiTheme="majorHAnsi" w:cstheme="majorHAnsi"/>
                <w:b/>
                <w:bCs/>
                <w:sz w:val="16"/>
                <w:szCs w:val="16"/>
              </w:rPr>
              <w:t>Digital Resilience</w:t>
            </w:r>
            <w:r>
              <w:rPr>
                <w:rFonts w:asciiTheme="majorHAnsi" w:hAnsiTheme="majorHAnsi" w:cstheme="majorHAnsi"/>
                <w:sz w:val="16"/>
                <w:szCs w:val="16"/>
              </w:rPr>
              <w:t xml:space="preserve"> – Cybersecurity solutions with fully managed security services for enterprises, SMEs, and McAfee for consumers.</w:t>
            </w:r>
          </w:p>
          <w:p w14:paraId="03B7B336" w14:textId="77777777" w:rsidR="00906E9B" w:rsidRPr="00906E9B" w:rsidRDefault="00906E9B" w:rsidP="00906E9B">
            <w:pPr>
              <w:rPr>
                <w:rFonts w:asciiTheme="majorHAnsi" w:hAnsiTheme="majorHAnsi" w:cstheme="majorHAnsi"/>
                <w:sz w:val="16"/>
                <w:szCs w:val="16"/>
              </w:rPr>
            </w:pPr>
          </w:p>
        </w:tc>
        <w:tc>
          <w:tcPr>
            <w:tcW w:w="3486" w:type="dxa"/>
          </w:tcPr>
          <w:p w14:paraId="3962E234" w14:textId="77777777" w:rsidR="00906E9B" w:rsidRPr="00906E9B" w:rsidRDefault="00906E9B" w:rsidP="00906E9B">
            <w:pPr>
              <w:pStyle w:val="ListParagraph"/>
              <w:numPr>
                <w:ilvl w:val="0"/>
                <w:numId w:val="36"/>
              </w:numPr>
              <w:rPr>
                <w:rFonts w:asciiTheme="majorHAnsi" w:hAnsiTheme="majorHAnsi" w:cstheme="majorHAnsi"/>
                <w:sz w:val="16"/>
                <w:szCs w:val="16"/>
              </w:rPr>
            </w:pPr>
            <w:r>
              <w:rPr>
                <w:rFonts w:asciiTheme="majorHAnsi" w:hAnsiTheme="majorHAnsi" w:cstheme="majorHAnsi"/>
                <w:sz w:val="16"/>
                <w:szCs w:val="16"/>
              </w:rPr>
              <w:t>Enhanced Digital Security Solutions</w:t>
            </w:r>
          </w:p>
          <w:p w14:paraId="218CB896" w14:textId="77777777" w:rsidR="00906E9B" w:rsidRPr="00906E9B" w:rsidRDefault="00906E9B" w:rsidP="00906E9B">
            <w:pPr>
              <w:pStyle w:val="ListParagraph"/>
              <w:numPr>
                <w:ilvl w:val="0"/>
                <w:numId w:val="36"/>
              </w:numPr>
              <w:rPr>
                <w:rFonts w:asciiTheme="majorHAnsi" w:hAnsiTheme="majorHAnsi" w:cstheme="majorHAnsi"/>
                <w:sz w:val="16"/>
                <w:szCs w:val="16"/>
              </w:rPr>
            </w:pPr>
            <w:r>
              <w:rPr>
                <w:rFonts w:asciiTheme="majorHAnsi" w:hAnsiTheme="majorHAnsi" w:cstheme="majorHAnsi"/>
                <w:sz w:val="16"/>
                <w:szCs w:val="16"/>
              </w:rPr>
              <w:t>Custom Cyber Defence Solutions</w:t>
            </w:r>
          </w:p>
          <w:p w14:paraId="2E922836" w14:textId="77777777" w:rsidR="00906E9B" w:rsidRPr="00906E9B" w:rsidRDefault="00906E9B" w:rsidP="00906E9B">
            <w:pPr>
              <w:pStyle w:val="ListParagraph"/>
              <w:numPr>
                <w:ilvl w:val="0"/>
                <w:numId w:val="36"/>
              </w:numPr>
              <w:rPr>
                <w:rFonts w:asciiTheme="majorHAnsi" w:hAnsiTheme="majorHAnsi" w:cstheme="majorHAnsi"/>
                <w:sz w:val="16"/>
                <w:szCs w:val="16"/>
              </w:rPr>
            </w:pPr>
            <w:r>
              <w:rPr>
                <w:rFonts w:asciiTheme="majorHAnsi" w:hAnsiTheme="majorHAnsi" w:cstheme="majorHAnsi"/>
                <w:sz w:val="16"/>
                <w:szCs w:val="16"/>
              </w:rPr>
              <w:t>Comprehensive Risk Management</w:t>
            </w:r>
          </w:p>
        </w:tc>
      </w:tr>
      <w:tr w:rsidR="00906E9B" w:rsidRPr="00906E9B" w14:paraId="05FDBEBF" w14:textId="77777777" w:rsidTr="00906E9B">
        <w:tc>
          <w:tcPr>
            <w:tcW w:w="2318" w:type="dxa"/>
          </w:tcPr>
          <w:p w14:paraId="5C9E5CA0" w14:textId="77777777" w:rsidR="00906E9B" w:rsidRPr="00906E9B" w:rsidRDefault="00906E9B" w:rsidP="00906E9B">
            <w:pPr>
              <w:rPr>
                <w:rFonts w:asciiTheme="majorHAnsi" w:hAnsiTheme="majorHAnsi" w:cstheme="majorHAnsi"/>
                <w:b/>
                <w:bCs/>
                <w:sz w:val="18"/>
                <w:szCs w:val="18"/>
              </w:rPr>
            </w:pPr>
            <w:r>
              <w:rPr>
                <w:rFonts w:asciiTheme="majorHAnsi" w:hAnsiTheme="majorHAnsi" w:cstheme="majorHAnsi"/>
                <w:b/>
                <w:bCs/>
                <w:noProof/>
                <w:sz w:val="18"/>
                <w:szCs w:val="18"/>
              </w:rPr>
              <w:drawing>
                <wp:inline distT="0" distB="0" distL="0" distR="0" wp14:anchorId="61AD924B" wp14:editId="5AD22E59">
                  <wp:extent cx="1241059" cy="368300"/>
                  <wp:effectExtent l="0" t="0" r="0" b="0"/>
                  <wp:docPr id="853561285" name="Picture 8" descr="Blue letters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61285" name="Picture 8" descr="Blue letters on a black background  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83397" cy="380864"/>
                          </a:xfrm>
                          <a:prstGeom prst="rect">
                            <a:avLst/>
                          </a:prstGeom>
                        </pic:spPr>
                      </pic:pic>
                    </a:graphicData>
                  </a:graphic>
                </wp:inline>
              </w:drawing>
            </w:r>
          </w:p>
        </w:tc>
        <w:tc>
          <w:tcPr>
            <w:tcW w:w="3052" w:type="dxa"/>
          </w:tcPr>
          <w:p w14:paraId="4254461C" w14:textId="4A8C103C" w:rsidR="00906E9B" w:rsidRPr="00906E9B" w:rsidRDefault="00906E9B" w:rsidP="00906E9B">
            <w:pPr>
              <w:rPr>
                <w:rFonts w:asciiTheme="majorHAnsi" w:hAnsiTheme="majorHAnsi" w:cstheme="majorHAnsi"/>
                <w:sz w:val="16"/>
                <w:szCs w:val="16"/>
              </w:rPr>
            </w:pPr>
            <w:r>
              <w:rPr>
                <w:rFonts w:asciiTheme="majorHAnsi" w:hAnsiTheme="majorHAnsi" w:cstheme="majorHAnsi"/>
                <w:b/>
                <w:bCs/>
                <w:sz w:val="16"/>
                <w:szCs w:val="16"/>
              </w:rPr>
              <w:t xml:space="preserve">eInsurer </w:t>
            </w:r>
            <w:r>
              <w:rPr>
                <w:rFonts w:asciiTheme="majorHAnsi" w:hAnsiTheme="majorHAnsi" w:cstheme="majorHAnsi"/>
                <w:sz w:val="16"/>
                <w:szCs w:val="16"/>
              </w:rPr>
              <w:t>– Cyber insurance solutions tailored for both corporates and individuals. Offers detailed risk management and adaptive protection.</w:t>
            </w:r>
          </w:p>
        </w:tc>
        <w:tc>
          <w:tcPr>
            <w:tcW w:w="3486" w:type="dxa"/>
          </w:tcPr>
          <w:p w14:paraId="36126DCC" w14:textId="77777777" w:rsidR="00906E9B" w:rsidRPr="00906E9B" w:rsidRDefault="00906E9B" w:rsidP="00906E9B">
            <w:pPr>
              <w:pStyle w:val="ListParagraph"/>
              <w:numPr>
                <w:ilvl w:val="0"/>
                <w:numId w:val="35"/>
              </w:numPr>
              <w:rPr>
                <w:rFonts w:asciiTheme="majorHAnsi" w:hAnsiTheme="majorHAnsi" w:cstheme="majorHAnsi"/>
                <w:sz w:val="16"/>
                <w:szCs w:val="16"/>
              </w:rPr>
            </w:pPr>
            <w:r>
              <w:rPr>
                <w:rFonts w:asciiTheme="majorHAnsi" w:hAnsiTheme="majorHAnsi" w:cstheme="majorHAnsi"/>
                <w:sz w:val="16"/>
                <w:szCs w:val="16"/>
              </w:rPr>
              <w:t>Identity theft protection</w:t>
            </w:r>
          </w:p>
          <w:p w14:paraId="7C0B0BD7" w14:textId="77777777" w:rsidR="00906E9B" w:rsidRPr="00906E9B" w:rsidRDefault="00906E9B" w:rsidP="00906E9B">
            <w:pPr>
              <w:pStyle w:val="ListParagraph"/>
              <w:numPr>
                <w:ilvl w:val="0"/>
                <w:numId w:val="35"/>
              </w:numPr>
              <w:rPr>
                <w:rFonts w:asciiTheme="majorHAnsi" w:hAnsiTheme="majorHAnsi" w:cstheme="majorHAnsi"/>
                <w:sz w:val="16"/>
                <w:szCs w:val="16"/>
              </w:rPr>
            </w:pPr>
            <w:r>
              <w:rPr>
                <w:rFonts w:asciiTheme="majorHAnsi" w:hAnsiTheme="majorHAnsi" w:cstheme="majorHAnsi"/>
                <w:sz w:val="16"/>
                <w:szCs w:val="16"/>
              </w:rPr>
              <w:t>Data restoration</w:t>
            </w:r>
          </w:p>
          <w:p w14:paraId="4ED2240D" w14:textId="77777777" w:rsidR="00906E9B" w:rsidRPr="00906E9B" w:rsidRDefault="00906E9B" w:rsidP="00906E9B">
            <w:pPr>
              <w:pStyle w:val="ListParagraph"/>
              <w:numPr>
                <w:ilvl w:val="0"/>
                <w:numId w:val="35"/>
              </w:numPr>
              <w:rPr>
                <w:rFonts w:asciiTheme="majorHAnsi" w:hAnsiTheme="majorHAnsi" w:cstheme="majorHAnsi"/>
                <w:sz w:val="16"/>
                <w:szCs w:val="16"/>
              </w:rPr>
            </w:pPr>
            <w:r>
              <w:rPr>
                <w:rFonts w:asciiTheme="majorHAnsi" w:hAnsiTheme="majorHAnsi" w:cstheme="majorHAnsi"/>
                <w:sz w:val="16"/>
                <w:szCs w:val="16"/>
              </w:rPr>
              <w:t>Cyberbullying coverage</w:t>
            </w:r>
          </w:p>
          <w:p w14:paraId="6EBDE4C1" w14:textId="77777777" w:rsidR="00906E9B" w:rsidRPr="00906E9B" w:rsidRDefault="00906E9B" w:rsidP="00906E9B">
            <w:pPr>
              <w:pStyle w:val="ListParagraph"/>
              <w:numPr>
                <w:ilvl w:val="0"/>
                <w:numId w:val="35"/>
              </w:numPr>
              <w:rPr>
                <w:rFonts w:asciiTheme="majorHAnsi" w:hAnsiTheme="majorHAnsi" w:cstheme="majorHAnsi"/>
                <w:sz w:val="16"/>
                <w:szCs w:val="16"/>
              </w:rPr>
            </w:pPr>
            <w:r>
              <w:rPr>
                <w:rFonts w:asciiTheme="majorHAnsi" w:hAnsiTheme="majorHAnsi" w:cstheme="majorHAnsi"/>
                <w:sz w:val="16"/>
                <w:szCs w:val="16"/>
              </w:rPr>
              <w:t>Cyber extortion</w:t>
            </w:r>
          </w:p>
        </w:tc>
      </w:tr>
    </w:tbl>
    <w:p w14:paraId="13E93580" w14:textId="7EAEDB99" w:rsidR="00146F69" w:rsidRPr="00EB79B0" w:rsidRDefault="00592109" w:rsidP="00EB580E">
      <w:pPr>
        <w:pStyle w:val="Heading1"/>
        <w:numPr>
          <w:ilvl w:val="0"/>
          <w:numId w:val="30"/>
        </w:numPr>
        <w:rPr>
          <w:rFonts w:cstheme="majorHAnsi"/>
          <w:color w:val="auto"/>
        </w:rPr>
      </w:pPr>
      <w:bookmarkStart w:id="5" w:name="_Toc210912500"/>
      <w:r>
        <w:rPr>
          <w:rFonts w:cstheme="majorHAnsi"/>
          <w:color w:val="auto"/>
        </w:rPr>
        <w:t>Strategic Review Approach</w:t>
      </w:r>
      <w:bookmarkEnd w:id="5"/>
    </w:p>
    <w:p w14:paraId="16BC8A62" w14:textId="77777777" w:rsidR="00EF6BEF" w:rsidRPr="00906E9B" w:rsidRDefault="00EF6BEF" w:rsidP="00EF6BEF">
      <w:pPr>
        <w:rPr>
          <w:rFonts w:asciiTheme="majorHAnsi" w:hAnsiTheme="majorHAnsi" w:cstheme="majorHAnsi"/>
        </w:rPr>
      </w:pPr>
    </w:p>
    <w:p w14:paraId="593E6ED0" w14:textId="698FA762" w:rsidR="001D67FF" w:rsidRPr="00906E9B" w:rsidRDefault="00AB42C8" w:rsidP="001D67FF">
      <w:pPr>
        <w:spacing w:after="0"/>
        <w:rPr>
          <w:rFonts w:asciiTheme="majorHAnsi" w:hAnsiTheme="majorHAnsi" w:cstheme="majorHAnsi"/>
        </w:rPr>
      </w:pPr>
      <w:r>
        <w:rPr>
          <w:rFonts w:asciiTheme="majorHAnsi" w:hAnsiTheme="majorHAnsi" w:cstheme="majorHAnsi"/>
        </w:rPr>
        <w:t>DSG’s approach is structured across  seven clear phases:</w:t>
      </w:r>
    </w:p>
    <w:p w14:paraId="1D658894" w14:textId="0035D98A" w:rsidR="00FB54EA" w:rsidRPr="00906E9B" w:rsidRDefault="00592109" w:rsidP="001D67FF">
      <w:pPr>
        <w:spacing w:after="0"/>
        <w:rPr>
          <w:rFonts w:asciiTheme="majorHAnsi" w:hAnsiTheme="majorHAnsi" w:cstheme="majorHAnsi"/>
        </w:rPr>
      </w:pPr>
      <w:r>
        <w:rPr>
          <w:rFonts w:asciiTheme="majorHAnsi" w:hAnsiTheme="majorHAnsi" w:cstheme="majorHAnsi"/>
        </w:rPr>
        <w:br/>
        <w:t xml:space="preserve">1. </w:t>
      </w:r>
      <w:r>
        <w:rPr>
          <w:rFonts w:asciiTheme="majorHAnsi" w:hAnsiTheme="majorHAnsi" w:cstheme="majorHAnsi"/>
          <w:b/>
          <w:bCs/>
        </w:rPr>
        <w:t>Strategic Thinking Sessions</w:t>
      </w:r>
      <w:r>
        <w:rPr>
          <w:rFonts w:asciiTheme="majorHAnsi" w:hAnsiTheme="majorHAnsi" w:cstheme="majorHAnsi"/>
        </w:rPr>
        <w:t xml:space="preserve"> – Workshops with Exco to explore trends, opportunities, and internal insights. (Design)</w:t>
        <w:br/>
        <w:t xml:space="preserve">2. </w:t>
      </w:r>
      <w:r>
        <w:rPr>
          <w:rFonts w:asciiTheme="majorHAnsi" w:hAnsiTheme="majorHAnsi" w:cstheme="majorHAnsi"/>
          <w:b/>
          <w:bCs/>
        </w:rPr>
        <w:t>Strategy Direction</w:t>
      </w:r>
      <w:r>
        <w:rPr>
          <w:rFonts w:asciiTheme="majorHAnsi" w:hAnsiTheme="majorHAnsi" w:cstheme="majorHAnsi"/>
        </w:rPr>
        <w:t xml:space="preserve"> – Define goals, pillars, and strategic priorities. (Design)</w:t>
        <w:br/>
        <w:t xml:space="preserve">3. </w:t>
      </w:r>
      <w:r>
        <w:rPr>
          <w:rFonts w:asciiTheme="majorHAnsi" w:hAnsiTheme="majorHAnsi" w:cstheme="majorHAnsi"/>
          <w:b/>
          <w:bCs/>
        </w:rPr>
        <w:t>Planning &amp; Implementation Framework</w:t>
      </w:r>
      <w:r>
        <w:rPr>
          <w:rFonts w:asciiTheme="majorHAnsi" w:hAnsiTheme="majorHAnsi" w:cstheme="majorHAnsi"/>
        </w:rPr>
        <w:t xml:space="preserve"> – Translate strategy into operational actions. (Design)</w:t>
        <w:br/>
        <w:t xml:space="preserve">4. </w:t>
      </w:r>
      <w:r>
        <w:rPr>
          <w:rFonts w:asciiTheme="majorHAnsi" w:hAnsiTheme="majorHAnsi" w:cstheme="majorHAnsi"/>
          <w:b/>
          <w:bCs/>
        </w:rPr>
        <w:t>Revised Strategic Plan</w:t>
      </w:r>
      <w:r>
        <w:rPr>
          <w:rFonts w:asciiTheme="majorHAnsi" w:hAnsiTheme="majorHAnsi" w:cstheme="majorHAnsi"/>
        </w:rPr>
        <w:t xml:space="preserve"> – Integrate feedback and finalise roadmap. (Design)</w:t>
        <w:br/>
        <w:t xml:space="preserve">5. </w:t>
      </w:r>
      <w:r>
        <w:rPr>
          <w:rFonts w:asciiTheme="majorHAnsi" w:hAnsiTheme="majorHAnsi" w:cstheme="majorHAnsi"/>
          <w:b/>
          <w:bCs/>
        </w:rPr>
        <w:t>Board Pack &amp; Approval</w:t>
      </w:r>
      <w:r>
        <w:rPr>
          <w:rFonts w:asciiTheme="majorHAnsi" w:hAnsiTheme="majorHAnsi" w:cstheme="majorHAnsi"/>
        </w:rPr>
        <w:t xml:space="preserve"> – Present final plan for endorsement and execution. (Design)</w:t>
      </w:r>
    </w:p>
    <w:p w14:paraId="627700BF" w14:textId="67B6158C" w:rsidR="001D67FF" w:rsidRPr="00906E9B" w:rsidRDefault="001D67FF" w:rsidP="001D67FF">
      <w:pPr>
        <w:spacing w:after="0" w:line="240" w:lineRule="auto"/>
        <w:rPr>
          <w:rFonts w:asciiTheme="majorHAnsi" w:hAnsiTheme="majorHAnsi" w:cstheme="majorHAnsi"/>
        </w:rPr>
      </w:pPr>
      <w:r>
        <w:rPr>
          <w:rFonts w:asciiTheme="majorHAnsi" w:hAnsiTheme="majorHAnsi" w:cstheme="majorHAnsi"/>
        </w:rPr>
        <w:t xml:space="preserve">6. </w:t>
      </w:r>
      <w:r>
        <w:rPr>
          <w:rFonts w:asciiTheme="majorHAnsi" w:hAnsiTheme="majorHAnsi" w:cstheme="majorHAnsi"/>
          <w:b/>
          <w:bCs/>
        </w:rPr>
        <w:t>Execution of strategy and business operations</w:t>
      </w:r>
      <w:r>
        <w:rPr>
          <w:rFonts w:asciiTheme="majorHAnsi" w:hAnsiTheme="majorHAnsi" w:cstheme="majorHAnsi"/>
        </w:rPr>
        <w:t>. (Build and operate)</w:t>
      </w:r>
    </w:p>
    <w:p w14:paraId="09AA1EE5" w14:textId="2FD9B11C" w:rsidR="00EF6BEF" w:rsidRPr="00906E9B" w:rsidRDefault="005E1C54" w:rsidP="001D67FF">
      <w:pPr>
        <w:spacing w:after="0" w:line="240" w:lineRule="auto"/>
        <w:rPr>
          <w:rFonts w:asciiTheme="majorHAnsi" w:hAnsiTheme="majorHAnsi" w:cstheme="majorHAnsi"/>
        </w:rPr>
      </w:pPr>
      <w:r>
        <w:rPr>
          <w:rFonts w:asciiTheme="majorHAnsi" w:hAnsiTheme="majorHAnsi" w:cstheme="majorHAnsi"/>
        </w:rPr>
        <w:t xml:space="preserve">7. </w:t>
      </w:r>
      <w:r>
        <w:rPr>
          <w:rFonts w:asciiTheme="majorHAnsi" w:hAnsiTheme="majorHAnsi" w:cstheme="majorHAnsi"/>
          <w:b/>
          <w:bCs/>
        </w:rPr>
        <w:t>Transfer operations to GCT Group.</w:t>
      </w:r>
      <w:r>
        <w:rPr>
          <w:rFonts w:asciiTheme="majorHAnsi" w:hAnsiTheme="majorHAnsi" w:cstheme="majorHAnsi"/>
        </w:rPr>
        <w:t xml:space="preserve"> (Transfer)</w:t>
      </w:r>
    </w:p>
    <w:p w14:paraId="2D40A759" w14:textId="77777777" w:rsidR="002A522C" w:rsidRPr="00906E9B" w:rsidRDefault="002A522C" w:rsidP="001D67FF">
      <w:pPr>
        <w:spacing w:after="0" w:line="240" w:lineRule="auto"/>
        <w:rPr>
          <w:rFonts w:asciiTheme="majorHAnsi" w:hAnsiTheme="majorHAnsi" w:cstheme="majorHAnsi"/>
        </w:rPr>
      </w:pPr>
    </w:p>
    <w:p w14:paraId="33E35975" w14:textId="77777777" w:rsidR="002A522C" w:rsidRPr="00906E9B" w:rsidRDefault="002A522C" w:rsidP="002A522C">
      <w:pPr>
        <w:spacing w:after="0" w:line="240" w:lineRule="auto"/>
        <w:rPr>
          <w:rFonts w:asciiTheme="majorHAnsi" w:hAnsiTheme="majorHAnsi" w:cstheme="majorHAnsi"/>
          <w:lang w:val="en-GB"/>
        </w:rPr>
      </w:pPr>
      <w:r>
        <w:rPr>
          <w:rFonts w:asciiTheme="majorHAnsi" w:hAnsiTheme="majorHAnsi" w:cstheme="majorHAnsi"/>
          <w:lang w:val="en-GB"/>
        </w:rPr>
        <w:t>Each phase of the DBOT model is designed to unlock tangible business value:</w:t>
      </w:r>
    </w:p>
    <w:p w14:paraId="5AB4C4C0" w14:textId="77777777" w:rsidR="002A522C" w:rsidRPr="002A522C" w:rsidRDefault="002A522C" w:rsidP="002A522C">
      <w:pPr>
        <w:spacing w:after="0" w:line="240" w:lineRule="auto"/>
        <w:rPr>
          <w:rFonts w:asciiTheme="majorHAnsi" w:hAnsiTheme="majorHAnsi" w:cstheme="majorHAnsi"/>
          <w:lang w:val="en-GB"/>
        </w:rPr>
      </w:pPr>
    </w:p>
    <w:p w14:paraId="33EB9C85" w14:textId="77777777" w:rsidR="002A522C" w:rsidRPr="002A522C" w:rsidRDefault="002A522C" w:rsidP="002A522C">
      <w:pPr>
        <w:numPr>
          <w:ilvl w:val="0"/>
          <w:numId w:val="27"/>
        </w:numPr>
        <w:spacing w:after="0" w:line="240" w:lineRule="auto"/>
        <w:rPr>
          <w:rFonts w:asciiTheme="majorHAnsi" w:hAnsiTheme="majorHAnsi" w:cstheme="majorHAnsi"/>
          <w:lang w:val="en-GB"/>
        </w:rPr>
      </w:pPr>
      <w:r>
        <w:rPr>
          <w:rFonts w:asciiTheme="majorHAnsi" w:hAnsiTheme="majorHAnsi" w:cstheme="majorHAnsi"/>
          <w:b/>
          <w:bCs/>
          <w:lang w:val="en-GB"/>
        </w:rPr>
        <w:t>Design:</w:t>
      </w:r>
      <w:r>
        <w:rPr>
          <w:rFonts w:asciiTheme="majorHAnsi" w:hAnsiTheme="majorHAnsi" w:cstheme="majorHAnsi"/>
          <w:lang w:val="en-GB"/>
        </w:rPr>
        <w:t xml:space="preserve"> Strategic clarity and commercial validation.</w:t>
      </w:r>
    </w:p>
    <w:p w14:paraId="70E06AF0" w14:textId="77777777" w:rsidR="002A522C" w:rsidRPr="002A522C" w:rsidRDefault="002A522C" w:rsidP="002A522C">
      <w:pPr>
        <w:numPr>
          <w:ilvl w:val="0"/>
          <w:numId w:val="27"/>
        </w:numPr>
        <w:spacing w:after="0" w:line="240" w:lineRule="auto"/>
        <w:rPr>
          <w:rFonts w:asciiTheme="majorHAnsi" w:hAnsiTheme="majorHAnsi" w:cstheme="majorHAnsi"/>
          <w:lang w:val="en-GB"/>
        </w:rPr>
      </w:pPr>
      <w:r>
        <w:rPr>
          <w:rFonts w:asciiTheme="majorHAnsi" w:hAnsiTheme="majorHAnsi" w:cstheme="majorHAnsi"/>
          <w:b/>
          <w:bCs/>
          <w:lang w:val="en-GB"/>
        </w:rPr>
        <w:t>Build:</w:t>
      </w:r>
      <w:r>
        <w:rPr>
          <w:rFonts w:asciiTheme="majorHAnsi" w:hAnsiTheme="majorHAnsi" w:cstheme="majorHAnsi"/>
          <w:lang w:val="en-GB"/>
        </w:rPr>
        <w:t xml:space="preserve"> Digital and operational enablement.</w:t>
      </w:r>
    </w:p>
    <w:p w14:paraId="6C73641C" w14:textId="77777777" w:rsidR="002A522C" w:rsidRPr="002A522C" w:rsidRDefault="002A522C" w:rsidP="002A522C">
      <w:pPr>
        <w:numPr>
          <w:ilvl w:val="0"/>
          <w:numId w:val="27"/>
        </w:numPr>
        <w:spacing w:after="0" w:line="240" w:lineRule="auto"/>
        <w:rPr>
          <w:rFonts w:asciiTheme="majorHAnsi" w:hAnsiTheme="majorHAnsi" w:cstheme="majorHAnsi"/>
          <w:lang w:val="en-GB"/>
        </w:rPr>
      </w:pPr>
      <w:r>
        <w:rPr>
          <w:rFonts w:asciiTheme="majorHAnsi" w:hAnsiTheme="majorHAnsi" w:cstheme="majorHAnsi"/>
          <w:b/>
          <w:bCs/>
          <w:lang w:val="en-GB"/>
        </w:rPr>
        <w:t>Operate:</w:t>
      </w:r>
      <w:r>
        <w:rPr>
          <w:rFonts w:asciiTheme="majorHAnsi" w:hAnsiTheme="majorHAnsi" w:cstheme="majorHAnsi"/>
          <w:lang w:val="en-GB"/>
        </w:rPr>
        <w:t xml:space="preserve"> Performance optimisation and governance.</w:t>
      </w:r>
    </w:p>
    <w:p w14:paraId="21D467CE" w14:textId="77777777" w:rsidR="002A522C" w:rsidRPr="00906E9B" w:rsidRDefault="002A522C" w:rsidP="002A522C">
      <w:pPr>
        <w:numPr>
          <w:ilvl w:val="0"/>
          <w:numId w:val="27"/>
        </w:numPr>
        <w:spacing w:after="0" w:line="240" w:lineRule="auto"/>
        <w:rPr>
          <w:rFonts w:asciiTheme="majorHAnsi" w:hAnsiTheme="majorHAnsi" w:cstheme="majorHAnsi"/>
          <w:lang w:val="en-GB"/>
        </w:rPr>
      </w:pPr>
      <w:r>
        <w:rPr>
          <w:rFonts w:asciiTheme="majorHAnsi" w:hAnsiTheme="majorHAnsi" w:cstheme="majorHAnsi"/>
          <w:b/>
          <w:bCs/>
          <w:lang w:val="en-GB"/>
        </w:rPr>
        <w:t>Transfer:</w:t>
      </w:r>
      <w:r>
        <w:rPr>
          <w:rFonts w:asciiTheme="majorHAnsi" w:hAnsiTheme="majorHAnsi" w:cstheme="majorHAnsi"/>
          <w:lang w:val="en-GB"/>
        </w:rPr>
        <w:t xml:space="preserve"> Capability independence and scalability.</w:t>
      </w:r>
    </w:p>
    <w:p w14:paraId="1246F975" w14:textId="77777777" w:rsidR="002A522C" w:rsidRPr="002A522C" w:rsidRDefault="002A522C" w:rsidP="002A522C">
      <w:pPr>
        <w:spacing w:after="0" w:line="240" w:lineRule="auto"/>
        <w:ind w:left="720"/>
        <w:rPr>
          <w:rFonts w:asciiTheme="majorHAnsi" w:hAnsiTheme="majorHAnsi" w:cstheme="majorHAnsi"/>
          <w:lang w:val="en-GB"/>
        </w:rPr>
      </w:pPr>
    </w:p>
    <w:p w14:paraId="6C9F1762" w14:textId="77777777" w:rsidR="002A522C" w:rsidRPr="002A522C" w:rsidRDefault="002A522C" w:rsidP="002A522C">
      <w:pPr>
        <w:spacing w:after="0" w:line="240" w:lineRule="auto"/>
        <w:rPr>
          <w:rFonts w:asciiTheme="majorHAnsi" w:hAnsiTheme="majorHAnsi" w:cstheme="majorHAnsi"/>
          <w:lang w:val="en-GB"/>
        </w:rPr>
      </w:pPr>
      <w:r>
        <w:rPr>
          <w:rFonts w:asciiTheme="majorHAnsi" w:hAnsiTheme="majorHAnsi" w:cstheme="majorHAnsi"/>
          <w:lang w:val="en-GB"/>
        </w:rPr>
        <w:t xml:space="preserve">This structured approach ensures continuity from </w:t>
      </w:r>
      <w:r>
        <w:rPr>
          <w:rFonts w:asciiTheme="majorHAnsi" w:hAnsiTheme="majorHAnsi" w:cstheme="majorHAnsi"/>
          <w:b/>
          <w:bCs/>
          <w:lang w:val="en-GB"/>
        </w:rPr>
        <w:t>vision to execution</w:t>
      </w:r>
      <w:r>
        <w:rPr>
          <w:rFonts w:asciiTheme="majorHAnsi" w:hAnsiTheme="majorHAnsi" w:cstheme="majorHAnsi"/>
          <w:lang w:val="en-GB"/>
        </w:rPr>
        <w:t xml:space="preserve"> with measurable KPIs and board-level visibility at every stage.</w:t>
      </w:r>
    </w:p>
    <w:p w14:paraId="28F5C028" w14:textId="77777777" w:rsidR="002A522C" w:rsidRPr="00906E9B" w:rsidRDefault="002A522C" w:rsidP="001D67FF">
      <w:pPr>
        <w:spacing w:after="0" w:line="240" w:lineRule="auto"/>
        <w:rPr>
          <w:rFonts w:asciiTheme="majorHAnsi" w:hAnsiTheme="majorHAnsi" w:cstheme="majorHAnsi"/>
        </w:rPr>
      </w:pPr>
    </w:p>
    <w:p w14:paraId="4260C240" w14:textId="6F405442" w:rsidR="0032749E" w:rsidRPr="00906E9B" w:rsidRDefault="004432B0">
      <w:pPr>
        <w:rPr>
          <w:rFonts w:asciiTheme="majorHAnsi" w:eastAsiaTheme="majorEastAsia" w:hAnsiTheme="majorHAnsi" w:cstheme="majorHAnsi"/>
          <w:b/>
          <w:bCs/>
          <w:color w:val="365F91" w:themeColor="accent1" w:themeShade="BF"/>
          <w:sz w:val="28"/>
          <w:szCs w:val="28"/>
        </w:rPr>
      </w:pPr>
      <w:r>
        <w:rPr>
          <w:rFonts w:asciiTheme="majorHAnsi" w:hAnsiTheme="majorHAnsi" w:cstheme="majorHAnsi"/>
          <w:noProof/>
        </w:rPr>
        <w:lastRenderedPageBreak/>
        <w:drawing>
          <wp:inline distT="0" distB="0" distL="0" distR="0" wp14:anchorId="2F7FD9ED" wp14:editId="1AD656F5">
            <wp:extent cx="6096635" cy="3429000"/>
            <wp:effectExtent l="0" t="0" r="0" b="0"/>
            <wp:docPr id="1513154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r>
        <w:rPr>
          <w:rFonts w:asciiTheme="majorHAnsi" w:hAnsiTheme="majorHAnsi" w:cstheme="majorHAnsi"/>
        </w:rPr>
        <w:br w:type="page"/>
      </w:r>
    </w:p>
    <w:p w14:paraId="1F2DEE48" w14:textId="40817B37" w:rsidR="00E46CAE" w:rsidRPr="00EB79B0" w:rsidRDefault="00174764" w:rsidP="00C85BC2">
      <w:pPr>
        <w:pStyle w:val="Heading1"/>
        <w:numPr>
          <w:ilvl w:val="0"/>
          <w:numId w:val="21"/>
        </w:numPr>
        <w:rPr>
          <w:rFonts w:cstheme="majorHAnsi"/>
          <w:color w:val="auto"/>
        </w:rPr>
      </w:pPr>
      <w:bookmarkStart w:id="6" w:name="_Toc210912501"/>
      <w:r>
        <w:rPr>
          <w:rFonts w:cstheme="majorHAnsi"/>
          <w:color w:val="auto"/>
        </w:rPr>
        <w:lastRenderedPageBreak/>
        <w:t>Design</w:t>
      </w:r>
      <w:bookmarkEnd w:id="6"/>
    </w:p>
    <w:p w14:paraId="0DDE0710" w14:textId="77777777" w:rsidR="006119AC" w:rsidRPr="00906E9B" w:rsidRDefault="006119AC" w:rsidP="006119AC">
      <w:pPr>
        <w:rPr>
          <w:rFonts w:asciiTheme="majorHAnsi" w:hAnsiTheme="majorHAnsi" w:cstheme="majorHAnsi"/>
        </w:rPr>
      </w:pPr>
    </w:p>
    <w:p w14:paraId="0B4D5C65" w14:textId="50C7D7F3" w:rsidR="005E540F" w:rsidRPr="00906E9B" w:rsidRDefault="009445F1" w:rsidP="009445F1">
      <w:pPr>
        <w:jc w:val="both"/>
        <w:rPr>
          <w:rFonts w:asciiTheme="majorHAnsi" w:hAnsiTheme="majorHAnsi" w:cstheme="majorHAnsi"/>
        </w:rPr>
      </w:pPr>
      <w:r>
        <w:rPr>
          <w:rFonts w:asciiTheme="majorHAnsi" w:hAnsiTheme="majorHAnsi" w:cstheme="majorHAnsi"/>
        </w:rPr>
        <w:t>The Design Phase lays the foundation for execution by translating strategy into measurable business outcomes. It ensures alignment between market opportunity, operational capability, and financial ambition. We work with the GCT Group executive team on a comprehensive Strategic Review to define what the needs are in consumer, business and wholesale segments and work through a nine-step process to build a business that can deliver on these needs in the most efficient way.</w:t>
      </w:r>
    </w:p>
    <w:p w14:paraId="17346DF9" w14:textId="17A2C6A5" w:rsidR="005F35A0" w:rsidRPr="00906E9B" w:rsidRDefault="007362C5">
      <w:pPr>
        <w:rPr>
          <w:rFonts w:asciiTheme="majorHAnsi" w:hAnsiTheme="majorHAnsi" w:cstheme="majorHAnsi"/>
        </w:rPr>
      </w:pPr>
      <w:r>
        <w:rPr>
          <w:rFonts w:asciiTheme="majorHAnsi" w:hAnsiTheme="majorHAnsi" w:cstheme="majorHAnsi"/>
          <w:noProof/>
        </w:rPr>
        <w:drawing>
          <wp:inline distT="0" distB="0" distL="0" distR="0" wp14:anchorId="33A99609" wp14:editId="5E6B2BE3">
            <wp:extent cx="6096635" cy="2857500"/>
            <wp:effectExtent l="0" t="0" r="0" b="0"/>
            <wp:docPr id="1226806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t="8518" b="8148"/>
                    <a:stretch>
                      <a:fillRect/>
                    </a:stretch>
                  </pic:blipFill>
                  <pic:spPr bwMode="auto">
                    <a:xfrm>
                      <a:off x="0" y="0"/>
                      <a:ext cx="6096635"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3209AE6A" w14:textId="21001266" w:rsidR="001C39B6" w:rsidRPr="00906E9B" w:rsidRDefault="007362C5">
      <w:pPr>
        <w:rPr>
          <w:rFonts w:asciiTheme="majorHAnsi" w:hAnsiTheme="majorHAnsi" w:cstheme="majorHAnsi"/>
        </w:rPr>
      </w:pPr>
      <w:r>
        <w:rPr>
          <w:rFonts w:asciiTheme="majorHAnsi" w:hAnsiTheme="majorHAnsi" w:cstheme="majorHAnsi"/>
        </w:rPr>
        <w:t>Duration: 1–8 weeks</w:t>
        <w:br/>
        <w:t>• Weeks 1–2: Workshops &amp; Direction</w:t>
        <w:br/>
        <w:t>• Weeks 3–5: Draft Plan Development</w:t>
        <w:br/>
        <w:t>• Weeks 5–7: Implementation Roadmap</w:t>
        <w:br/>
        <w:t>• Weeks 8: Final Approval &amp; Presentation</w:t>
      </w:r>
    </w:p>
    <w:p w14:paraId="5BBB9477" w14:textId="4F81276D" w:rsidR="00207231" w:rsidRPr="00906E9B" w:rsidRDefault="00A36DE3" w:rsidP="00F31B06">
      <w:pPr>
        <w:jc w:val="both"/>
        <w:rPr>
          <w:rFonts w:asciiTheme="majorHAnsi" w:hAnsiTheme="majorHAnsi" w:cstheme="majorHAnsi"/>
        </w:rPr>
      </w:pPr>
      <w:r>
        <w:rPr>
          <w:rFonts w:asciiTheme="majorHAnsi" w:hAnsiTheme="majorHAnsi" w:cstheme="majorHAnsi"/>
        </w:rPr>
        <w:br/>
        <w:t>DSG will deploy senior consultants, analysts, and facilitators, working closely with GCT Group’s leadership. An executive lead from MVNE will be available full-time two weeks a month to guide the Design process.</w:t>
      </w:r>
    </w:p>
    <w:p w14:paraId="41B43D85" w14:textId="4242C68C" w:rsidR="00F27D1F" w:rsidRPr="00906E9B" w:rsidRDefault="00F27D1F" w:rsidP="00F27D1F">
      <w:pPr>
        <w:rPr>
          <w:rFonts w:asciiTheme="majorHAnsi" w:hAnsiTheme="majorHAnsi" w:cstheme="majorHAnsi"/>
        </w:rPr>
      </w:pPr>
      <w:r>
        <w:rPr>
          <w:rFonts w:asciiTheme="majorHAnsi" w:hAnsiTheme="majorHAnsi" w:cstheme="majorHAnsi"/>
        </w:rPr>
        <w:t>The deliverables for this stage of the engagement will be as follows:</w:t>
      </w:r>
    </w:p>
    <w:p w14:paraId="3AA8FAE6" w14:textId="2985451E" w:rsidR="00F27D1F" w:rsidRPr="00906E9B" w:rsidRDefault="00F27D1F" w:rsidP="00F27D1F">
      <w:pPr>
        <w:pStyle w:val="ListParagraph"/>
        <w:numPr>
          <w:ilvl w:val="0"/>
          <w:numId w:val="12"/>
        </w:numPr>
        <w:spacing w:after="0" w:line="360" w:lineRule="auto"/>
        <w:jc w:val="both"/>
        <w:rPr>
          <w:rFonts w:asciiTheme="majorHAnsi" w:hAnsiTheme="majorHAnsi" w:cstheme="majorHAnsi"/>
          <w:b/>
          <w:bCs/>
        </w:rPr>
      </w:pPr>
      <w:r>
        <w:rPr>
          <w:rFonts w:asciiTheme="majorHAnsi" w:hAnsiTheme="majorHAnsi" w:cstheme="majorHAnsi"/>
        </w:rPr>
        <w:t xml:space="preserve">Define </w:t>
      </w:r>
      <w:r>
        <w:rPr>
          <w:rFonts w:asciiTheme="majorHAnsi" w:hAnsiTheme="majorHAnsi" w:cstheme="majorHAnsi"/>
          <w:b/>
        </w:rPr>
        <w:t>MVPs</w:t>
      </w:r>
      <w:r>
        <w:rPr>
          <w:rFonts w:asciiTheme="majorHAnsi" w:hAnsiTheme="majorHAnsi" w:cstheme="majorHAnsi"/>
          <w:b/>
          <w:vertAlign w:val="superscript"/>
        </w:rPr>
        <w:t>1</w:t>
      </w:r>
      <w:r>
        <w:rPr>
          <w:rFonts w:asciiTheme="majorHAnsi" w:hAnsiTheme="majorHAnsi" w:cstheme="majorHAnsi"/>
        </w:rPr>
        <w:t xml:space="preserve"> and roadmap to deliver GCT Group products and services, hosted by GCT Group.</w:t>
      </w:r>
    </w:p>
    <w:p w14:paraId="7FAE0C63" w14:textId="2E7AB380" w:rsidR="00F27D1F" w:rsidRPr="00906E9B" w:rsidRDefault="00F27D1F" w:rsidP="00F27D1F">
      <w:pPr>
        <w:pStyle w:val="ListParagraph"/>
        <w:numPr>
          <w:ilvl w:val="0"/>
          <w:numId w:val="12"/>
        </w:numPr>
        <w:spacing w:after="0" w:line="360" w:lineRule="auto"/>
        <w:jc w:val="both"/>
        <w:rPr>
          <w:rFonts w:asciiTheme="majorHAnsi" w:hAnsiTheme="majorHAnsi" w:cstheme="majorHAnsi"/>
        </w:rPr>
      </w:pPr>
      <w:r>
        <w:rPr>
          <w:rFonts w:asciiTheme="majorHAnsi" w:hAnsiTheme="majorHAnsi" w:cstheme="majorHAnsi"/>
          <w:b/>
        </w:rPr>
        <w:t>Define a high-level OM</w:t>
      </w:r>
      <w:r>
        <w:rPr>
          <w:rFonts w:asciiTheme="majorHAnsi" w:hAnsiTheme="majorHAnsi" w:cstheme="majorHAnsi"/>
          <w:b/>
          <w:vertAlign w:val="superscript"/>
        </w:rPr>
        <w:t>2</w:t>
      </w:r>
      <w:r>
        <w:rPr>
          <w:rFonts w:asciiTheme="majorHAnsi" w:hAnsiTheme="majorHAnsi" w:cstheme="majorHAnsi"/>
          <w:b/>
        </w:rPr>
        <w:t xml:space="preserve"> and GTMP</w:t>
      </w:r>
      <w:r>
        <w:rPr>
          <w:rFonts w:asciiTheme="majorHAnsi" w:hAnsiTheme="majorHAnsi" w:cstheme="majorHAnsi"/>
          <w:b/>
          <w:vertAlign w:val="superscript"/>
        </w:rPr>
        <w:t>3</w:t>
      </w:r>
      <w:r>
        <w:rPr>
          <w:rFonts w:asciiTheme="majorHAnsi" w:hAnsiTheme="majorHAnsi" w:cstheme="majorHAnsi"/>
        </w:rPr>
        <w:t xml:space="preserve"> for the proposed MVPs</w:t>
      </w:r>
      <w:r>
        <w:rPr>
          <w:rFonts w:asciiTheme="majorHAnsi" w:hAnsiTheme="majorHAnsi" w:cstheme="majorHAnsi"/>
          <w:vertAlign w:val="superscript"/>
        </w:rPr>
        <w:t>1</w:t>
      </w:r>
      <w:r>
        <w:rPr>
          <w:rFonts w:asciiTheme="majorHAnsi" w:hAnsiTheme="majorHAnsi" w:cstheme="majorHAnsi"/>
        </w:rPr>
        <w:t xml:space="preserve"> for GCT Group as a core business proposition, taking into consideration the various verticals. </w:t>
      </w:r>
    </w:p>
    <w:p w14:paraId="531E3311" w14:textId="2A7F76AA" w:rsidR="00F27D1F" w:rsidRPr="00906E9B" w:rsidRDefault="00F27D1F" w:rsidP="00F27D1F">
      <w:pPr>
        <w:pStyle w:val="ListParagraph"/>
        <w:numPr>
          <w:ilvl w:val="0"/>
          <w:numId w:val="12"/>
        </w:numPr>
        <w:spacing w:after="0" w:line="360" w:lineRule="auto"/>
        <w:jc w:val="both"/>
        <w:rPr>
          <w:rFonts w:asciiTheme="majorHAnsi" w:hAnsiTheme="majorHAnsi" w:cstheme="majorHAnsi"/>
        </w:rPr>
      </w:pPr>
      <w:r>
        <w:rPr>
          <w:rFonts w:asciiTheme="majorHAnsi" w:hAnsiTheme="majorHAnsi" w:cstheme="majorHAnsi"/>
          <w:b/>
        </w:rPr>
        <w:lastRenderedPageBreak/>
        <w:t>Define a high-level desired ICX</w:t>
      </w:r>
      <w:r>
        <w:rPr>
          <w:rFonts w:asciiTheme="majorHAnsi" w:hAnsiTheme="majorHAnsi" w:cstheme="majorHAnsi"/>
          <w:b/>
          <w:vertAlign w:val="superscript"/>
        </w:rPr>
        <w:t>4</w:t>
      </w:r>
      <w:r>
        <w:rPr>
          <w:rFonts w:asciiTheme="majorHAnsi" w:hAnsiTheme="majorHAnsi" w:cstheme="majorHAnsi"/>
        </w:rPr>
        <w:t xml:space="preserve"> across the customer lifecycle to articulate customer care, consumer self-care and related service experiences required by GCT Group to ensure an experience in line with brand expectations.</w:t>
      </w:r>
    </w:p>
    <w:p w14:paraId="4899EBD1" w14:textId="77777777" w:rsidR="00F27D1F" w:rsidRPr="00906E9B" w:rsidRDefault="00F27D1F" w:rsidP="00F27D1F">
      <w:pPr>
        <w:pStyle w:val="ListParagraph"/>
        <w:numPr>
          <w:ilvl w:val="0"/>
          <w:numId w:val="12"/>
        </w:numPr>
        <w:spacing w:after="0" w:line="360" w:lineRule="auto"/>
        <w:jc w:val="both"/>
        <w:rPr>
          <w:rFonts w:asciiTheme="majorHAnsi" w:hAnsiTheme="majorHAnsi" w:cstheme="majorHAnsi"/>
        </w:rPr>
      </w:pPr>
      <w:r>
        <w:rPr>
          <w:rFonts w:asciiTheme="majorHAnsi" w:hAnsiTheme="majorHAnsi" w:cstheme="majorHAnsi"/>
        </w:rPr>
        <w:t xml:space="preserve">Build a </w:t>
      </w:r>
      <w:r>
        <w:rPr>
          <w:rFonts w:asciiTheme="majorHAnsi" w:hAnsiTheme="majorHAnsi" w:cstheme="majorHAnsi"/>
          <w:b/>
        </w:rPr>
        <w:t>granular 60-month BM</w:t>
      </w:r>
      <w:r>
        <w:rPr>
          <w:rFonts w:asciiTheme="majorHAnsi" w:hAnsiTheme="majorHAnsi" w:cstheme="majorHAnsi"/>
          <w:b/>
          <w:vertAlign w:val="superscript"/>
        </w:rPr>
        <w:t>5</w:t>
      </w:r>
      <w:r>
        <w:rPr>
          <w:rFonts w:asciiTheme="majorHAnsi" w:hAnsiTheme="majorHAnsi" w:cstheme="majorHAnsi"/>
        </w:rPr>
        <w:t xml:space="preserve"> defining the investment requirement, likely performance of the business, cash flow and commercial break-even parameters and expected returns-on-investment including: </w:t>
      </w:r>
    </w:p>
    <w:p w14:paraId="53F88631" w14:textId="27912EEA" w:rsidR="00F27D1F" w:rsidRPr="00906E9B" w:rsidRDefault="00F75ECA" w:rsidP="00F27D1F">
      <w:pPr>
        <w:pStyle w:val="ListParagraph"/>
        <w:numPr>
          <w:ilvl w:val="1"/>
          <w:numId w:val="12"/>
        </w:numPr>
        <w:spacing w:after="0" w:line="360" w:lineRule="auto"/>
        <w:jc w:val="both"/>
        <w:rPr>
          <w:rFonts w:asciiTheme="majorHAnsi" w:hAnsiTheme="majorHAnsi" w:cstheme="majorHAnsi"/>
        </w:rPr>
      </w:pPr>
      <w:r>
        <w:rPr>
          <w:rFonts w:asciiTheme="majorHAnsi" w:hAnsiTheme="majorHAnsi" w:cstheme="majorHAnsi"/>
        </w:rPr>
        <w:t>GCT Group Capex and Opex costs</w:t>
      </w:r>
    </w:p>
    <w:p w14:paraId="0040FAC5" w14:textId="77777777" w:rsidR="00F27D1F" w:rsidRPr="00906E9B" w:rsidRDefault="00F27D1F" w:rsidP="00F27D1F">
      <w:pPr>
        <w:pStyle w:val="ListParagraph"/>
        <w:numPr>
          <w:ilvl w:val="1"/>
          <w:numId w:val="12"/>
        </w:numPr>
        <w:spacing w:after="0" w:line="360" w:lineRule="auto"/>
        <w:jc w:val="both"/>
        <w:rPr>
          <w:rFonts w:asciiTheme="majorHAnsi" w:hAnsiTheme="majorHAnsi" w:cstheme="majorHAnsi"/>
        </w:rPr>
      </w:pPr>
      <w:r>
        <w:rPr>
          <w:rFonts w:asciiTheme="majorHAnsi" w:hAnsiTheme="majorHAnsi" w:cstheme="majorHAnsi"/>
        </w:rPr>
        <w:t>Peak funding requirements</w:t>
      </w:r>
    </w:p>
    <w:p w14:paraId="57E0F96F" w14:textId="77777777" w:rsidR="00F27D1F" w:rsidRPr="00906E9B" w:rsidRDefault="00F27D1F" w:rsidP="00F27D1F">
      <w:pPr>
        <w:pStyle w:val="ListParagraph"/>
        <w:numPr>
          <w:ilvl w:val="1"/>
          <w:numId w:val="12"/>
        </w:numPr>
        <w:spacing w:after="0" w:line="360" w:lineRule="auto"/>
        <w:jc w:val="both"/>
        <w:rPr>
          <w:rFonts w:asciiTheme="majorHAnsi" w:hAnsiTheme="majorHAnsi" w:cstheme="majorHAnsi"/>
        </w:rPr>
      </w:pPr>
      <w:r>
        <w:rPr>
          <w:rFonts w:asciiTheme="majorHAnsi" w:hAnsiTheme="majorHAnsi" w:cstheme="majorHAnsi"/>
        </w:rPr>
        <w:t>Expected break even and cash flow positive estimates</w:t>
      </w:r>
    </w:p>
    <w:p w14:paraId="73AC253F" w14:textId="2F813F68" w:rsidR="006F60E9" w:rsidRPr="00906E9B" w:rsidRDefault="00F27D1F" w:rsidP="007102A5">
      <w:pPr>
        <w:pStyle w:val="ListParagraph"/>
        <w:numPr>
          <w:ilvl w:val="0"/>
          <w:numId w:val="12"/>
        </w:numPr>
        <w:spacing w:after="0" w:line="360" w:lineRule="auto"/>
        <w:jc w:val="both"/>
        <w:rPr>
          <w:rFonts w:asciiTheme="majorHAnsi" w:hAnsiTheme="majorHAnsi" w:cstheme="majorHAnsi"/>
        </w:rPr>
      </w:pPr>
      <w:r>
        <w:rPr>
          <w:rFonts w:asciiTheme="majorHAnsi" w:hAnsiTheme="majorHAnsi" w:cstheme="majorHAnsi"/>
        </w:rPr>
        <w:t xml:space="preserve">Define the parameters for a </w:t>
      </w:r>
      <w:r>
        <w:rPr>
          <w:rFonts w:asciiTheme="majorHAnsi" w:hAnsiTheme="majorHAnsi" w:cstheme="majorHAnsi"/>
          <w:b/>
        </w:rPr>
        <w:t>full launch</w:t>
      </w:r>
      <w:r>
        <w:rPr>
          <w:rFonts w:asciiTheme="majorHAnsi" w:hAnsiTheme="majorHAnsi" w:cstheme="majorHAnsi"/>
        </w:rPr>
        <w:t xml:space="preserve"> to articulate any further investment requirements to target and address the needs of the customer segments identified through strategy derivation.</w:t>
      </w:r>
    </w:p>
    <w:tbl>
      <w:tblPr>
        <w:tblW w:w="8518" w:type="dxa"/>
        <w:tblInd w:w="-10" w:type="dxa"/>
        <w:tblCellMar>
          <w:left w:w="0" w:type="dxa"/>
          <w:right w:w="0" w:type="dxa"/>
        </w:tblCellMar>
        <w:tblLook w:val="0420" w:firstRow="1" w:lastRow="0" w:firstColumn="0" w:lastColumn="0" w:noHBand="0" w:noVBand="1"/>
      </w:tblPr>
      <w:tblGrid>
        <w:gridCol w:w="1855"/>
        <w:gridCol w:w="6663"/>
      </w:tblGrid>
      <w:tr w:rsidR="006F60E9" w:rsidRPr="00906E9B" w14:paraId="325C5F83" w14:textId="77777777" w:rsidTr="00760103">
        <w:trPr>
          <w:trHeight w:val="190"/>
        </w:trPr>
        <w:tc>
          <w:tcPr>
            <w:tcW w:w="8518" w:type="dxa"/>
            <w:gridSpan w:val="2"/>
            <w:tcBorders>
              <w:top w:val="single" w:sz="2" w:space="0" w:color="262626"/>
              <w:left w:val="single" w:sz="8" w:space="0" w:color="262626"/>
              <w:bottom w:val="single" w:sz="2" w:space="0" w:color="262626"/>
              <w:right w:val="single" w:sz="8" w:space="0" w:color="262626"/>
            </w:tcBorders>
            <w:shd w:val="clear" w:color="auto" w:fill="D9D9D9" w:themeFill="background1" w:themeFillShade="D9"/>
            <w:tcMar>
              <w:top w:w="72" w:type="dxa"/>
              <w:left w:w="144" w:type="dxa"/>
              <w:bottom w:w="72" w:type="dxa"/>
              <w:right w:w="144" w:type="dxa"/>
            </w:tcMar>
            <w:hideMark/>
          </w:tcPr>
          <w:p w14:paraId="15211CD9" w14:textId="77777777" w:rsidR="006F60E9" w:rsidRPr="00906E9B" w:rsidRDefault="006F60E9" w:rsidP="00760103">
            <w:pPr>
              <w:rPr>
                <w:rFonts w:asciiTheme="majorHAnsi" w:hAnsiTheme="majorHAnsi" w:cstheme="majorHAnsi"/>
                <w:color w:val="262626" w:themeColor="text1" w:themeTint="D9"/>
                <w:sz w:val="20"/>
                <w:szCs w:val="20"/>
                <w:lang w:val="en-ZA"/>
              </w:rPr>
            </w:pPr>
            <w:r>
              <w:rPr>
                <w:rFonts w:asciiTheme="majorHAnsi" w:hAnsiTheme="majorHAnsi" w:cstheme="majorHAnsi"/>
                <w:b/>
                <w:bCs/>
                <w:color w:val="262626" w:themeColor="text1" w:themeTint="D9"/>
                <w:sz w:val="20"/>
                <w:szCs w:val="20"/>
              </w:rPr>
              <w:t>DESIGN PHASE - DELIVERABLES</w:t>
            </w:r>
          </w:p>
        </w:tc>
      </w:tr>
      <w:tr w:rsidR="006F60E9" w:rsidRPr="00906E9B" w14:paraId="0E61DC2B" w14:textId="77777777" w:rsidTr="00760103">
        <w:trPr>
          <w:trHeight w:val="690"/>
        </w:trPr>
        <w:tc>
          <w:tcPr>
            <w:tcW w:w="1855"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hideMark/>
          </w:tcPr>
          <w:p w14:paraId="1CC904A6" w14:textId="77777777" w:rsidR="006F60E9" w:rsidRPr="00906E9B" w:rsidRDefault="006F60E9" w:rsidP="00760103">
            <w:pPr>
              <w:rPr>
                <w:rFonts w:asciiTheme="majorHAnsi" w:hAnsiTheme="majorHAnsi" w:cstheme="majorHAnsi"/>
                <w:b/>
                <w:sz w:val="20"/>
                <w:szCs w:val="20"/>
                <w:vertAlign w:val="superscript"/>
                <w:lang w:val="en-ZA"/>
              </w:rPr>
            </w:pPr>
            <w:r>
              <w:rPr>
                <w:rFonts w:asciiTheme="majorHAnsi" w:hAnsiTheme="majorHAnsi" w:cstheme="majorHAnsi"/>
                <w:b/>
                <w:color w:val="C00000"/>
                <w:sz w:val="20"/>
                <w:szCs w:val="20"/>
                <w:lang w:val="en-ZA"/>
              </w:rPr>
              <w:t>MVP</w:t>
            </w:r>
            <w:r>
              <w:rPr>
                <w:rFonts w:asciiTheme="majorHAnsi" w:hAnsiTheme="majorHAnsi" w:cstheme="majorHAnsi"/>
                <w:b/>
                <w:color w:val="C00000"/>
                <w:sz w:val="20"/>
                <w:szCs w:val="20"/>
                <w:vertAlign w:val="superscript"/>
                <w:lang w:val="en-ZA"/>
              </w:rPr>
              <w:t>1</w:t>
            </w:r>
          </w:p>
        </w:tc>
        <w:tc>
          <w:tcPr>
            <w:tcW w:w="6663"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hideMark/>
          </w:tcPr>
          <w:p w14:paraId="66C428E6" w14:textId="27EFE39D" w:rsidR="006F60E9" w:rsidRPr="00906E9B" w:rsidRDefault="006F60E9" w:rsidP="00760103">
            <w:pPr>
              <w:rPr>
                <w:rFonts w:asciiTheme="majorHAnsi" w:hAnsiTheme="majorHAnsi" w:cstheme="majorHAnsi"/>
                <w:sz w:val="20"/>
                <w:szCs w:val="20"/>
                <w:lang w:val="en-ZA"/>
              </w:rPr>
            </w:pPr>
            <w:r>
              <w:rPr>
                <w:rFonts w:asciiTheme="majorHAnsi" w:hAnsiTheme="majorHAnsi" w:cstheme="majorHAnsi"/>
                <w:sz w:val="20"/>
                <w:szCs w:val="20"/>
                <w:lang w:val="en-ZA"/>
              </w:rPr>
              <w:t>Packages, Deals and specific products and services that will be sold at relaunch, forming a Minimum Viable Proposition.</w:t>
            </w:r>
          </w:p>
        </w:tc>
      </w:tr>
      <w:tr w:rsidR="006F60E9" w:rsidRPr="00906E9B" w14:paraId="7433FA13" w14:textId="77777777" w:rsidTr="00760103">
        <w:trPr>
          <w:trHeight w:val="690"/>
        </w:trPr>
        <w:tc>
          <w:tcPr>
            <w:tcW w:w="1855"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5B482494" w14:textId="77777777" w:rsidR="006F60E9" w:rsidRPr="00906E9B" w:rsidRDefault="006F60E9" w:rsidP="00760103">
            <w:pPr>
              <w:rPr>
                <w:rFonts w:asciiTheme="majorHAnsi" w:hAnsiTheme="majorHAnsi" w:cstheme="majorHAnsi"/>
                <w:b/>
                <w:sz w:val="20"/>
                <w:szCs w:val="20"/>
                <w:lang w:val="en-ZA"/>
              </w:rPr>
            </w:pPr>
            <w:r>
              <w:rPr>
                <w:rFonts w:asciiTheme="majorHAnsi" w:hAnsiTheme="majorHAnsi" w:cstheme="majorHAnsi"/>
                <w:b/>
                <w:color w:val="C00000"/>
                <w:sz w:val="20"/>
                <w:szCs w:val="20"/>
                <w:lang w:val="en-ZA"/>
              </w:rPr>
              <w:t>GTM</w:t>
            </w:r>
            <w:r>
              <w:rPr>
                <w:rFonts w:asciiTheme="majorHAnsi" w:hAnsiTheme="majorHAnsi" w:cstheme="majorHAnsi"/>
                <w:b/>
                <w:color w:val="C00000"/>
                <w:sz w:val="20"/>
                <w:szCs w:val="20"/>
                <w:vertAlign w:val="superscript"/>
                <w:lang w:val="en-ZA"/>
              </w:rPr>
              <w:t>2</w:t>
            </w:r>
          </w:p>
        </w:tc>
        <w:tc>
          <w:tcPr>
            <w:tcW w:w="6663"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79B01C20" w14:textId="70CD7CD1" w:rsidR="006F60E9" w:rsidRPr="00906E9B" w:rsidRDefault="006F60E9" w:rsidP="00760103">
            <w:pPr>
              <w:rPr>
                <w:rFonts w:asciiTheme="majorHAnsi" w:hAnsiTheme="majorHAnsi" w:cstheme="majorHAnsi"/>
                <w:sz w:val="20"/>
                <w:szCs w:val="20"/>
                <w:lang w:val="en-ZA"/>
              </w:rPr>
            </w:pPr>
            <w:r>
              <w:rPr>
                <w:rFonts w:asciiTheme="majorHAnsi" w:hAnsiTheme="majorHAnsi" w:cstheme="majorHAnsi"/>
                <w:sz w:val="20"/>
                <w:szCs w:val="20"/>
                <w:lang w:val="en-ZA"/>
              </w:rPr>
              <w:t>A Go-to-Market plan, including Brand, Sales, Distribution, Customer Care and Subscriber Life Cycle Management</w:t>
            </w:r>
          </w:p>
        </w:tc>
      </w:tr>
      <w:tr w:rsidR="006F60E9" w:rsidRPr="00906E9B" w14:paraId="39C56296" w14:textId="77777777" w:rsidTr="00760103">
        <w:trPr>
          <w:trHeight w:val="690"/>
        </w:trPr>
        <w:tc>
          <w:tcPr>
            <w:tcW w:w="1855"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090D8DE3" w14:textId="77777777" w:rsidR="006F60E9" w:rsidRPr="00906E9B" w:rsidRDefault="006F60E9" w:rsidP="00760103">
            <w:pPr>
              <w:rPr>
                <w:rFonts w:asciiTheme="majorHAnsi" w:hAnsiTheme="majorHAnsi" w:cstheme="majorHAnsi"/>
                <w:b/>
                <w:sz w:val="20"/>
                <w:szCs w:val="20"/>
                <w:lang w:val="en-ZA"/>
              </w:rPr>
            </w:pPr>
            <w:r>
              <w:rPr>
                <w:rFonts w:asciiTheme="majorHAnsi" w:hAnsiTheme="majorHAnsi" w:cstheme="majorHAnsi"/>
                <w:b/>
                <w:color w:val="C00000"/>
                <w:sz w:val="20"/>
                <w:szCs w:val="20"/>
                <w:lang w:val="en-ZA"/>
              </w:rPr>
              <w:t>OM</w:t>
            </w:r>
            <w:r>
              <w:rPr>
                <w:rFonts w:asciiTheme="majorHAnsi" w:hAnsiTheme="majorHAnsi" w:cstheme="majorHAnsi"/>
                <w:b/>
                <w:color w:val="C00000"/>
                <w:sz w:val="20"/>
                <w:szCs w:val="20"/>
                <w:vertAlign w:val="superscript"/>
                <w:lang w:val="en-ZA"/>
              </w:rPr>
              <w:t>3</w:t>
            </w:r>
          </w:p>
        </w:tc>
        <w:tc>
          <w:tcPr>
            <w:tcW w:w="6663"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6808EEFE" w14:textId="77777777" w:rsidR="006F60E9" w:rsidRPr="00906E9B" w:rsidRDefault="006F60E9" w:rsidP="00760103">
            <w:pPr>
              <w:rPr>
                <w:rFonts w:asciiTheme="majorHAnsi" w:hAnsiTheme="majorHAnsi" w:cstheme="majorHAnsi"/>
                <w:sz w:val="20"/>
                <w:szCs w:val="20"/>
                <w:lang w:val="en-ZA"/>
              </w:rPr>
            </w:pPr>
            <w:r>
              <w:rPr>
                <w:rFonts w:asciiTheme="majorHAnsi" w:hAnsiTheme="majorHAnsi" w:cstheme="majorHAnsi"/>
                <w:sz w:val="20"/>
                <w:szCs w:val="20"/>
                <w:lang w:val="en-ZA"/>
              </w:rPr>
              <w:t>An Operating Model, including a high-level Technical Architecture &amp; relational diagram between Parties defining the functional responsibilities.</w:t>
            </w:r>
          </w:p>
        </w:tc>
      </w:tr>
      <w:tr w:rsidR="006F60E9" w:rsidRPr="00906E9B" w14:paraId="2ADC1ADC" w14:textId="77777777" w:rsidTr="00760103">
        <w:trPr>
          <w:trHeight w:val="690"/>
        </w:trPr>
        <w:tc>
          <w:tcPr>
            <w:tcW w:w="1855"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6463E5F0" w14:textId="77777777" w:rsidR="006F60E9" w:rsidRPr="00906E9B" w:rsidRDefault="006F60E9" w:rsidP="00760103">
            <w:pPr>
              <w:rPr>
                <w:rFonts w:asciiTheme="majorHAnsi" w:hAnsiTheme="majorHAnsi" w:cstheme="majorHAnsi"/>
                <w:b/>
                <w:sz w:val="20"/>
                <w:szCs w:val="20"/>
                <w:lang w:val="en-ZA"/>
              </w:rPr>
            </w:pPr>
            <w:r>
              <w:rPr>
                <w:rFonts w:asciiTheme="majorHAnsi" w:hAnsiTheme="majorHAnsi" w:cstheme="majorHAnsi"/>
                <w:b/>
                <w:color w:val="C00000"/>
                <w:sz w:val="20"/>
                <w:szCs w:val="20"/>
                <w:lang w:val="en-ZA"/>
              </w:rPr>
              <w:t>ICX</w:t>
            </w:r>
            <w:r>
              <w:rPr>
                <w:rFonts w:asciiTheme="majorHAnsi" w:hAnsiTheme="majorHAnsi" w:cstheme="majorHAnsi"/>
                <w:b/>
                <w:color w:val="C00000"/>
                <w:sz w:val="20"/>
                <w:szCs w:val="20"/>
                <w:vertAlign w:val="superscript"/>
                <w:lang w:val="en-ZA"/>
              </w:rPr>
              <w:t>4</w:t>
            </w:r>
          </w:p>
        </w:tc>
        <w:tc>
          <w:tcPr>
            <w:tcW w:w="6663"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67791308" w14:textId="77777777" w:rsidR="006F60E9" w:rsidRPr="00906E9B" w:rsidRDefault="006F60E9" w:rsidP="00760103">
            <w:pPr>
              <w:rPr>
                <w:rFonts w:asciiTheme="majorHAnsi" w:hAnsiTheme="majorHAnsi" w:cstheme="majorHAnsi"/>
                <w:sz w:val="20"/>
                <w:szCs w:val="20"/>
                <w:lang w:val="en-ZA"/>
              </w:rPr>
            </w:pPr>
            <w:r>
              <w:rPr>
                <w:rFonts w:asciiTheme="majorHAnsi" w:hAnsiTheme="majorHAnsi" w:cstheme="majorHAnsi"/>
                <w:sz w:val="20"/>
                <w:szCs w:val="20"/>
                <w:lang w:val="en-ZA"/>
              </w:rPr>
              <w:t>An Integrated Customer Experience, including Customer Journeys and high-level business processes.</w:t>
            </w:r>
          </w:p>
        </w:tc>
      </w:tr>
      <w:tr w:rsidR="006F60E9" w:rsidRPr="00906E9B" w14:paraId="16EEC02D" w14:textId="77777777" w:rsidTr="00760103">
        <w:trPr>
          <w:trHeight w:val="690"/>
        </w:trPr>
        <w:tc>
          <w:tcPr>
            <w:tcW w:w="1855"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58FF348D" w14:textId="77777777" w:rsidR="006F60E9" w:rsidRPr="00906E9B" w:rsidRDefault="006F60E9" w:rsidP="00760103">
            <w:pPr>
              <w:rPr>
                <w:rFonts w:asciiTheme="majorHAnsi" w:hAnsiTheme="majorHAnsi" w:cstheme="majorHAnsi"/>
                <w:b/>
                <w:sz w:val="20"/>
                <w:szCs w:val="20"/>
                <w:lang w:val="en-ZA"/>
              </w:rPr>
            </w:pPr>
            <w:r>
              <w:rPr>
                <w:rFonts w:asciiTheme="majorHAnsi" w:hAnsiTheme="majorHAnsi" w:cstheme="majorHAnsi"/>
                <w:b/>
                <w:color w:val="C00000"/>
                <w:sz w:val="20"/>
                <w:szCs w:val="20"/>
                <w:lang w:val="en-ZA"/>
              </w:rPr>
              <w:t>BM</w:t>
            </w:r>
            <w:r>
              <w:rPr>
                <w:rFonts w:asciiTheme="majorHAnsi" w:hAnsiTheme="majorHAnsi" w:cstheme="majorHAnsi"/>
                <w:b/>
                <w:color w:val="C00000"/>
                <w:sz w:val="20"/>
                <w:szCs w:val="20"/>
                <w:vertAlign w:val="superscript"/>
                <w:lang w:val="en-ZA"/>
              </w:rPr>
              <w:t>5</w:t>
            </w:r>
          </w:p>
        </w:tc>
        <w:tc>
          <w:tcPr>
            <w:tcW w:w="6663" w:type="dxa"/>
            <w:tcBorders>
              <w:top w:val="single" w:sz="2" w:space="0" w:color="262626"/>
              <w:left w:val="single" w:sz="8" w:space="0" w:color="262626"/>
              <w:bottom w:val="single" w:sz="2" w:space="0" w:color="262626"/>
              <w:right w:val="single" w:sz="8" w:space="0" w:color="262626"/>
            </w:tcBorders>
            <w:shd w:val="clear" w:color="auto" w:fill="FFFFFF"/>
            <w:tcMar>
              <w:top w:w="72" w:type="dxa"/>
              <w:left w:w="144" w:type="dxa"/>
              <w:bottom w:w="72" w:type="dxa"/>
              <w:right w:w="144" w:type="dxa"/>
            </w:tcMar>
          </w:tcPr>
          <w:p w14:paraId="518FDBC4" w14:textId="703B3907" w:rsidR="006F60E9" w:rsidRPr="00906E9B" w:rsidRDefault="006F60E9" w:rsidP="00760103">
            <w:pPr>
              <w:rPr>
                <w:rFonts w:asciiTheme="majorHAnsi" w:hAnsiTheme="majorHAnsi" w:cstheme="majorHAnsi"/>
                <w:sz w:val="20"/>
                <w:szCs w:val="20"/>
                <w:lang w:val="en-ZA"/>
              </w:rPr>
            </w:pPr>
            <w:r>
              <w:rPr>
                <w:rFonts w:asciiTheme="majorHAnsi" w:hAnsiTheme="majorHAnsi" w:cstheme="majorHAnsi"/>
                <w:sz w:val="20"/>
                <w:szCs w:val="20"/>
                <w:lang w:val="en-ZA"/>
              </w:rPr>
              <w:t>A granular, 60-month business plan &amp; commercial analysis</w:t>
            </w:r>
          </w:p>
        </w:tc>
      </w:tr>
    </w:tbl>
    <w:p w14:paraId="107C6151" w14:textId="579FAC54" w:rsidR="001C39B6" w:rsidRPr="00906E9B" w:rsidRDefault="001C39B6" w:rsidP="001C39B6">
      <w:pPr>
        <w:pBdr>
          <w:top w:val="single" w:sz="4" w:space="1" w:color="auto"/>
        </w:pBdr>
        <w:spacing w:line="360" w:lineRule="auto"/>
        <w:rPr>
          <w:rFonts w:asciiTheme="majorHAnsi" w:hAnsiTheme="majorHAnsi" w:cstheme="majorHAnsi"/>
          <w:b/>
          <w:color w:val="595959" w:themeColor="text1" w:themeTint="A6"/>
          <w:sz w:val="20"/>
        </w:rPr>
      </w:pPr>
      <w:r>
        <w:rPr>
          <w:rFonts w:asciiTheme="majorHAnsi" w:hAnsiTheme="majorHAnsi" w:cstheme="majorHAnsi"/>
          <w:b/>
          <w:color w:val="595959" w:themeColor="text1" w:themeTint="A6"/>
          <w:sz w:val="20"/>
        </w:rPr>
        <w:t xml:space="preserve">Notes  </w:t>
      </w:r>
    </w:p>
    <w:p w14:paraId="0EAE193A" w14:textId="02C11F89" w:rsidR="001C39B6" w:rsidRPr="00906E9B" w:rsidRDefault="001C39B6" w:rsidP="001C39B6">
      <w:pPr>
        <w:pBdr>
          <w:top w:val="single" w:sz="4" w:space="1" w:color="auto"/>
        </w:pBdr>
        <w:spacing w:line="360" w:lineRule="auto"/>
        <w:rPr>
          <w:rFonts w:asciiTheme="majorHAnsi" w:hAnsiTheme="majorHAnsi" w:cstheme="majorHAnsi"/>
          <w:b/>
          <w:color w:val="595959" w:themeColor="text1" w:themeTint="A6"/>
          <w:sz w:val="20"/>
          <w:vertAlign w:val="superscript"/>
        </w:rPr>
      </w:pPr>
      <w:r>
        <w:rPr>
          <w:rFonts w:asciiTheme="majorHAnsi" w:hAnsiTheme="majorHAnsi" w:cstheme="majorHAnsi"/>
          <w:b/>
          <w:color w:val="595959" w:themeColor="text1" w:themeTint="A6"/>
          <w:sz w:val="20"/>
          <w:vertAlign w:val="superscript"/>
        </w:rPr>
        <w:t>1 MVP – Minimum Viable Proposition;</w:t>
        <w:tab/>
        <w:t xml:space="preserve">                        2 OM – Operating Model;</w:t>
        <w:tab/>
        <w:t xml:space="preserve">                       3 GTMP – Go To Market Plan;</w:t>
        <w:tab/>
        <w:br/>
        <w:t>4 ICX – Integrated Customer Experience;</w:t>
        <w:tab/>
        <w:t>5 BM – Business Model.</w:t>
      </w:r>
    </w:p>
    <w:p w14:paraId="0E29169F" w14:textId="7BF20B24" w:rsidR="00F27D1F" w:rsidRPr="00906E9B" w:rsidRDefault="007D0CD0" w:rsidP="007D0CD0">
      <w:pPr>
        <w:spacing w:after="0" w:line="360" w:lineRule="auto"/>
        <w:jc w:val="both"/>
        <w:rPr>
          <w:rFonts w:asciiTheme="majorHAnsi" w:hAnsiTheme="majorHAnsi" w:cstheme="majorHAnsi"/>
        </w:rPr>
      </w:pPr>
      <w:r>
        <w:rPr>
          <w:rFonts w:asciiTheme="majorHAnsi" w:hAnsiTheme="majorHAnsi" w:cstheme="majorHAnsi"/>
        </w:rPr>
        <w:t xml:space="preserve">DSG’s methodology ensures GCT Group’s strategy is </w:t>
      </w:r>
      <w:r>
        <w:rPr>
          <w:rFonts w:asciiTheme="majorHAnsi" w:hAnsiTheme="majorHAnsi" w:cstheme="majorHAnsi"/>
          <w:b/>
          <w:bCs/>
        </w:rPr>
        <w:t>commercially viable, technically sound, and operationally executable</w:t>
      </w:r>
      <w:r>
        <w:rPr>
          <w:rFonts w:asciiTheme="majorHAnsi" w:hAnsiTheme="majorHAnsi" w:cstheme="majorHAnsi"/>
        </w:rPr>
        <w:t xml:space="preserve"> before any investment is deployed.</w:t>
      </w:r>
    </w:p>
    <w:p w14:paraId="2A0BB2F5" w14:textId="77777777" w:rsidR="00653DEA" w:rsidRPr="00906E9B" w:rsidRDefault="00653DEA">
      <w:pPr>
        <w:rPr>
          <w:rFonts w:asciiTheme="majorHAnsi" w:hAnsiTheme="majorHAnsi" w:cstheme="majorHAnsi"/>
          <w:b/>
          <w:bCs/>
        </w:rPr>
      </w:pPr>
      <w:r>
        <w:rPr>
          <w:rFonts w:asciiTheme="majorHAnsi" w:hAnsiTheme="majorHAnsi" w:cstheme="majorHAnsi"/>
          <w:b/>
          <w:bCs/>
        </w:rPr>
        <w:br w:type="page"/>
      </w:r>
    </w:p>
    <w:p w14:paraId="47403425" w14:textId="73FF73D5" w:rsidR="008C7F51" w:rsidRPr="00EB79B0" w:rsidRDefault="00174764" w:rsidP="00C85BC2">
      <w:pPr>
        <w:pStyle w:val="Heading1"/>
        <w:numPr>
          <w:ilvl w:val="0"/>
          <w:numId w:val="21"/>
        </w:numPr>
        <w:rPr>
          <w:rFonts w:cstheme="majorHAnsi"/>
          <w:color w:val="auto"/>
        </w:rPr>
      </w:pPr>
      <w:bookmarkStart w:id="7" w:name="_Toc210912502"/>
      <w:r>
        <w:rPr>
          <w:rFonts w:cstheme="majorHAnsi"/>
          <w:color w:val="auto"/>
        </w:rPr>
        <w:lastRenderedPageBreak/>
        <w:t>Build and Operate</w:t>
      </w:r>
      <w:bookmarkEnd w:id="7"/>
    </w:p>
    <w:p w14:paraId="780E6022" w14:textId="77777777" w:rsidR="007738F9" w:rsidRPr="00906E9B" w:rsidRDefault="007738F9" w:rsidP="007738F9">
      <w:pPr>
        <w:rPr>
          <w:rFonts w:asciiTheme="majorHAnsi" w:hAnsiTheme="majorHAnsi" w:cstheme="majorHAnsi"/>
        </w:rPr>
      </w:pPr>
    </w:p>
    <w:p w14:paraId="35B44C76" w14:textId="5A8AE080" w:rsidR="0082208F" w:rsidRPr="00906E9B" w:rsidRDefault="00322DE3" w:rsidP="007738F9">
      <w:pPr>
        <w:spacing w:after="0" w:line="240" w:lineRule="auto"/>
        <w:contextualSpacing/>
        <w:rPr>
          <w:rFonts w:asciiTheme="majorHAnsi" w:hAnsiTheme="majorHAnsi" w:cstheme="majorHAnsi"/>
        </w:rPr>
      </w:pPr>
      <w:r>
        <w:rPr>
          <w:rFonts w:asciiTheme="majorHAnsi" w:hAnsiTheme="majorHAnsi" w:cstheme="majorHAnsi"/>
        </w:rPr>
        <w:t>Implementation of the strategic plans.</w:t>
      </w:r>
    </w:p>
    <w:p w14:paraId="3556E400" w14:textId="77777777" w:rsidR="007738F9" w:rsidRPr="00906E9B" w:rsidRDefault="007738F9" w:rsidP="007738F9">
      <w:pPr>
        <w:spacing w:after="0" w:line="240" w:lineRule="auto"/>
        <w:contextualSpacing/>
        <w:rPr>
          <w:rFonts w:asciiTheme="majorHAnsi" w:hAnsiTheme="majorHAnsi" w:cstheme="majorHAnsi"/>
        </w:rPr>
      </w:pPr>
    </w:p>
    <w:p w14:paraId="781F8334" w14:textId="77777777" w:rsidR="007738F9" w:rsidRPr="00906E9B" w:rsidRDefault="007738F9" w:rsidP="007738F9">
      <w:pPr>
        <w:spacing w:after="0" w:line="240" w:lineRule="auto"/>
        <w:contextualSpacing/>
        <w:rPr>
          <w:rFonts w:asciiTheme="majorHAnsi" w:hAnsiTheme="majorHAnsi" w:cstheme="majorHAnsi"/>
          <w:lang w:val="en-GB"/>
        </w:rPr>
      </w:pPr>
      <w:r>
        <w:rPr>
          <w:rFonts w:asciiTheme="majorHAnsi" w:hAnsiTheme="majorHAnsi" w:cstheme="majorHAnsi"/>
          <w:lang w:val="en-GB"/>
        </w:rPr>
        <w:t>The Build and Operate phase activates the transformation blueprint.</w:t>
      </w:r>
    </w:p>
    <w:p w14:paraId="7517540F" w14:textId="61029187" w:rsidR="007738F9" w:rsidRPr="00906E9B" w:rsidRDefault="007738F9" w:rsidP="007738F9">
      <w:pPr>
        <w:spacing w:after="0" w:line="240" w:lineRule="auto"/>
        <w:contextualSpacing/>
        <w:rPr>
          <w:rFonts w:asciiTheme="majorHAnsi" w:hAnsiTheme="majorHAnsi" w:cstheme="majorHAnsi"/>
          <w:lang w:val="en-GB"/>
        </w:rPr>
      </w:pPr>
      <w:r>
        <w:rPr>
          <w:rFonts w:asciiTheme="majorHAnsi" w:hAnsiTheme="majorHAnsi" w:cstheme="majorHAnsi"/>
          <w:lang w:val="en-GB"/>
        </w:rPr>
        <w:br/>
        <w:t xml:space="preserve">DSG establishes a dedicated </w:t>
      </w:r>
      <w:r>
        <w:rPr>
          <w:rFonts w:asciiTheme="majorHAnsi" w:hAnsiTheme="majorHAnsi" w:cstheme="majorHAnsi"/>
          <w:b/>
          <w:bCs/>
          <w:lang w:val="en-GB"/>
        </w:rPr>
        <w:t>Transformation Project Office (TPO)</w:t>
      </w:r>
      <w:r>
        <w:rPr>
          <w:rFonts w:asciiTheme="majorHAnsi" w:hAnsiTheme="majorHAnsi" w:cstheme="majorHAnsi"/>
          <w:lang w:val="en-GB"/>
        </w:rPr>
        <w:t>, co-led by GCT Group’s leadership, responsible for implementing the agreed roadmap and delivering measurable outcomes across key performance levers:</w:t>
      </w:r>
    </w:p>
    <w:p w14:paraId="59A547B8" w14:textId="026EF0C5" w:rsidR="007738F9" w:rsidRPr="007738F9" w:rsidRDefault="007738F9" w:rsidP="007738F9">
      <w:pPr>
        <w:rPr>
          <w:rFonts w:asciiTheme="majorHAnsi" w:hAnsiTheme="majorHAnsi" w:cstheme="majorHAnsi"/>
          <w:lang w:val="en-GB"/>
        </w:rPr>
      </w:pPr>
      <w:r>
        <w:rPr>
          <w:rFonts w:asciiTheme="majorHAnsi" w:hAnsiTheme="majorHAnsi" w:cstheme="majorHAnsi"/>
          <w:lang w:val="en-GB"/>
        </w:rPr>
        <w:br/>
        <w:t>• Revenue growth</w:t>
        <w:br/>
        <w:t>• Cost efficiency</w:t>
        <w:br/>
        <w:t>• Customer experience</w:t>
        <w:br/>
        <w:t>• Digital adoption</w:t>
        <w:br/>
        <w:t>• Network performance</w:t>
      </w:r>
    </w:p>
    <w:p w14:paraId="34BD3416" w14:textId="1ECE662E" w:rsidR="007738F9" w:rsidRPr="007738F9" w:rsidRDefault="007738F9" w:rsidP="00CC46EC">
      <w:pPr>
        <w:jc w:val="both"/>
        <w:rPr>
          <w:rFonts w:asciiTheme="majorHAnsi" w:hAnsiTheme="majorHAnsi" w:cstheme="majorHAnsi"/>
          <w:lang w:val="en-GB"/>
        </w:rPr>
      </w:pPr>
      <w:r>
        <w:rPr>
          <w:rFonts w:asciiTheme="majorHAnsi" w:hAnsiTheme="majorHAnsi" w:cstheme="majorHAnsi"/>
          <w:lang w:val="en-GB"/>
        </w:rPr>
        <w:t xml:space="preserve">DSG embeds senior experts alongside GCT Group’s teams to ensure skills transfer, agile delivery, and rapid impact. The TPO model guarantees </w:t>
      </w:r>
      <w:r>
        <w:rPr>
          <w:rFonts w:asciiTheme="majorHAnsi" w:hAnsiTheme="majorHAnsi" w:cstheme="majorHAnsi"/>
          <w:b/>
          <w:bCs/>
          <w:lang w:val="en-GB"/>
        </w:rPr>
        <w:t>execution discipline</w:t>
      </w:r>
      <w:r>
        <w:rPr>
          <w:rFonts w:asciiTheme="majorHAnsi" w:hAnsiTheme="majorHAnsi" w:cstheme="majorHAnsi"/>
          <w:lang w:val="en-GB"/>
        </w:rPr>
        <w:t xml:space="preserve">, </w:t>
      </w:r>
      <w:r>
        <w:rPr>
          <w:rFonts w:asciiTheme="majorHAnsi" w:hAnsiTheme="majorHAnsi" w:cstheme="majorHAnsi"/>
          <w:b/>
          <w:bCs/>
          <w:lang w:val="en-GB"/>
        </w:rPr>
        <w:t>governance visibility</w:t>
      </w:r>
      <w:r>
        <w:rPr>
          <w:rFonts w:asciiTheme="majorHAnsi" w:hAnsiTheme="majorHAnsi" w:cstheme="majorHAnsi"/>
          <w:lang w:val="en-GB"/>
        </w:rPr>
        <w:t xml:space="preserve">, and </w:t>
      </w:r>
      <w:r>
        <w:rPr>
          <w:rFonts w:asciiTheme="majorHAnsi" w:hAnsiTheme="majorHAnsi" w:cstheme="majorHAnsi"/>
          <w:b/>
          <w:bCs/>
          <w:lang w:val="en-GB"/>
        </w:rPr>
        <w:t>delivery confidence</w:t>
      </w:r>
      <w:r>
        <w:rPr>
          <w:rFonts w:asciiTheme="majorHAnsi" w:hAnsiTheme="majorHAnsi" w:cstheme="majorHAnsi"/>
          <w:lang w:val="en-GB"/>
        </w:rPr>
        <w:t xml:space="preserve"> for the CEO and Board.</w:t>
      </w:r>
    </w:p>
    <w:p w14:paraId="1B361FFF" w14:textId="188DD6BE" w:rsidR="00CB7E8F" w:rsidRPr="00906E9B" w:rsidRDefault="00BE4738">
      <w:pP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14740135" wp14:editId="6A0E8108">
                <wp:simplePos x="0" y="0"/>
                <wp:positionH relativeFrom="column">
                  <wp:posOffset>82550</wp:posOffset>
                </wp:positionH>
                <wp:positionV relativeFrom="paragraph">
                  <wp:posOffset>43815</wp:posOffset>
                </wp:positionV>
                <wp:extent cx="1143000" cy="304800"/>
                <wp:effectExtent l="0" t="0" r="0" b="0"/>
                <wp:wrapNone/>
                <wp:docPr id="471188227" name="Text Box 1"/>
                <wp:cNvGraphicFramePr/>
                <a:graphic xmlns:a="http://schemas.openxmlformats.org/drawingml/2006/main">
                  <a:graphicData uri="http://schemas.microsoft.com/office/word/2010/wordprocessingShape">
                    <wps:wsp>
                      <wps:cNvSpPr txBox="1"/>
                      <wps:spPr>
                        <a:xfrm>
                          <a:off x="0" y="0"/>
                          <a:ext cx="1143000" cy="304800"/>
                        </a:xfrm>
                        <a:prstGeom prst="rect">
                          <a:avLst/>
                        </a:prstGeom>
                        <a:solidFill>
                          <a:schemeClr val="lt1"/>
                        </a:solidFill>
                        <a:ln w="6350">
                          <a:noFill/>
                        </a:ln>
                      </wps:spPr>
                      <wps:txbx>
                        <w:txbxContent>
                          <w:p w14:paraId="5EAF2A14" w14:textId="7618EA35" w:rsidR="00BE4738" w:rsidRPr="00BE4738" w:rsidRDefault="00BE4738">
                            <w:pPr>
                              <w:rPr>
                                <w:rFonts w:asciiTheme="majorHAnsi" w:hAnsiTheme="majorHAnsi" w:cstheme="majorHAnsi"/>
                                <w:color w:val="548DD4" w:themeColor="text2" w:themeTint="99"/>
                              </w:rPr>
                            </w:pPr>
                            <w:r>
                              <w:rPr>
                                <w:rFonts w:asciiTheme="majorHAnsi" w:hAnsiTheme="majorHAnsi" w:cstheme="majorHAnsi"/>
                                <w:color w:val="548DD4" w:themeColor="text2" w:themeTint="99"/>
                              </w:rPr>
                              <w:t xml:space="preserve">             TPO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740135" id="_x0000_t202" coordsize="21600,21600" o:spt="202" path="m,l,21600r21600,l21600,xe">
                <v:stroke joinstyle="miter"/>
                <v:path gradientshapeok="t" o:connecttype="rect"/>
              </v:shapetype>
              <v:shape id="Text Box 1" o:spid="_x0000_s1026" type="#_x0000_t202" style="position:absolute;margin-left:6.5pt;margin-top:3.45pt;width:90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LSkrKwIAAFQEAAAOAAAAZHJzL2Uyb0RvYy54bWysVEtv2zAMvg/YfxB0X2wnadcacYosRYYB QVsgHXpWZCk2IIuapMTOfv0o2Xms22nYRSZF6uPro2cPXaPIQVhXgy5oNkopEZpDWetdQb+/rj7d UeI80yVToEVBj8LRh/nHD7PW5GIMFahSWIIg2uWtKWjlvcmTxPFKNMyNwAiNRgm2YR5Vu0tKy1pE b1QyTtPbpAVbGgtcOIe3j72RziO+lIL7Zymd8EQVFHPz8bTx3IYzmc9YvrPMVDUf0mD/kEXDao1B z1CPzDOyt/UfUE3NLTiQfsShSUDKmotYA1aTpe+q2VTMiFgLNseZc5vc/4PlT4eNebHEd1+gwwGG hrTG5Q4vQz2dtE34YqYE7djC47ltovOEh0fZdJKmaOJom6TTO5QRJrm8Ntb5rwIaEoSCWhxL7BY7 rJ3vXU8uIZgDVZerWqmoBCqIpbLkwHCIysccEfw3L6VJW9DbyU0agTWE5z2y0pjLpaYg+W7bDYVu oTxi/RZ6ajjDVzUmuWbOvzCLXMC6kN/+GQ+pAIPAIFFSgf35t/vgjyNCKyUtcqug7seeWUGJ+qZx ePfZdBrIGJXpzecxKvbasr226H2zBKw8w00yPIrB36uTKC00b7gGixAVTUxzjF1QfxKXvmc8rhEX i0V0QvoZ5td6Y3iADp0OI3jt3pg1w5w8TvgJTixk+btx9b7hpYbF3oOs4yxDg/uuDn1H6kY2DGsW duNaj16Xn8H8FwAAAP//AwBQSwMEFAAGAAgAAAAhANJDsZDcAAAABwEAAA8AAABkcnMvZG93bnJl di54bWxMj0FPg0AQhe8m/ofNmHgxdlFsK8jSGKM28WapGm9bdgQiO0vYLeC/dzjp8cubvPdNtpls KwbsfeNIwdUiAoFUOtNQpWBfPF3egvBBk9GtI1Twgx42+elJplPjRnrFYRcqwSXkU62gDqFLpfRl jVb7heuQOPtyvdWBsa+k6fXI5baV11G0klY3xAu17vChxvJ7d7QKPi+qjxc/Pb+N8TLuHrdDsX43 hVLnZ9P9HYiAU/g7hlmf1SFnp4M7kvGiZY75laBglYCY42Tmg4LlTQIyz+R///wXAAD//wMAUEsB Ai0AFAAGAAgAAAAhALaDOJL+AAAA4QEAABMAAAAAAAAAAAAAAAAAAAAAAFtDb250ZW50X1R5cGVz XS54bWxQSwECLQAUAAYACAAAACEAOP0h/9YAAACUAQAACwAAAAAAAAAAAAAAAAAvAQAAX3JlbHMv LnJlbHNQSwECLQAUAAYACAAAACEAyy0pKysCAABUBAAADgAAAAAAAAAAAAAAAAAuAgAAZHJzL2Uy b0RvYy54bWxQSwECLQAUAAYACAAAACEA0kOxkNwAAAAHAQAADwAAAAAAAAAAAAAAAACFBAAAZHJz L2Rvd25yZXYueG1sUEsFBgAAAAAEAAQA8wAAAI4FAAAAAA== " fillcolor="white [3201]" stroked="f" strokeweight=".5pt">
                <v:textbox>
                  <w:txbxContent>
                    <w:p w14:paraId="5EAF2A14" w14:textId="7618EA35" w:rsidR="00BE4738" w:rsidRPr="00BE4738" w:rsidRDefault="00BE4738">
                      <w:pPr>
                        <w:rPr>
                          <w:rFonts w:asciiTheme="majorHAnsi" w:hAnsiTheme="majorHAnsi" w:cstheme="majorHAnsi"/>
                          <w:color w:val="548DD4" w:themeColor="text2" w:themeTint="99"/>
                        </w:rPr>
                      </w:pPr>
                      <w:r>
                        <w:rPr>
                          <w:rFonts w:asciiTheme="majorHAnsi" w:hAnsiTheme="majorHAnsi" w:cstheme="majorHAnsi"/>
                          <w:color w:val="548DD4" w:themeColor="text2" w:themeTint="99"/>
                        </w:rPr>
                        <w:t xml:space="preserve">             TPO       </w:t>
                      </w:r>
                    </w:p>
                  </w:txbxContent>
                </v:textbox>
              </v:shape>
            </w:pict>
          </mc:Fallback>
        </mc:AlternateContent>
        <w:drawing>
          <wp:inline distT="0" distB="0" distL="0" distR="0" wp14:anchorId="5DB377AE" wp14:editId="22F68159">
            <wp:extent cx="5991149" cy="3467100"/>
            <wp:effectExtent l="0" t="0" r="0" b="0"/>
            <wp:docPr id="14718447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44719" name=""/>
                    <pic:cNvPicPr/>
                  </pic:nvPicPr>
                  <pic:blipFill rotWithShape="1">
                    <a:blip r:embed="rId21">
                      <a:extLst>
                        <a:ext uri="{96DAC541-7B7A-43D3-8B79-37D633B846F1}">
                          <asvg:svgBlip xmlns:asvg="http://schemas.microsoft.com/office/drawing/2016/SVG/main" r:embed="rId22"/>
                        </a:ext>
                      </a:extLst>
                    </a:blip>
                    <a:srcRect t="10958" b="11882"/>
                    <a:stretch>
                      <a:fillRect/>
                    </a:stretch>
                  </pic:blipFill>
                  <pic:spPr bwMode="auto">
                    <a:xfrm>
                      <a:off x="0" y="0"/>
                      <a:ext cx="6007467" cy="3476543"/>
                    </a:xfrm>
                    <a:prstGeom prst="rect">
                      <a:avLst/>
                    </a:prstGeom>
                    <a:ln>
                      <a:noFill/>
                    </a:ln>
                    <a:extLst>
                      <a:ext uri="{53640926-AAD7-44D8-BBD7-CCE9431645EC}">
                        <a14:shadowObscured xmlns:a14="http://schemas.microsoft.com/office/drawing/2010/main"/>
                      </a:ext>
                    </a:extLst>
                  </pic:spPr>
                </pic:pic>
              </a:graphicData>
            </a:graphic>
          </wp:inline>
        </w:drawing>
      </w:r>
    </w:p>
    <w:p w14:paraId="122E49E0" w14:textId="040F6A9F" w:rsidR="00C74485" w:rsidRPr="00906E9B" w:rsidRDefault="00A55E69">
      <w:pPr>
        <w:rPr>
          <w:rFonts w:asciiTheme="majorHAnsi" w:hAnsiTheme="majorHAnsi" w:cstheme="majorHAnsi"/>
        </w:rPr>
      </w:pPr>
      <w:r>
        <w:rPr>
          <w:rFonts w:asciiTheme="majorHAnsi" w:hAnsiTheme="majorHAnsi" w:cstheme="majorHAnsi"/>
        </w:rPr>
        <w:t xml:space="preserve">The project office will be responsible for delivering on the key objectives of the business strategy as defined from the Design process: </w:t>
      </w:r>
    </w:p>
    <w:p w14:paraId="098DA8AC" w14:textId="07088112" w:rsidR="008C6F9F" w:rsidRPr="00906E9B" w:rsidRDefault="008C6F9F">
      <w:pPr>
        <w:rPr>
          <w:rFonts w:asciiTheme="majorHAnsi" w:hAnsiTheme="majorHAnsi" w:cstheme="majorHAnsi"/>
        </w:rPr>
      </w:pPr>
      <w:r>
        <w:rPr>
          <w:rFonts w:asciiTheme="majorHAnsi" w:hAnsiTheme="majorHAnsi" w:cstheme="majorHAnsi"/>
          <w:noProof/>
        </w:rPr>
        <w:lastRenderedPageBreak/>
        <w:drawing>
          <wp:inline distT="0" distB="0" distL="0" distR="0" wp14:anchorId="6C4C3394" wp14:editId="10BEC538">
            <wp:extent cx="5990590" cy="3742731"/>
            <wp:effectExtent l="0" t="0" r="0" b="0"/>
            <wp:docPr id="1830781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t="12222" r="4874" b="8519"/>
                    <a:stretch>
                      <a:fillRect/>
                    </a:stretch>
                  </pic:blipFill>
                  <pic:spPr bwMode="auto">
                    <a:xfrm>
                      <a:off x="0" y="0"/>
                      <a:ext cx="6010262" cy="3755021"/>
                    </a:xfrm>
                    <a:prstGeom prst="rect">
                      <a:avLst/>
                    </a:prstGeom>
                    <a:noFill/>
                    <a:ln>
                      <a:noFill/>
                    </a:ln>
                    <a:extLst>
                      <a:ext uri="{53640926-AAD7-44D8-BBD7-CCE9431645EC}">
                        <a14:shadowObscured xmlns:a14="http://schemas.microsoft.com/office/drawing/2010/main"/>
                      </a:ext>
                    </a:extLst>
                  </pic:spPr>
                </pic:pic>
              </a:graphicData>
            </a:graphic>
          </wp:inline>
        </w:drawing>
      </w:r>
    </w:p>
    <w:p w14:paraId="0C49D1F6" w14:textId="44086A89" w:rsidR="008C6F9F" w:rsidRPr="00906E9B" w:rsidRDefault="008C6F9F">
      <w:pPr>
        <w:rPr>
          <w:rFonts w:asciiTheme="majorHAnsi" w:hAnsiTheme="majorHAnsi" w:cstheme="majorHAnsi"/>
        </w:rPr>
      </w:pPr>
      <w:r>
        <w:rPr>
          <w:rFonts w:asciiTheme="majorHAnsi" w:hAnsiTheme="majorHAnsi" w:cstheme="majorHAnsi"/>
        </w:rPr>
        <w:t>The project office will also be responsible for ensuring that KPIs and value levers are driven throughout the business to meet the defined objectives from the strategy.</w:t>
      </w:r>
    </w:p>
    <w:p w14:paraId="1F2737C9" w14:textId="27D3B5E4" w:rsidR="00FD71AF" w:rsidRPr="00906E9B" w:rsidRDefault="00FD71AF">
      <w:pPr>
        <w:rPr>
          <w:rFonts w:asciiTheme="majorHAnsi" w:hAnsiTheme="majorHAnsi" w:cstheme="majorHAnsi"/>
        </w:rPr>
      </w:pPr>
      <w:r>
        <w:rPr>
          <w:rFonts w:asciiTheme="majorHAnsi" w:hAnsiTheme="majorHAnsi" w:cstheme="majorHAnsi"/>
          <w:noProof/>
        </w:rPr>
        <w:drawing>
          <wp:inline distT="0" distB="0" distL="0" distR="0" wp14:anchorId="7FF5B541" wp14:editId="008F41FA">
            <wp:extent cx="5486400" cy="3581400"/>
            <wp:effectExtent l="0" t="0" r="0" b="0"/>
            <wp:docPr id="17405960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6012" name=""/>
                    <pic:cNvPicPr/>
                  </pic:nvPicPr>
                  <pic:blipFill rotWithShape="1">
                    <a:blip r:embed="rId24">
                      <a:extLst>
                        <a:ext uri="{96DAC541-7B7A-43D3-8B79-37D633B846F1}">
                          <asvg:svgBlip xmlns:asvg="http://schemas.microsoft.com/office/drawing/2016/SVG/main" r:embed="rId25"/>
                        </a:ext>
                      </a:extLst>
                    </a:blip>
                    <a:srcRect t="12963"/>
                    <a:stretch>
                      <a:fillRect/>
                    </a:stretch>
                  </pic:blipFill>
                  <pic:spPr bwMode="auto">
                    <a:xfrm>
                      <a:off x="0" y="0"/>
                      <a:ext cx="5486400" cy="3581400"/>
                    </a:xfrm>
                    <a:prstGeom prst="rect">
                      <a:avLst/>
                    </a:prstGeom>
                    <a:ln>
                      <a:noFill/>
                    </a:ln>
                    <a:extLst>
                      <a:ext uri="{53640926-AAD7-44D8-BBD7-CCE9431645EC}">
                        <a14:shadowObscured xmlns:a14="http://schemas.microsoft.com/office/drawing/2010/main"/>
                      </a:ext>
                    </a:extLst>
                  </pic:spPr>
                </pic:pic>
              </a:graphicData>
            </a:graphic>
          </wp:inline>
        </w:drawing>
      </w:r>
    </w:p>
    <w:p w14:paraId="425081DE" w14:textId="080C8F5C" w:rsidR="00C74485" w:rsidRPr="00906E9B" w:rsidRDefault="001C39B6" w:rsidP="007E3C7C">
      <w:pPr>
        <w:jc w:val="both"/>
        <w:rPr>
          <w:rFonts w:asciiTheme="majorHAnsi" w:hAnsiTheme="majorHAnsi" w:cstheme="majorHAnsi"/>
        </w:rPr>
      </w:pPr>
      <w:r>
        <w:rPr>
          <w:rFonts w:asciiTheme="majorHAnsi" w:hAnsiTheme="majorHAnsi" w:cstheme="majorHAnsi"/>
        </w:rPr>
        <w:lastRenderedPageBreak/>
        <w:t>DSG will deploy senior consultants, analysts, and facilitators, working closely with GCT Group’s leadership. An executive lead from MVNE will be available full-time, two weeks a month to guide the Build and Operate process.</w:t>
      </w:r>
    </w:p>
    <w:p w14:paraId="64E3DCB7" w14:textId="0455EFAE" w:rsidR="00E905E6" w:rsidRPr="00906E9B" w:rsidRDefault="003365CE" w:rsidP="007E3C7C">
      <w:pPr>
        <w:jc w:val="both"/>
        <w:rPr>
          <w:rFonts w:asciiTheme="majorHAnsi" w:hAnsiTheme="majorHAnsi" w:cstheme="majorHAnsi"/>
        </w:rPr>
      </w:pPr>
      <w:r>
        <w:rPr>
          <w:rFonts w:asciiTheme="majorHAnsi" w:hAnsiTheme="majorHAnsi" w:cstheme="majorHAnsi"/>
        </w:rPr>
        <w:t>Once the Design process is complete DSG will have a closer idea of timelines and the number of resources and time that will be required to deliver on the strategy. The initial estimation is that DSG will require at least 6 months involvement in the Build and Operate phase.</w:t>
      </w:r>
    </w:p>
    <w:p w14:paraId="6B8D3FA6" w14:textId="5EDBE694" w:rsidR="00CB19A6" w:rsidRPr="00EB79B0" w:rsidRDefault="00174764" w:rsidP="00CB19A6">
      <w:pPr>
        <w:pStyle w:val="Heading1"/>
        <w:numPr>
          <w:ilvl w:val="0"/>
          <w:numId w:val="21"/>
        </w:numPr>
        <w:rPr>
          <w:rFonts w:cstheme="majorHAnsi"/>
          <w:color w:val="auto"/>
        </w:rPr>
      </w:pPr>
      <w:bookmarkStart w:id="8" w:name="_Toc210912503"/>
      <w:r>
        <w:rPr>
          <w:rFonts w:cstheme="majorHAnsi"/>
          <w:color w:val="auto"/>
        </w:rPr>
        <w:t>Transfer</w:t>
      </w:r>
      <w:bookmarkEnd w:id="8"/>
    </w:p>
    <w:p w14:paraId="56F436F7" w14:textId="622F4A32" w:rsidR="00F54FE9" w:rsidRPr="00EB79B0" w:rsidRDefault="002E0BCF" w:rsidP="00F54FE9">
      <w:pPr>
        <w:pStyle w:val="Heading3"/>
        <w:numPr>
          <w:ilvl w:val="0"/>
          <w:numId w:val="20"/>
        </w:numPr>
        <w:rPr>
          <w:rFonts w:cstheme="majorHAnsi"/>
          <w:color w:val="auto"/>
          <w:lang w:val="en-GB"/>
        </w:rPr>
      </w:pPr>
      <w:bookmarkStart w:id="9" w:name="_Toc210841181"/>
      <w:bookmarkStart w:id="10" w:name="_Toc210841738"/>
      <w:bookmarkStart w:id="11" w:name="_Toc210893230"/>
      <w:bookmarkStart w:id="12" w:name="_Toc210912504"/>
      <w:r>
        <w:rPr>
          <w:rFonts w:cstheme="majorHAnsi"/>
          <w:color w:val="auto"/>
          <w:lang w:val="en-GB"/>
        </w:rPr>
        <w:t>Purpose</w:t>
      </w:r>
      <w:bookmarkEnd w:id="9"/>
      <w:bookmarkEnd w:id="10"/>
      <w:bookmarkEnd w:id="11"/>
      <w:bookmarkEnd w:id="12"/>
    </w:p>
    <w:p w14:paraId="512CD92C" w14:textId="2F836198" w:rsidR="002E0BCF" w:rsidRPr="00906E9B" w:rsidRDefault="002E0BCF" w:rsidP="00CF4881">
      <w:pPr>
        <w:jc w:val="both"/>
        <w:rPr>
          <w:rFonts w:asciiTheme="majorHAnsi" w:hAnsiTheme="majorHAnsi" w:cstheme="majorHAnsi"/>
          <w:lang w:val="en-GB"/>
        </w:rPr>
      </w:pPr>
      <w:r>
        <w:rPr>
          <w:rFonts w:asciiTheme="majorHAnsi" w:hAnsiTheme="majorHAnsi" w:cstheme="majorHAnsi"/>
          <w:lang w:val="en-GB"/>
        </w:rPr>
        <w:t>The Transfer Phase marks the culmination of the Design-Build-Operate-Transfer (DBOT) engagement, transitioning full operational control of the newly modernised GCT Group platform, systems, and processes from the MVNE team to the GCT Group’s internal management. This phase ensures GCT Group inherits a fully optimised, scalable, and self-sufficient operation with the knowledge, systems, and capabilities to sustain growth and innovation independently.</w:t>
      </w:r>
    </w:p>
    <w:p w14:paraId="7B658AE7" w14:textId="77777777" w:rsidR="00F54FE9" w:rsidRPr="00F54FE9" w:rsidRDefault="00F54FE9" w:rsidP="00F54FE9">
      <w:pPr>
        <w:jc w:val="both"/>
        <w:rPr>
          <w:rFonts w:asciiTheme="majorHAnsi" w:hAnsiTheme="majorHAnsi" w:cstheme="majorHAnsi"/>
          <w:lang w:val="en-GB"/>
        </w:rPr>
      </w:pPr>
      <w:r>
        <w:rPr>
          <w:rFonts w:asciiTheme="majorHAnsi" w:hAnsiTheme="majorHAnsi" w:cstheme="majorHAnsi"/>
          <w:lang w:val="en-GB"/>
        </w:rPr>
        <w:t>The success of the Transfer Phase will be measured by three key indicators:</w:t>
      </w:r>
    </w:p>
    <w:p w14:paraId="018EB9AE" w14:textId="77777777" w:rsidR="00F54FE9" w:rsidRPr="00F54FE9" w:rsidRDefault="00F54FE9" w:rsidP="00367AE4">
      <w:pPr>
        <w:numPr>
          <w:ilvl w:val="0"/>
          <w:numId w:val="28"/>
        </w:numPr>
        <w:spacing w:after="0" w:line="240" w:lineRule="auto"/>
        <w:jc w:val="both"/>
        <w:rPr>
          <w:rFonts w:asciiTheme="majorHAnsi" w:hAnsiTheme="majorHAnsi" w:cstheme="majorHAnsi"/>
          <w:b/>
          <w:bCs/>
          <w:lang w:val="en-GB"/>
        </w:rPr>
      </w:pPr>
      <w:r>
        <w:rPr>
          <w:rFonts w:asciiTheme="majorHAnsi" w:hAnsiTheme="majorHAnsi" w:cstheme="majorHAnsi"/>
          <w:b/>
          <w:bCs/>
          <w:lang w:val="en-GB"/>
        </w:rPr>
        <w:t>Operational independence — 100% of systems and processes managed internally.</w:t>
      </w:r>
    </w:p>
    <w:p w14:paraId="5B760221" w14:textId="77777777" w:rsidR="00F54FE9" w:rsidRPr="00F54FE9" w:rsidRDefault="00F54FE9" w:rsidP="00367AE4">
      <w:pPr>
        <w:numPr>
          <w:ilvl w:val="0"/>
          <w:numId w:val="28"/>
        </w:numPr>
        <w:spacing w:after="0" w:line="240" w:lineRule="auto"/>
        <w:jc w:val="both"/>
        <w:rPr>
          <w:rFonts w:asciiTheme="majorHAnsi" w:hAnsiTheme="majorHAnsi" w:cstheme="majorHAnsi"/>
          <w:b/>
          <w:bCs/>
          <w:lang w:val="en-GB"/>
        </w:rPr>
      </w:pPr>
      <w:r>
        <w:rPr>
          <w:rFonts w:asciiTheme="majorHAnsi" w:hAnsiTheme="majorHAnsi" w:cstheme="majorHAnsi"/>
          <w:b/>
          <w:bCs/>
          <w:lang w:val="en-GB"/>
        </w:rPr>
        <w:t>Commercial performance — delivery of agreed KPIs over 90 days.</w:t>
      </w:r>
    </w:p>
    <w:p w14:paraId="593C957D" w14:textId="79799639" w:rsidR="00F54FE9" w:rsidRDefault="00F54FE9" w:rsidP="00367AE4">
      <w:pPr>
        <w:numPr>
          <w:ilvl w:val="0"/>
          <w:numId w:val="28"/>
        </w:numPr>
        <w:spacing w:after="0" w:line="240" w:lineRule="auto"/>
        <w:jc w:val="both"/>
        <w:rPr>
          <w:rFonts w:asciiTheme="majorHAnsi" w:hAnsiTheme="majorHAnsi" w:cstheme="majorHAnsi"/>
          <w:b/>
          <w:bCs/>
          <w:lang w:val="en-GB"/>
        </w:rPr>
      </w:pPr>
      <w:r>
        <w:rPr>
          <w:rFonts w:asciiTheme="majorHAnsi" w:hAnsiTheme="majorHAnsi" w:cstheme="majorHAnsi"/>
          <w:b/>
          <w:bCs/>
          <w:lang w:val="en-GB"/>
        </w:rPr>
        <w:t>Leadership capability — full operational confidence by GCT Group’s management team.</w:t>
      </w:r>
    </w:p>
    <w:p w14:paraId="6CDF4790" w14:textId="77777777" w:rsidR="00367AE4" w:rsidRPr="00F54FE9" w:rsidRDefault="00367AE4" w:rsidP="00367AE4">
      <w:pPr>
        <w:spacing w:after="0" w:line="240" w:lineRule="auto"/>
        <w:ind w:left="720"/>
        <w:jc w:val="both"/>
        <w:rPr>
          <w:rFonts w:asciiTheme="majorHAnsi" w:hAnsiTheme="majorHAnsi" w:cstheme="majorHAnsi"/>
          <w:b/>
          <w:bCs/>
          <w:lang w:val="en-GB"/>
        </w:rPr>
      </w:pPr>
    </w:p>
    <w:p w14:paraId="2992D080" w14:textId="1016D122" w:rsidR="00F54FE9" w:rsidRPr="00906E9B" w:rsidRDefault="00F54FE9" w:rsidP="00CF4881">
      <w:pPr>
        <w:jc w:val="both"/>
        <w:rPr>
          <w:rFonts w:asciiTheme="majorHAnsi" w:hAnsiTheme="majorHAnsi" w:cstheme="majorHAnsi"/>
          <w:lang w:val="en-GB"/>
        </w:rPr>
      </w:pPr>
      <w:r>
        <w:rPr>
          <w:rFonts w:asciiTheme="majorHAnsi" w:hAnsiTheme="majorHAnsi" w:cstheme="majorHAnsi"/>
          <w:lang w:val="en-GB"/>
        </w:rPr>
        <w:t xml:space="preserve">This marks the transition from </w:t>
      </w:r>
      <w:r>
        <w:rPr>
          <w:rFonts w:asciiTheme="majorHAnsi" w:hAnsiTheme="majorHAnsi" w:cstheme="majorHAnsi"/>
          <w:b/>
          <w:bCs/>
          <w:lang w:val="en-GB"/>
        </w:rPr>
        <w:t>dependence to digital sovereignty</w:t>
      </w:r>
      <w:r>
        <w:rPr>
          <w:rFonts w:asciiTheme="majorHAnsi" w:hAnsiTheme="majorHAnsi" w:cstheme="majorHAnsi"/>
          <w:lang w:val="en-GB"/>
        </w:rPr>
        <w:t xml:space="preserve"> — ensuring GCT Group is self-sufficient, competitive, and future-proof.</w:t>
      </w:r>
    </w:p>
    <w:p w14:paraId="40944AB9" w14:textId="5FCCCE48" w:rsidR="002E0BCF" w:rsidRPr="00EB79B0" w:rsidRDefault="002E0BCF" w:rsidP="00415126">
      <w:pPr>
        <w:pStyle w:val="Heading3"/>
        <w:numPr>
          <w:ilvl w:val="0"/>
          <w:numId w:val="20"/>
        </w:numPr>
        <w:rPr>
          <w:rFonts w:cstheme="majorHAnsi"/>
          <w:color w:val="auto"/>
          <w:lang w:val="en-GB"/>
        </w:rPr>
      </w:pPr>
      <w:bookmarkStart w:id="13" w:name="_Toc210841182"/>
      <w:bookmarkStart w:id="14" w:name="_Toc210841739"/>
      <w:bookmarkStart w:id="15" w:name="_Toc210893231"/>
      <w:bookmarkStart w:id="16" w:name="_Toc210912505"/>
      <w:r>
        <w:rPr>
          <w:rFonts w:cstheme="majorHAnsi"/>
          <w:color w:val="auto"/>
          <w:lang w:val="en-GB"/>
        </w:rPr>
        <w:t>Strategic Objectives</w:t>
      </w:r>
      <w:bookmarkEnd w:id="13"/>
      <w:bookmarkEnd w:id="14"/>
      <w:bookmarkEnd w:id="15"/>
      <w:bookmarkEnd w:id="16"/>
    </w:p>
    <w:p w14:paraId="029F994E" w14:textId="77777777" w:rsidR="00367AE4" w:rsidRPr="00367AE4" w:rsidRDefault="00367AE4" w:rsidP="00367AE4">
      <w:pPr>
        <w:rPr>
          <w:lang w:val="en-GB"/>
        </w:rPr>
      </w:pPr>
    </w:p>
    <w:p w14:paraId="14036E9B" w14:textId="31C22F42" w:rsidR="002E0BCF" w:rsidRPr="00906E9B" w:rsidRDefault="002E0BCF" w:rsidP="00367AE4">
      <w:pPr>
        <w:numPr>
          <w:ilvl w:val="0"/>
          <w:numId w:val="13"/>
        </w:numPr>
        <w:spacing w:after="0" w:line="240" w:lineRule="auto"/>
        <w:rPr>
          <w:rFonts w:asciiTheme="majorHAnsi" w:hAnsiTheme="majorHAnsi" w:cstheme="majorHAnsi"/>
          <w:lang w:val="en-GB"/>
        </w:rPr>
      </w:pPr>
      <w:r>
        <w:rPr>
          <w:rFonts w:asciiTheme="majorHAnsi" w:hAnsiTheme="majorHAnsi" w:cstheme="majorHAnsi"/>
          <w:lang w:val="en-GB"/>
        </w:rPr>
        <w:t>Knowledge and Capability Transfer: Equip GCT Group’s leadership, operations, and technical teams with the competencies required to manage, optimise, and evolve the end-to-end ecosystem.</w:t>
      </w:r>
    </w:p>
    <w:p w14:paraId="62B6EA27" w14:textId="77777777" w:rsidR="002E0BCF" w:rsidRPr="00906E9B" w:rsidRDefault="002E0BCF" w:rsidP="00367AE4">
      <w:pPr>
        <w:numPr>
          <w:ilvl w:val="0"/>
          <w:numId w:val="13"/>
        </w:numPr>
        <w:spacing w:after="0" w:line="240" w:lineRule="auto"/>
        <w:rPr>
          <w:rFonts w:asciiTheme="majorHAnsi" w:hAnsiTheme="majorHAnsi" w:cstheme="majorHAnsi"/>
          <w:lang w:val="en-GB"/>
        </w:rPr>
      </w:pPr>
      <w:r>
        <w:rPr>
          <w:rFonts w:asciiTheme="majorHAnsi" w:hAnsiTheme="majorHAnsi" w:cstheme="majorHAnsi"/>
          <w:lang w:val="en-GB"/>
        </w:rPr>
        <w:t>Operational Continuity: Ensure a seamless transition with zero disruption to customer experience or business continuity.</w:t>
      </w:r>
    </w:p>
    <w:p w14:paraId="1E41BCB3" w14:textId="7D36A25E" w:rsidR="002E0BCF" w:rsidRPr="00906E9B" w:rsidRDefault="002E0BCF" w:rsidP="00367AE4">
      <w:pPr>
        <w:numPr>
          <w:ilvl w:val="0"/>
          <w:numId w:val="13"/>
        </w:numPr>
        <w:spacing w:after="0" w:line="240" w:lineRule="auto"/>
        <w:rPr>
          <w:rFonts w:asciiTheme="majorHAnsi" w:hAnsiTheme="majorHAnsi" w:cstheme="majorHAnsi"/>
          <w:lang w:val="en-GB"/>
        </w:rPr>
      </w:pPr>
      <w:r>
        <w:rPr>
          <w:rFonts w:asciiTheme="majorHAnsi" w:hAnsiTheme="majorHAnsi" w:cstheme="majorHAnsi"/>
          <w:lang w:val="en-GB"/>
        </w:rPr>
        <w:t>Governance and Handover Assurance: Implement clear documentation, sign-off criteria, and performance validation to confirm readiness for full transfer.</w:t>
      </w:r>
    </w:p>
    <w:p w14:paraId="68B657C2" w14:textId="2A8F25CB" w:rsidR="002E0BCF" w:rsidRPr="00906E9B" w:rsidRDefault="002E0BCF" w:rsidP="00367AE4">
      <w:pPr>
        <w:numPr>
          <w:ilvl w:val="0"/>
          <w:numId w:val="13"/>
        </w:numPr>
        <w:spacing w:after="0" w:line="240" w:lineRule="auto"/>
        <w:rPr>
          <w:rFonts w:asciiTheme="majorHAnsi" w:hAnsiTheme="majorHAnsi" w:cstheme="majorHAnsi"/>
          <w:lang w:val="en-GB"/>
        </w:rPr>
      </w:pPr>
      <w:r>
        <w:rPr>
          <w:rFonts w:asciiTheme="majorHAnsi" w:hAnsiTheme="majorHAnsi" w:cstheme="majorHAnsi"/>
          <w:lang w:val="en-GB"/>
        </w:rPr>
        <w:t>Future Independence: Enable GCT Group to confidently operate as a digital-first, customer-centric, and commercially agile MVNO post-handover.</w:t>
      </w:r>
    </w:p>
    <w:p w14:paraId="3651A729" w14:textId="402DC78A" w:rsidR="002E0BCF" w:rsidRPr="00EB79B0" w:rsidRDefault="002E0BCF" w:rsidP="00415126">
      <w:pPr>
        <w:pStyle w:val="Heading3"/>
        <w:numPr>
          <w:ilvl w:val="0"/>
          <w:numId w:val="20"/>
        </w:numPr>
        <w:rPr>
          <w:rFonts w:cstheme="majorHAnsi"/>
          <w:color w:val="auto"/>
          <w:lang w:val="en-GB"/>
        </w:rPr>
      </w:pPr>
      <w:bookmarkStart w:id="17" w:name="_Toc210841183"/>
      <w:bookmarkStart w:id="18" w:name="_Toc210841740"/>
      <w:bookmarkStart w:id="19" w:name="_Toc210893232"/>
      <w:bookmarkStart w:id="20" w:name="_Toc210912506"/>
      <w:r>
        <w:rPr>
          <w:rFonts w:cstheme="majorHAnsi"/>
          <w:color w:val="auto"/>
          <w:lang w:val="en-GB"/>
        </w:rPr>
        <w:t>Design of the Transfer Framework</w:t>
      </w:r>
      <w:bookmarkEnd w:id="17"/>
      <w:bookmarkEnd w:id="18"/>
      <w:bookmarkEnd w:id="19"/>
      <w:bookmarkEnd w:id="20"/>
    </w:p>
    <w:p w14:paraId="1ADEA22C" w14:textId="77777777" w:rsidR="00367AE4" w:rsidRPr="00367AE4" w:rsidRDefault="00367AE4" w:rsidP="00367AE4">
      <w:pPr>
        <w:rPr>
          <w:lang w:val="en-GB"/>
        </w:rPr>
      </w:pPr>
    </w:p>
    <w:p w14:paraId="7586A922" w14:textId="77777777" w:rsidR="002E0BCF"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The Transfer phase is structured into five integrated streams:</w:t>
      </w:r>
    </w:p>
    <w:p w14:paraId="5EE98FB7" w14:textId="77777777" w:rsidR="00046699" w:rsidRPr="00906E9B" w:rsidRDefault="00046699" w:rsidP="00691604">
      <w:pPr>
        <w:spacing w:after="0" w:line="240" w:lineRule="auto"/>
        <w:rPr>
          <w:rFonts w:asciiTheme="majorHAnsi" w:hAnsiTheme="majorHAnsi" w:cstheme="majorHAnsi"/>
          <w:lang w:val="en-GB"/>
        </w:rPr>
      </w:pPr>
    </w:p>
    <w:p w14:paraId="4A136401" w14:textId="77777777" w:rsidR="002E0BCF" w:rsidRPr="00046699" w:rsidRDefault="002E0BCF" w:rsidP="00691604">
      <w:pPr>
        <w:numPr>
          <w:ilvl w:val="0"/>
          <w:numId w:val="14"/>
        </w:numPr>
        <w:spacing w:after="0" w:line="240" w:lineRule="auto"/>
        <w:rPr>
          <w:rFonts w:asciiTheme="majorHAnsi" w:hAnsiTheme="majorHAnsi" w:cstheme="majorHAnsi"/>
          <w:b/>
          <w:bCs/>
          <w:lang w:val="en-GB"/>
        </w:rPr>
      </w:pPr>
      <w:r>
        <w:rPr>
          <w:rFonts w:asciiTheme="majorHAnsi" w:hAnsiTheme="majorHAnsi" w:cstheme="majorHAnsi"/>
          <w:b/>
          <w:bCs/>
          <w:lang w:val="en-GB"/>
        </w:rPr>
        <w:t>Operational Readiness</w:t>
      </w:r>
    </w:p>
    <w:p w14:paraId="64F04E81"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lastRenderedPageBreak/>
        <w:t>Comprehensive system audits and health checks.</w:t>
      </w:r>
    </w:p>
    <w:p w14:paraId="7200AA63" w14:textId="03B18FF1"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Final stabilisation of OSS/BSS, CVM, billing, CRM, and data platforms.</w:t>
      </w:r>
    </w:p>
    <w:p w14:paraId="1E959E04"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Verification of SLAs and KPI compliance over a 90-day operational validation window.</w:t>
      </w:r>
    </w:p>
    <w:p w14:paraId="6CDBB147" w14:textId="77777777" w:rsidR="002E0BCF" w:rsidRPr="00046699" w:rsidRDefault="002E0BCF" w:rsidP="00691604">
      <w:pPr>
        <w:numPr>
          <w:ilvl w:val="0"/>
          <w:numId w:val="14"/>
        </w:numPr>
        <w:spacing w:after="0" w:line="240" w:lineRule="auto"/>
        <w:rPr>
          <w:rFonts w:asciiTheme="majorHAnsi" w:hAnsiTheme="majorHAnsi" w:cstheme="majorHAnsi"/>
          <w:b/>
          <w:bCs/>
          <w:lang w:val="en-GB"/>
        </w:rPr>
      </w:pPr>
      <w:r>
        <w:rPr>
          <w:rFonts w:asciiTheme="majorHAnsi" w:hAnsiTheme="majorHAnsi" w:cstheme="majorHAnsi"/>
          <w:b/>
          <w:bCs/>
          <w:lang w:val="en-GB"/>
        </w:rPr>
        <w:t>Knowledge &amp; Skills Transfer</w:t>
      </w:r>
    </w:p>
    <w:p w14:paraId="432CE8FA"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Deployment of structured training programs, including:</w:t>
      </w:r>
    </w:p>
    <w:p w14:paraId="2CF2A626" w14:textId="77777777" w:rsidR="002E0BCF" w:rsidRPr="00906E9B" w:rsidRDefault="002E0BCF" w:rsidP="00691604">
      <w:pPr>
        <w:numPr>
          <w:ilvl w:val="2"/>
          <w:numId w:val="14"/>
        </w:numPr>
        <w:spacing w:after="0" w:line="240" w:lineRule="auto"/>
        <w:rPr>
          <w:rFonts w:asciiTheme="majorHAnsi" w:hAnsiTheme="majorHAnsi" w:cstheme="majorHAnsi"/>
          <w:lang w:val="en-GB"/>
        </w:rPr>
      </w:pPr>
      <w:r>
        <w:rPr>
          <w:rFonts w:asciiTheme="majorHAnsi" w:hAnsiTheme="majorHAnsi" w:cstheme="majorHAnsi"/>
          <w:lang w:val="en-GB"/>
        </w:rPr>
        <w:t>Executive leadership workshops (strategy, performance dashboards, innovation governance)</w:t>
      </w:r>
    </w:p>
    <w:p w14:paraId="73DCC5C9" w14:textId="77777777" w:rsidR="002E0BCF" w:rsidRPr="00906E9B" w:rsidRDefault="002E0BCF" w:rsidP="00691604">
      <w:pPr>
        <w:numPr>
          <w:ilvl w:val="2"/>
          <w:numId w:val="14"/>
        </w:numPr>
        <w:spacing w:after="0" w:line="240" w:lineRule="auto"/>
        <w:rPr>
          <w:rFonts w:asciiTheme="majorHAnsi" w:hAnsiTheme="majorHAnsi" w:cstheme="majorHAnsi"/>
          <w:lang w:val="en-GB"/>
        </w:rPr>
      </w:pPr>
      <w:r>
        <w:rPr>
          <w:rFonts w:asciiTheme="majorHAnsi" w:hAnsiTheme="majorHAnsi" w:cstheme="majorHAnsi"/>
          <w:lang w:val="en-GB"/>
        </w:rPr>
        <w:t>Functional team shadowing (network operations, product management, customer experience)</w:t>
      </w:r>
    </w:p>
    <w:p w14:paraId="779CA2E2" w14:textId="77777777" w:rsidR="002E0BCF" w:rsidRPr="00906E9B" w:rsidRDefault="002E0BCF" w:rsidP="00691604">
      <w:pPr>
        <w:numPr>
          <w:ilvl w:val="2"/>
          <w:numId w:val="14"/>
        </w:numPr>
        <w:spacing w:after="0" w:line="240" w:lineRule="auto"/>
        <w:rPr>
          <w:rFonts w:asciiTheme="majorHAnsi" w:hAnsiTheme="majorHAnsi" w:cstheme="majorHAnsi"/>
          <w:lang w:val="en-GB"/>
        </w:rPr>
      </w:pPr>
      <w:r>
        <w:rPr>
          <w:rFonts w:asciiTheme="majorHAnsi" w:hAnsiTheme="majorHAnsi" w:cstheme="majorHAnsi"/>
          <w:lang w:val="en-GB"/>
        </w:rPr>
        <w:t>Technical knowledge transfer (architecture blueprints, API catalogs, data models)</w:t>
      </w:r>
    </w:p>
    <w:p w14:paraId="4F21A379" w14:textId="689574AB"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Creation of a “Transfer Playbook” for each domain, detailing operational procedures, escalation matrices, and optimisation levers.</w:t>
      </w:r>
    </w:p>
    <w:p w14:paraId="58893E09" w14:textId="77777777" w:rsidR="002E0BCF" w:rsidRPr="00046699" w:rsidRDefault="002E0BCF" w:rsidP="00691604">
      <w:pPr>
        <w:numPr>
          <w:ilvl w:val="0"/>
          <w:numId w:val="14"/>
        </w:numPr>
        <w:spacing w:after="0" w:line="240" w:lineRule="auto"/>
        <w:rPr>
          <w:rFonts w:asciiTheme="majorHAnsi" w:hAnsiTheme="majorHAnsi" w:cstheme="majorHAnsi"/>
          <w:b/>
          <w:bCs/>
          <w:lang w:val="en-GB"/>
        </w:rPr>
      </w:pPr>
      <w:r>
        <w:rPr>
          <w:rFonts w:asciiTheme="majorHAnsi" w:hAnsiTheme="majorHAnsi" w:cstheme="majorHAnsi"/>
          <w:b/>
          <w:bCs/>
          <w:lang w:val="en-GB"/>
        </w:rPr>
        <w:t>Documentation &amp; Governance</w:t>
      </w:r>
    </w:p>
    <w:p w14:paraId="241DBA62"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Delivery of all technical and operational documentation, including:</w:t>
      </w:r>
    </w:p>
    <w:p w14:paraId="238416A6" w14:textId="77777777" w:rsidR="002E0BCF" w:rsidRPr="00906E9B" w:rsidRDefault="002E0BCF" w:rsidP="00691604">
      <w:pPr>
        <w:numPr>
          <w:ilvl w:val="2"/>
          <w:numId w:val="14"/>
        </w:numPr>
        <w:spacing w:after="0" w:line="240" w:lineRule="auto"/>
        <w:rPr>
          <w:rFonts w:asciiTheme="majorHAnsi" w:hAnsiTheme="majorHAnsi" w:cstheme="majorHAnsi"/>
          <w:lang w:val="en-GB"/>
        </w:rPr>
      </w:pPr>
      <w:r>
        <w:rPr>
          <w:rFonts w:asciiTheme="majorHAnsi" w:hAnsiTheme="majorHAnsi" w:cstheme="majorHAnsi"/>
          <w:lang w:val="en-GB"/>
        </w:rPr>
        <w:t>Architecture diagrams, workflow maps, and configuration logs.</w:t>
      </w:r>
    </w:p>
    <w:p w14:paraId="1D659800" w14:textId="77777777" w:rsidR="002E0BCF" w:rsidRPr="00906E9B" w:rsidRDefault="002E0BCF" w:rsidP="00691604">
      <w:pPr>
        <w:numPr>
          <w:ilvl w:val="2"/>
          <w:numId w:val="14"/>
        </w:numPr>
        <w:spacing w:after="0" w:line="240" w:lineRule="auto"/>
        <w:rPr>
          <w:rFonts w:asciiTheme="majorHAnsi" w:hAnsiTheme="majorHAnsi" w:cstheme="majorHAnsi"/>
          <w:lang w:val="en-GB"/>
        </w:rPr>
      </w:pPr>
      <w:r>
        <w:rPr>
          <w:rFonts w:asciiTheme="majorHAnsi" w:hAnsiTheme="majorHAnsi" w:cstheme="majorHAnsi"/>
          <w:lang w:val="en-GB"/>
        </w:rPr>
        <w:t>Process documentation, SOPs, SLAs, and system ownership records.</w:t>
      </w:r>
    </w:p>
    <w:p w14:paraId="5D850C98"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Governance structure defining post-transfer accountability, reporting cadence, and change control.</w:t>
      </w:r>
    </w:p>
    <w:p w14:paraId="5440FFD4" w14:textId="77777777" w:rsidR="002E0BCF" w:rsidRPr="00046699" w:rsidRDefault="002E0BCF" w:rsidP="00691604">
      <w:pPr>
        <w:numPr>
          <w:ilvl w:val="0"/>
          <w:numId w:val="14"/>
        </w:numPr>
        <w:spacing w:after="0" w:line="240" w:lineRule="auto"/>
        <w:rPr>
          <w:rFonts w:asciiTheme="majorHAnsi" w:hAnsiTheme="majorHAnsi" w:cstheme="majorHAnsi"/>
          <w:b/>
          <w:bCs/>
          <w:lang w:val="en-GB"/>
        </w:rPr>
      </w:pPr>
      <w:r>
        <w:rPr>
          <w:rFonts w:asciiTheme="majorHAnsi" w:hAnsiTheme="majorHAnsi" w:cstheme="majorHAnsi"/>
          <w:b/>
          <w:bCs/>
          <w:lang w:val="en-GB"/>
        </w:rPr>
        <w:t>Performance Benchmarking &amp; Validation</w:t>
      </w:r>
    </w:p>
    <w:p w14:paraId="5CA35556"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Measurement of key commercial and operational indicators over the final 90-day transition:</w:t>
      </w:r>
    </w:p>
    <w:p w14:paraId="010D9E9C" w14:textId="77777777" w:rsidR="002E0BCF" w:rsidRPr="00906E9B" w:rsidRDefault="002E0BCF" w:rsidP="00691604">
      <w:pPr>
        <w:numPr>
          <w:ilvl w:val="2"/>
          <w:numId w:val="14"/>
        </w:numPr>
        <w:spacing w:after="0" w:line="240" w:lineRule="auto"/>
        <w:rPr>
          <w:rFonts w:asciiTheme="majorHAnsi" w:hAnsiTheme="majorHAnsi" w:cstheme="majorHAnsi"/>
          <w:lang w:val="en-GB"/>
        </w:rPr>
      </w:pPr>
      <w:r>
        <w:rPr>
          <w:rFonts w:asciiTheme="majorHAnsi" w:hAnsiTheme="majorHAnsi" w:cstheme="majorHAnsi"/>
          <w:lang w:val="en-GB"/>
        </w:rPr>
        <w:t>ARPU, churn, network uptime, service activation, and customer satisfaction metrics.</w:t>
      </w:r>
    </w:p>
    <w:p w14:paraId="028A7C66" w14:textId="1419AEE6"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Joint performance validation and final acceptance sign-off by GCT Group and MVNE leadership.</w:t>
      </w:r>
    </w:p>
    <w:p w14:paraId="15D3119A" w14:textId="77777777" w:rsidR="002E0BCF" w:rsidRPr="00046699" w:rsidRDefault="002E0BCF" w:rsidP="00691604">
      <w:pPr>
        <w:numPr>
          <w:ilvl w:val="0"/>
          <w:numId w:val="14"/>
        </w:numPr>
        <w:spacing w:after="0" w:line="240" w:lineRule="auto"/>
        <w:rPr>
          <w:rFonts w:asciiTheme="majorHAnsi" w:hAnsiTheme="majorHAnsi" w:cstheme="majorHAnsi"/>
          <w:b/>
          <w:bCs/>
          <w:lang w:val="en-GB"/>
        </w:rPr>
      </w:pPr>
      <w:r>
        <w:rPr>
          <w:rFonts w:asciiTheme="majorHAnsi" w:hAnsiTheme="majorHAnsi" w:cstheme="majorHAnsi"/>
          <w:b/>
          <w:bCs/>
          <w:lang w:val="en-GB"/>
        </w:rPr>
        <w:t>Exit &amp; Support Assurance</w:t>
      </w:r>
    </w:p>
    <w:p w14:paraId="5D56F6ED" w14:textId="5995DCFE"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Provision of a 3–6-month post-transfer support period.</w:t>
      </w:r>
    </w:p>
    <w:p w14:paraId="6C4BD992"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Establishment of escalation channels for post-handover issues.</w:t>
      </w:r>
    </w:p>
    <w:p w14:paraId="34E694C0" w14:textId="77777777" w:rsidR="002E0BCF" w:rsidRPr="00906E9B" w:rsidRDefault="002E0BCF" w:rsidP="00691604">
      <w:pPr>
        <w:numPr>
          <w:ilvl w:val="1"/>
          <w:numId w:val="14"/>
        </w:numPr>
        <w:spacing w:after="0" w:line="240" w:lineRule="auto"/>
        <w:rPr>
          <w:rFonts w:asciiTheme="majorHAnsi" w:hAnsiTheme="majorHAnsi" w:cstheme="majorHAnsi"/>
          <w:lang w:val="en-GB"/>
        </w:rPr>
      </w:pPr>
      <w:r>
        <w:rPr>
          <w:rFonts w:asciiTheme="majorHAnsi" w:hAnsiTheme="majorHAnsi" w:cstheme="majorHAnsi"/>
          <w:lang w:val="en-GB"/>
        </w:rPr>
        <w:t>Final “Go-Independent” certification confirming successful transfer and full operational autonomy.</w:t>
      </w:r>
    </w:p>
    <w:p w14:paraId="0CE55402" w14:textId="40910EC5" w:rsidR="002E0BCF" w:rsidRPr="00906E9B" w:rsidRDefault="002E0BCF" w:rsidP="00691604">
      <w:pPr>
        <w:spacing w:after="0" w:line="240" w:lineRule="auto"/>
        <w:rPr>
          <w:rFonts w:asciiTheme="majorHAnsi" w:hAnsiTheme="majorHAnsi" w:cstheme="majorHAnsi"/>
          <w:lang w:val="en-GB"/>
        </w:rPr>
      </w:pPr>
    </w:p>
    <w:p w14:paraId="54D4846D" w14:textId="551CF3D4" w:rsidR="002E0BCF" w:rsidRPr="00EB79B0" w:rsidRDefault="002E0BCF" w:rsidP="00691604">
      <w:pPr>
        <w:pStyle w:val="Heading3"/>
        <w:numPr>
          <w:ilvl w:val="0"/>
          <w:numId w:val="20"/>
        </w:numPr>
        <w:spacing w:before="0" w:line="240" w:lineRule="auto"/>
        <w:rPr>
          <w:rFonts w:cstheme="majorHAnsi"/>
          <w:color w:val="auto"/>
          <w:lang w:val="en-GB"/>
        </w:rPr>
      </w:pPr>
      <w:bookmarkStart w:id="21" w:name="_Toc210841184"/>
      <w:bookmarkStart w:id="22" w:name="_Toc210841741"/>
      <w:bookmarkStart w:id="23" w:name="_Toc210893233"/>
      <w:bookmarkStart w:id="24" w:name="_Toc210912507"/>
      <w:r>
        <w:rPr>
          <w:rFonts w:cstheme="majorHAnsi"/>
          <w:color w:val="auto"/>
          <w:lang w:val="en-GB"/>
        </w:rPr>
        <w:t>Implementation Roadmap</w:t>
      </w:r>
      <w:bookmarkEnd w:id="21"/>
      <w:bookmarkEnd w:id="22"/>
      <w:bookmarkEnd w:id="23"/>
      <w:bookmarkEnd w:id="24"/>
    </w:p>
    <w:p w14:paraId="40E8CBCD" w14:textId="77777777" w:rsidR="00BE4738" w:rsidRPr="00BE4738" w:rsidRDefault="00BE4738" w:rsidP="00691604">
      <w:pPr>
        <w:spacing w:after="0" w:line="240" w:lineRule="auto"/>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871"/>
        <w:gridCol w:w="3589"/>
        <w:gridCol w:w="2115"/>
      </w:tblGrid>
      <w:tr w:rsidR="002E0BCF" w:rsidRPr="00906E9B" w14:paraId="5FBB5203" w14:textId="77777777">
        <w:trPr>
          <w:tblHeader/>
          <w:tblCellSpacing w:w="15" w:type="dxa"/>
        </w:trPr>
        <w:tc>
          <w:tcPr>
            <w:tcW w:w="0" w:type="auto"/>
            <w:vAlign w:val="center"/>
            <w:hideMark/>
          </w:tcPr>
          <w:p w14:paraId="77E9302C" w14:textId="77777777" w:rsidR="002E0BCF" w:rsidRPr="00BE4738" w:rsidRDefault="002E0BCF" w:rsidP="00691604">
            <w:pPr>
              <w:spacing w:after="0" w:line="240" w:lineRule="auto"/>
              <w:rPr>
                <w:rFonts w:asciiTheme="majorHAnsi" w:hAnsiTheme="majorHAnsi" w:cstheme="majorHAnsi"/>
                <w:b/>
                <w:bCs/>
                <w:lang w:val="en-GB"/>
              </w:rPr>
            </w:pPr>
            <w:r>
              <w:rPr>
                <w:rFonts w:asciiTheme="majorHAnsi" w:hAnsiTheme="majorHAnsi" w:cstheme="majorHAnsi"/>
                <w:b/>
                <w:bCs/>
                <w:lang w:val="en-GB"/>
              </w:rPr>
              <w:t>Phase</w:t>
            </w:r>
          </w:p>
        </w:tc>
        <w:tc>
          <w:tcPr>
            <w:tcW w:w="0" w:type="auto"/>
            <w:vAlign w:val="center"/>
            <w:hideMark/>
          </w:tcPr>
          <w:p w14:paraId="47E9FB60" w14:textId="77777777" w:rsidR="002E0BCF" w:rsidRPr="00BE4738" w:rsidRDefault="002E0BCF" w:rsidP="00691604">
            <w:pPr>
              <w:spacing w:after="0" w:line="240" w:lineRule="auto"/>
              <w:rPr>
                <w:rFonts w:asciiTheme="majorHAnsi" w:hAnsiTheme="majorHAnsi" w:cstheme="majorHAnsi"/>
                <w:b/>
                <w:bCs/>
                <w:lang w:val="en-GB"/>
              </w:rPr>
            </w:pPr>
            <w:r>
              <w:rPr>
                <w:rFonts w:asciiTheme="majorHAnsi" w:hAnsiTheme="majorHAnsi" w:cstheme="majorHAnsi"/>
                <w:b/>
                <w:bCs/>
                <w:lang w:val="en-GB"/>
              </w:rPr>
              <w:t>Duration</w:t>
            </w:r>
          </w:p>
        </w:tc>
        <w:tc>
          <w:tcPr>
            <w:tcW w:w="0" w:type="auto"/>
            <w:vAlign w:val="center"/>
            <w:hideMark/>
          </w:tcPr>
          <w:p w14:paraId="765D6139" w14:textId="77777777" w:rsidR="002E0BCF" w:rsidRPr="00BE4738" w:rsidRDefault="002E0BCF" w:rsidP="00691604">
            <w:pPr>
              <w:spacing w:after="0" w:line="240" w:lineRule="auto"/>
              <w:rPr>
                <w:rFonts w:asciiTheme="majorHAnsi" w:hAnsiTheme="majorHAnsi" w:cstheme="majorHAnsi"/>
                <w:b/>
                <w:bCs/>
                <w:lang w:val="en-GB"/>
              </w:rPr>
            </w:pPr>
            <w:r>
              <w:rPr>
                <w:rFonts w:asciiTheme="majorHAnsi" w:hAnsiTheme="majorHAnsi" w:cstheme="majorHAnsi"/>
                <w:b/>
                <w:bCs/>
                <w:lang w:val="en-GB"/>
              </w:rPr>
              <w:t>Key Activities</w:t>
            </w:r>
          </w:p>
        </w:tc>
        <w:tc>
          <w:tcPr>
            <w:tcW w:w="0" w:type="auto"/>
            <w:vAlign w:val="center"/>
            <w:hideMark/>
          </w:tcPr>
          <w:p w14:paraId="7767AF41" w14:textId="77777777" w:rsidR="002E0BCF" w:rsidRPr="00BE4738" w:rsidRDefault="002E0BCF" w:rsidP="00691604">
            <w:pPr>
              <w:spacing w:after="0" w:line="240" w:lineRule="auto"/>
              <w:rPr>
                <w:rFonts w:asciiTheme="majorHAnsi" w:hAnsiTheme="majorHAnsi" w:cstheme="majorHAnsi"/>
                <w:b/>
                <w:bCs/>
                <w:lang w:val="en-GB"/>
              </w:rPr>
            </w:pPr>
            <w:r>
              <w:rPr>
                <w:rFonts w:asciiTheme="majorHAnsi" w:hAnsiTheme="majorHAnsi" w:cstheme="majorHAnsi"/>
                <w:b/>
                <w:bCs/>
                <w:lang w:val="en-GB"/>
              </w:rPr>
              <w:t>Deliverables</w:t>
            </w:r>
          </w:p>
        </w:tc>
      </w:tr>
      <w:tr w:rsidR="002E0BCF" w:rsidRPr="00906E9B" w14:paraId="1932485E" w14:textId="77777777">
        <w:trPr>
          <w:tblCellSpacing w:w="15" w:type="dxa"/>
        </w:trPr>
        <w:tc>
          <w:tcPr>
            <w:tcW w:w="0" w:type="auto"/>
            <w:vAlign w:val="center"/>
            <w:hideMark/>
          </w:tcPr>
          <w:p w14:paraId="3046319B"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T1 – Preparation &amp; Planning</w:t>
            </w:r>
          </w:p>
        </w:tc>
        <w:tc>
          <w:tcPr>
            <w:tcW w:w="0" w:type="auto"/>
            <w:vAlign w:val="center"/>
            <w:hideMark/>
          </w:tcPr>
          <w:p w14:paraId="0FE9CC19" w14:textId="343540EF"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Weeks 1</w:t>
            </w:r>
          </w:p>
        </w:tc>
        <w:tc>
          <w:tcPr>
            <w:tcW w:w="0" w:type="auto"/>
            <w:vAlign w:val="center"/>
            <w:hideMark/>
          </w:tcPr>
          <w:p w14:paraId="174784D2" w14:textId="340893E3"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Define transfer scope, finalise audit findings, agree success metrics.</w:t>
            </w:r>
          </w:p>
        </w:tc>
        <w:tc>
          <w:tcPr>
            <w:tcW w:w="0" w:type="auto"/>
            <w:vAlign w:val="center"/>
            <w:hideMark/>
          </w:tcPr>
          <w:p w14:paraId="2DBF266F"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Transfer Plan, Acceptance Criteria</w:t>
            </w:r>
          </w:p>
        </w:tc>
      </w:tr>
      <w:tr w:rsidR="002E0BCF" w:rsidRPr="00906E9B" w14:paraId="68573021" w14:textId="77777777">
        <w:trPr>
          <w:tblCellSpacing w:w="15" w:type="dxa"/>
        </w:trPr>
        <w:tc>
          <w:tcPr>
            <w:tcW w:w="0" w:type="auto"/>
            <w:vAlign w:val="center"/>
            <w:hideMark/>
          </w:tcPr>
          <w:p w14:paraId="390F0209"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T2 – Knowledge Transfer &amp; Training</w:t>
            </w:r>
          </w:p>
        </w:tc>
        <w:tc>
          <w:tcPr>
            <w:tcW w:w="0" w:type="auto"/>
            <w:vAlign w:val="center"/>
            <w:hideMark/>
          </w:tcPr>
          <w:p w14:paraId="0FCDDC7A" w14:textId="5920D54E"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Weeks 2</w:t>
            </w:r>
          </w:p>
        </w:tc>
        <w:tc>
          <w:tcPr>
            <w:tcW w:w="0" w:type="auto"/>
            <w:vAlign w:val="center"/>
            <w:hideMark/>
          </w:tcPr>
          <w:p w14:paraId="678FF98D"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Conduct workshops, job shadowing, system walk-throughs.</w:t>
            </w:r>
          </w:p>
        </w:tc>
        <w:tc>
          <w:tcPr>
            <w:tcW w:w="0" w:type="auto"/>
            <w:vAlign w:val="center"/>
            <w:hideMark/>
          </w:tcPr>
          <w:p w14:paraId="19659022"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Training Completion Reports</w:t>
            </w:r>
          </w:p>
        </w:tc>
      </w:tr>
      <w:tr w:rsidR="002E0BCF" w:rsidRPr="00906E9B" w14:paraId="50C93BEA" w14:textId="77777777">
        <w:trPr>
          <w:tblCellSpacing w:w="15" w:type="dxa"/>
        </w:trPr>
        <w:tc>
          <w:tcPr>
            <w:tcW w:w="0" w:type="auto"/>
            <w:vAlign w:val="center"/>
            <w:hideMark/>
          </w:tcPr>
          <w:p w14:paraId="73DE62A3"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T3 – Operational Validation</w:t>
            </w:r>
          </w:p>
        </w:tc>
        <w:tc>
          <w:tcPr>
            <w:tcW w:w="0" w:type="auto"/>
            <w:vAlign w:val="center"/>
            <w:hideMark/>
          </w:tcPr>
          <w:p w14:paraId="357B02B3" w14:textId="59793BD1"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Weeks 3</w:t>
            </w:r>
          </w:p>
        </w:tc>
        <w:tc>
          <w:tcPr>
            <w:tcW w:w="0" w:type="auto"/>
            <w:vAlign w:val="center"/>
            <w:hideMark/>
          </w:tcPr>
          <w:p w14:paraId="4B234DB1"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Live operations under supervision, monitor performance and SLAs.</w:t>
            </w:r>
          </w:p>
        </w:tc>
        <w:tc>
          <w:tcPr>
            <w:tcW w:w="0" w:type="auto"/>
            <w:vAlign w:val="center"/>
            <w:hideMark/>
          </w:tcPr>
          <w:p w14:paraId="24684FC7"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Readiness Dashboard, KPI Validation</w:t>
            </w:r>
          </w:p>
        </w:tc>
      </w:tr>
      <w:tr w:rsidR="002E0BCF" w:rsidRPr="00906E9B" w14:paraId="69032974" w14:textId="77777777" w:rsidTr="00D02524">
        <w:trPr>
          <w:trHeight w:val="30"/>
          <w:tblCellSpacing w:w="15" w:type="dxa"/>
        </w:trPr>
        <w:tc>
          <w:tcPr>
            <w:tcW w:w="0" w:type="auto"/>
            <w:vAlign w:val="center"/>
            <w:hideMark/>
          </w:tcPr>
          <w:p w14:paraId="530C69CE"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T4 – Handover &amp; Certification</w:t>
            </w:r>
          </w:p>
        </w:tc>
        <w:tc>
          <w:tcPr>
            <w:tcW w:w="0" w:type="auto"/>
            <w:vAlign w:val="center"/>
            <w:hideMark/>
          </w:tcPr>
          <w:p w14:paraId="1E43EFF6" w14:textId="77235CBC"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Weeks 4</w:t>
            </w:r>
          </w:p>
        </w:tc>
        <w:tc>
          <w:tcPr>
            <w:tcW w:w="0" w:type="auto"/>
            <w:vAlign w:val="center"/>
            <w:hideMark/>
          </w:tcPr>
          <w:p w14:paraId="2F5967F7"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Execute final handover, documentation transfer, governance activation.</w:t>
            </w:r>
          </w:p>
        </w:tc>
        <w:tc>
          <w:tcPr>
            <w:tcW w:w="0" w:type="auto"/>
            <w:vAlign w:val="center"/>
            <w:hideMark/>
          </w:tcPr>
          <w:p w14:paraId="13F64008" w14:textId="77777777"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Handover Certificates, Support MoU</w:t>
            </w:r>
          </w:p>
        </w:tc>
      </w:tr>
    </w:tbl>
    <w:p w14:paraId="5308FF56" w14:textId="7FD38ECD" w:rsidR="002E0BCF" w:rsidRPr="00EB79B0" w:rsidRDefault="002E0BCF" w:rsidP="004B5E9E">
      <w:pPr>
        <w:pStyle w:val="Heading3"/>
        <w:numPr>
          <w:ilvl w:val="0"/>
          <w:numId w:val="20"/>
        </w:numPr>
        <w:spacing w:before="0" w:line="240" w:lineRule="auto"/>
        <w:rPr>
          <w:rFonts w:cstheme="majorHAnsi"/>
          <w:color w:val="auto"/>
          <w:lang w:val="en-GB"/>
        </w:rPr>
      </w:pPr>
      <w:bookmarkStart w:id="25" w:name="_Toc210912508"/>
      <w:r>
        <w:rPr>
          <w:rFonts w:cstheme="majorHAnsi"/>
          <w:color w:val="auto"/>
          <w:lang w:val="en-GB"/>
        </w:rPr>
        <w:lastRenderedPageBreak/>
        <w:t>Executive Oversight</w:t>
      </w:r>
      <w:bookmarkEnd w:id="25"/>
    </w:p>
    <w:p w14:paraId="5D5A90D5" w14:textId="0A5AAB48" w:rsidR="002E0BCF" w:rsidRPr="00EB79B0" w:rsidRDefault="002E0BCF" w:rsidP="00691604">
      <w:pPr>
        <w:spacing w:after="0" w:line="240" w:lineRule="auto"/>
        <w:rPr>
          <w:rFonts w:asciiTheme="majorHAnsi" w:hAnsiTheme="majorHAnsi" w:cstheme="majorHAnsi"/>
          <w:b/>
          <w:bCs/>
          <w:lang w:val="en-GB"/>
        </w:rPr>
      </w:pPr>
      <w:r>
        <w:rPr>
          <w:rFonts w:asciiTheme="majorHAnsi" w:hAnsiTheme="majorHAnsi" w:cstheme="majorHAnsi"/>
          <w:lang w:val="en-GB"/>
        </w:rPr>
        <w:t xml:space="preserve">A Joint Transfer Steering Committee—co-chaired by the GCT Group CEO and DSG CEO—will oversee the transition, ensuring alignment on milestones, risk mitigation, and continuity of strategic </w:t>
      </w:r>
      <w:r>
        <w:rPr>
          <w:rFonts w:asciiTheme="majorHAnsi" w:hAnsiTheme="majorHAnsi" w:cstheme="majorHAnsi"/>
          <w:b/>
          <w:bCs/>
          <w:lang w:val="en-GB"/>
        </w:rPr>
        <w:t>intent.</w:t>
      </w:r>
    </w:p>
    <w:p w14:paraId="76732CE4" w14:textId="21FDB17D" w:rsidR="002E0BCF" w:rsidRPr="00EB79B0" w:rsidRDefault="002E0BCF" w:rsidP="004B5E9E">
      <w:pPr>
        <w:pStyle w:val="Heading3"/>
        <w:numPr>
          <w:ilvl w:val="0"/>
          <w:numId w:val="20"/>
        </w:numPr>
        <w:spacing w:before="0" w:line="240" w:lineRule="auto"/>
        <w:rPr>
          <w:rFonts w:cstheme="majorHAnsi"/>
          <w:color w:val="auto"/>
          <w:lang w:val="en-GB"/>
        </w:rPr>
      </w:pPr>
      <w:bookmarkStart w:id="26" w:name="_Toc210912509"/>
      <w:r>
        <w:rPr>
          <w:rFonts w:cstheme="majorHAnsi"/>
          <w:color w:val="auto"/>
          <w:lang w:val="en-GB"/>
        </w:rPr>
        <w:t>Outcome</w:t>
      </w:r>
      <w:bookmarkEnd w:id="26"/>
    </w:p>
    <w:p w14:paraId="3B8E2E26" w14:textId="15ECE18D" w:rsidR="002E0BCF" w:rsidRPr="00906E9B" w:rsidRDefault="002E0BCF" w:rsidP="00691604">
      <w:pPr>
        <w:spacing w:after="0" w:line="240" w:lineRule="auto"/>
        <w:rPr>
          <w:rFonts w:asciiTheme="majorHAnsi" w:hAnsiTheme="majorHAnsi" w:cstheme="majorHAnsi"/>
          <w:lang w:val="en-GB"/>
        </w:rPr>
      </w:pPr>
      <w:r>
        <w:rPr>
          <w:rFonts w:asciiTheme="majorHAnsi" w:hAnsiTheme="majorHAnsi" w:cstheme="majorHAnsi"/>
          <w:lang w:val="en-GB"/>
        </w:rPr>
        <w:t>Upon completion, GCT Group will own and control a future-ready, cloud-native telecom operation with:</w:t>
      </w:r>
    </w:p>
    <w:p w14:paraId="588D4371" w14:textId="77777777" w:rsidR="002E0BCF" w:rsidRPr="00906E9B" w:rsidRDefault="002E0BCF" w:rsidP="00691604">
      <w:pPr>
        <w:numPr>
          <w:ilvl w:val="0"/>
          <w:numId w:val="15"/>
        </w:numPr>
        <w:spacing w:after="0" w:line="240" w:lineRule="auto"/>
        <w:rPr>
          <w:rFonts w:asciiTheme="majorHAnsi" w:hAnsiTheme="majorHAnsi" w:cstheme="majorHAnsi"/>
          <w:lang w:val="en-GB"/>
        </w:rPr>
      </w:pPr>
      <w:r>
        <w:rPr>
          <w:rFonts w:asciiTheme="majorHAnsi" w:hAnsiTheme="majorHAnsi" w:cstheme="majorHAnsi"/>
          <w:lang w:val="en-GB"/>
        </w:rPr>
        <w:t>Proven digital architecture.</w:t>
      </w:r>
    </w:p>
    <w:p w14:paraId="3E612583" w14:textId="77777777" w:rsidR="002E0BCF" w:rsidRPr="00906E9B" w:rsidRDefault="002E0BCF" w:rsidP="00691604">
      <w:pPr>
        <w:numPr>
          <w:ilvl w:val="0"/>
          <w:numId w:val="15"/>
        </w:numPr>
        <w:spacing w:after="0" w:line="240" w:lineRule="auto"/>
        <w:rPr>
          <w:rFonts w:asciiTheme="majorHAnsi" w:hAnsiTheme="majorHAnsi" w:cstheme="majorHAnsi"/>
          <w:lang w:val="en-GB"/>
        </w:rPr>
      </w:pPr>
      <w:r>
        <w:rPr>
          <w:rFonts w:asciiTheme="majorHAnsi" w:hAnsiTheme="majorHAnsi" w:cstheme="majorHAnsi"/>
          <w:lang w:val="en-GB"/>
        </w:rPr>
        <w:t>Empowered teams and leadership capability.</w:t>
      </w:r>
    </w:p>
    <w:p w14:paraId="2FE8D5CD" w14:textId="77777777" w:rsidR="002E0BCF" w:rsidRPr="00906E9B" w:rsidRDefault="002E0BCF" w:rsidP="00691604">
      <w:pPr>
        <w:numPr>
          <w:ilvl w:val="0"/>
          <w:numId w:val="15"/>
        </w:numPr>
        <w:spacing w:after="0" w:line="240" w:lineRule="auto"/>
        <w:rPr>
          <w:rFonts w:asciiTheme="majorHAnsi" w:hAnsiTheme="majorHAnsi" w:cstheme="majorHAnsi"/>
          <w:lang w:val="en-GB"/>
        </w:rPr>
      </w:pPr>
      <w:r>
        <w:rPr>
          <w:rFonts w:asciiTheme="majorHAnsi" w:hAnsiTheme="majorHAnsi" w:cstheme="majorHAnsi"/>
          <w:lang w:val="en-GB"/>
        </w:rPr>
        <w:t>Documented operational frameworks.</w:t>
      </w:r>
    </w:p>
    <w:p w14:paraId="125EF0B1" w14:textId="77777777" w:rsidR="002E0BCF" w:rsidRPr="00906E9B" w:rsidRDefault="002E0BCF" w:rsidP="00691604">
      <w:pPr>
        <w:numPr>
          <w:ilvl w:val="0"/>
          <w:numId w:val="15"/>
        </w:numPr>
        <w:spacing w:after="0" w:line="240" w:lineRule="auto"/>
        <w:rPr>
          <w:rFonts w:asciiTheme="majorHAnsi" w:hAnsiTheme="majorHAnsi" w:cstheme="majorHAnsi"/>
          <w:lang w:val="en-GB"/>
        </w:rPr>
      </w:pPr>
      <w:r>
        <w:rPr>
          <w:rFonts w:asciiTheme="majorHAnsi" w:hAnsiTheme="majorHAnsi" w:cstheme="majorHAnsi"/>
          <w:lang w:val="en-GB"/>
        </w:rPr>
        <w:t>Sustained post-transfer support and mentorship.</w:t>
      </w:r>
    </w:p>
    <w:p w14:paraId="19EC8F7F" w14:textId="76FD0F6D" w:rsidR="00F31B06" w:rsidRDefault="002E0BCF" w:rsidP="00691604">
      <w:pPr>
        <w:spacing w:after="0" w:line="240" w:lineRule="auto"/>
        <w:jc w:val="both"/>
        <w:rPr>
          <w:rFonts w:asciiTheme="majorHAnsi" w:hAnsiTheme="majorHAnsi" w:cstheme="majorHAnsi"/>
          <w:lang w:val="en-GB"/>
        </w:rPr>
      </w:pPr>
      <w:r>
        <w:rPr>
          <w:rFonts w:asciiTheme="majorHAnsi" w:hAnsiTheme="majorHAnsi" w:cstheme="majorHAnsi"/>
          <w:lang w:val="en-GB"/>
        </w:rPr>
        <w:t>This marks the successful conclusion of the DBOT journey—transforming GCT Group into an independent, data-driven, and customer-centric telecom operator positioned for growth, innovation, and competitive advantage.</w:t>
      </w:r>
    </w:p>
    <w:p w14:paraId="48C1F368" w14:textId="77777777" w:rsidR="004B5E9E" w:rsidRPr="00906E9B" w:rsidRDefault="004B5E9E" w:rsidP="00691604">
      <w:pPr>
        <w:spacing w:after="0" w:line="240" w:lineRule="auto"/>
        <w:jc w:val="both"/>
        <w:rPr>
          <w:rFonts w:asciiTheme="majorHAnsi" w:eastAsiaTheme="majorEastAsia" w:hAnsiTheme="majorHAnsi" w:cstheme="majorHAnsi"/>
          <w:b/>
          <w:bCs/>
          <w:color w:val="365F91" w:themeColor="accent1" w:themeShade="BF"/>
          <w:sz w:val="28"/>
          <w:szCs w:val="28"/>
        </w:rPr>
      </w:pPr>
    </w:p>
    <w:p w14:paraId="12D5DD30" w14:textId="3529A6B0" w:rsidR="006B50DB" w:rsidRPr="00EB79B0" w:rsidRDefault="00592109" w:rsidP="00691604">
      <w:pPr>
        <w:pStyle w:val="Heading1"/>
        <w:numPr>
          <w:ilvl w:val="0"/>
          <w:numId w:val="21"/>
        </w:numPr>
        <w:spacing w:before="0" w:line="240" w:lineRule="auto"/>
        <w:rPr>
          <w:rFonts w:cstheme="majorHAnsi"/>
          <w:color w:val="auto"/>
        </w:rPr>
      </w:pPr>
      <w:bookmarkStart w:id="27" w:name="_Toc210912510"/>
      <w:r>
        <w:rPr>
          <w:rFonts w:cstheme="majorHAnsi"/>
          <w:color w:val="auto"/>
        </w:rPr>
        <w:t>Deliverables</w:t>
      </w:r>
      <w:bookmarkEnd w:id="27"/>
    </w:p>
    <w:p w14:paraId="0022FD6E" w14:textId="77777777" w:rsidR="0022278A" w:rsidRPr="00906E9B" w:rsidRDefault="0022278A" w:rsidP="00691604">
      <w:pPr>
        <w:spacing w:after="0" w:line="240" w:lineRule="auto"/>
        <w:rPr>
          <w:rFonts w:asciiTheme="majorHAnsi" w:hAnsiTheme="majorHAnsi" w:cstheme="majorHAnsi"/>
        </w:rPr>
      </w:pPr>
    </w:p>
    <w:p w14:paraId="61004BAF" w14:textId="77777777" w:rsidR="001B1F18" w:rsidRPr="00906E9B" w:rsidRDefault="00AB42C8" w:rsidP="00691604">
      <w:pPr>
        <w:spacing w:after="0" w:line="240" w:lineRule="auto"/>
        <w:rPr>
          <w:rFonts w:asciiTheme="majorHAnsi" w:hAnsiTheme="majorHAnsi" w:cstheme="majorHAnsi"/>
        </w:rPr>
      </w:pPr>
      <w:r>
        <w:rPr>
          <w:rFonts w:asciiTheme="majorHAnsi" w:hAnsiTheme="majorHAnsi" w:cstheme="majorHAnsi"/>
        </w:rPr>
        <w:t>DSG will deliver:</w:t>
      </w:r>
    </w:p>
    <w:p w14:paraId="0DA973AB" w14:textId="77777777" w:rsidR="00263E96" w:rsidRPr="00906E9B" w:rsidRDefault="00592109" w:rsidP="00691604">
      <w:pPr>
        <w:spacing w:after="0" w:line="240" w:lineRule="auto"/>
        <w:rPr>
          <w:rFonts w:asciiTheme="majorHAnsi" w:hAnsiTheme="majorHAnsi" w:cstheme="majorHAnsi"/>
          <w:lang w:val="en-GB"/>
        </w:rPr>
      </w:pPr>
      <w:r>
        <w:rPr>
          <w:rFonts w:asciiTheme="majorHAnsi" w:hAnsiTheme="majorHAnsi" w:cstheme="majorHAnsi"/>
        </w:rPr>
        <w:br/>
      </w:r>
      <w:r>
        <w:rPr>
          <w:rFonts w:asciiTheme="majorHAnsi" w:hAnsiTheme="majorHAnsi" w:cstheme="majorHAnsi"/>
          <w:b/>
          <w:bCs/>
          <w:lang w:val="en-GB"/>
        </w:rPr>
        <w:t>Design Phase Deliverables</w:t>
      </w:r>
      <w:r>
        <w:rPr>
          <w:rFonts w:asciiTheme="majorHAnsi" w:hAnsiTheme="majorHAnsi" w:cstheme="majorHAnsi"/>
          <w:lang w:val="en-GB"/>
        </w:rPr>
        <w:br/>
        <w:t>– Strategic Review Report</w:t>
        <w:br/>
        <w:t>– Business Model (BM)</w:t>
        <w:br/>
        <w:t>– MVP, GTM, OM, ICX</w:t>
      </w:r>
    </w:p>
    <w:p w14:paraId="77C89C9C" w14:textId="77777777" w:rsidR="00263E96" w:rsidRPr="00906E9B" w:rsidRDefault="00263E96" w:rsidP="00691604">
      <w:pPr>
        <w:spacing w:after="0" w:line="240" w:lineRule="auto"/>
        <w:rPr>
          <w:rFonts w:asciiTheme="majorHAnsi" w:hAnsiTheme="majorHAnsi" w:cstheme="majorHAnsi"/>
          <w:lang w:val="en-GB"/>
        </w:rPr>
      </w:pPr>
    </w:p>
    <w:p w14:paraId="38C71F9E" w14:textId="77777777" w:rsidR="00263E96" w:rsidRPr="00906E9B" w:rsidRDefault="00263E96" w:rsidP="00691604">
      <w:pPr>
        <w:spacing w:after="0" w:line="240" w:lineRule="auto"/>
        <w:rPr>
          <w:rFonts w:asciiTheme="majorHAnsi" w:hAnsiTheme="majorHAnsi" w:cstheme="majorHAnsi"/>
          <w:lang w:val="en-GB"/>
        </w:rPr>
      </w:pPr>
      <w:r>
        <w:rPr>
          <w:rFonts w:asciiTheme="majorHAnsi" w:hAnsiTheme="majorHAnsi" w:cstheme="majorHAnsi"/>
          <w:b/>
          <w:bCs/>
          <w:lang w:val="en-GB"/>
        </w:rPr>
        <w:t>Build &amp; Operate Deliverables</w:t>
      </w:r>
      <w:r>
        <w:rPr>
          <w:rFonts w:asciiTheme="majorHAnsi" w:hAnsiTheme="majorHAnsi" w:cstheme="majorHAnsi"/>
          <w:lang w:val="en-GB"/>
        </w:rPr>
        <w:br/>
        <w:t>– Transformation Project Office setup</w:t>
        <w:br/>
        <w:t>– Implementation dashboards and KPIs</w:t>
        <w:br/>
        <w:t>– Operational manuals and process documentation</w:t>
      </w:r>
    </w:p>
    <w:p w14:paraId="3022BBEF" w14:textId="77777777" w:rsidR="00263E96" w:rsidRPr="00263E96" w:rsidRDefault="00263E96" w:rsidP="00691604">
      <w:pPr>
        <w:spacing w:after="0" w:line="240" w:lineRule="auto"/>
        <w:rPr>
          <w:rFonts w:asciiTheme="majorHAnsi" w:hAnsiTheme="majorHAnsi" w:cstheme="majorHAnsi"/>
          <w:lang w:val="en-GB"/>
        </w:rPr>
      </w:pPr>
    </w:p>
    <w:p w14:paraId="56FF7DFD" w14:textId="7DE08F0A" w:rsidR="007A15CA" w:rsidRDefault="00263E96" w:rsidP="00691604">
      <w:pPr>
        <w:spacing w:after="0" w:line="240" w:lineRule="auto"/>
        <w:rPr>
          <w:rFonts w:asciiTheme="majorHAnsi" w:hAnsiTheme="majorHAnsi" w:cstheme="majorHAnsi"/>
          <w:lang w:val="en-GB"/>
        </w:rPr>
      </w:pPr>
      <w:r>
        <w:rPr>
          <w:rFonts w:asciiTheme="majorHAnsi" w:hAnsiTheme="majorHAnsi" w:cstheme="majorHAnsi"/>
          <w:b/>
          <w:bCs/>
          <w:lang w:val="en-GB"/>
        </w:rPr>
        <w:t>Transfer Deliverables</w:t>
      </w:r>
      <w:r>
        <w:rPr>
          <w:rFonts w:asciiTheme="majorHAnsi" w:hAnsiTheme="majorHAnsi" w:cstheme="majorHAnsi"/>
          <w:lang w:val="en-GB"/>
        </w:rPr>
        <w:br/>
        <w:t>– Knowledge Transfer Framework</w:t>
        <w:br/>
        <w:t>– Governance Charter and SOPs</w:t>
        <w:br/>
        <w:t>– “Go-Independent” certification</w:t>
      </w:r>
    </w:p>
    <w:p w14:paraId="48855BBF" w14:textId="77777777" w:rsidR="004B5E9E" w:rsidRPr="00263E96" w:rsidRDefault="004B5E9E" w:rsidP="00691604">
      <w:pPr>
        <w:spacing w:after="0" w:line="240" w:lineRule="auto"/>
        <w:rPr>
          <w:rFonts w:asciiTheme="majorHAnsi" w:hAnsiTheme="majorHAnsi" w:cstheme="majorHAnsi"/>
          <w:lang w:val="en-GB"/>
        </w:rPr>
      </w:pPr>
    </w:p>
    <w:p w14:paraId="0CF3EA71" w14:textId="1A601AAE" w:rsidR="000627EB" w:rsidRPr="00EB79B0" w:rsidRDefault="00592109" w:rsidP="00691604">
      <w:pPr>
        <w:pStyle w:val="Heading1"/>
        <w:numPr>
          <w:ilvl w:val="0"/>
          <w:numId w:val="21"/>
        </w:numPr>
        <w:spacing w:before="0" w:line="240" w:lineRule="auto"/>
        <w:rPr>
          <w:rFonts w:cstheme="majorHAnsi"/>
          <w:color w:val="auto"/>
        </w:rPr>
      </w:pPr>
      <w:bookmarkStart w:id="28" w:name="_Toc210912511"/>
      <w:r>
        <w:rPr>
          <w:rFonts w:cstheme="majorHAnsi"/>
          <w:color w:val="auto"/>
        </w:rPr>
        <w:t>Resource Plan and Timeframe</w:t>
      </w:r>
      <w:bookmarkEnd w:id="28"/>
    </w:p>
    <w:p w14:paraId="1E240AEF" w14:textId="77777777" w:rsidR="00431B39" w:rsidRPr="00906E9B" w:rsidRDefault="00431B39" w:rsidP="00691604">
      <w:pPr>
        <w:spacing w:after="0" w:line="240" w:lineRule="auto"/>
        <w:rPr>
          <w:rFonts w:asciiTheme="majorHAnsi" w:hAnsiTheme="majorHAnsi" w:cstheme="majorHAnsi"/>
        </w:rPr>
      </w:pPr>
    </w:p>
    <w:p w14:paraId="307B0634" w14:textId="3DF6CAA9" w:rsidR="000627EB" w:rsidRPr="00906E9B" w:rsidRDefault="000627EB" w:rsidP="00691604">
      <w:pPr>
        <w:spacing w:after="0" w:line="240" w:lineRule="auto"/>
        <w:rPr>
          <w:rFonts w:asciiTheme="majorHAnsi" w:hAnsiTheme="majorHAnsi" w:cstheme="majorHAnsi"/>
          <w:b/>
          <w:bCs/>
        </w:rPr>
      </w:pPr>
      <w:r>
        <w:rPr>
          <w:rFonts w:asciiTheme="majorHAnsi" w:hAnsiTheme="majorHAnsi" w:cstheme="majorHAnsi"/>
          <w:b/>
          <w:bCs/>
        </w:rPr>
        <w:t>Design</w:t>
      </w:r>
    </w:p>
    <w:p w14:paraId="10C9E02F" w14:textId="117ACFB3" w:rsidR="000627EB" w:rsidRPr="00906E9B" w:rsidRDefault="00592109" w:rsidP="00691604">
      <w:pPr>
        <w:spacing w:after="0" w:line="240" w:lineRule="auto"/>
        <w:rPr>
          <w:rFonts w:asciiTheme="majorHAnsi" w:hAnsiTheme="majorHAnsi" w:cstheme="majorHAnsi"/>
        </w:rPr>
      </w:pPr>
      <w:r>
        <w:rPr>
          <w:rFonts w:asciiTheme="majorHAnsi" w:hAnsiTheme="majorHAnsi" w:cstheme="majorHAnsi"/>
          <w:b/>
          <w:bCs/>
        </w:rPr>
        <w:t>Duration: 8 weeks</w:t>
      </w:r>
      <w:r>
        <w:rPr>
          <w:rFonts w:asciiTheme="majorHAnsi" w:hAnsiTheme="majorHAnsi" w:cstheme="majorHAnsi"/>
        </w:rPr>
        <w:br/>
        <w:t>• Weeks 1–2: Workshops &amp; Direction</w:t>
        <w:br/>
        <w:t>• Weeks 3–4: Draft Plan Development</w:t>
        <w:br/>
        <w:t>• Weeks 5–7: Implementation Roadmap</w:t>
        <w:br/>
        <w:t>• Weeks 8: Final Approval &amp; Presentation</w:t>
      </w:r>
    </w:p>
    <w:p w14:paraId="7B7E0428" w14:textId="46B9F847" w:rsidR="00991F5E" w:rsidRPr="00906E9B" w:rsidRDefault="002E6CFA" w:rsidP="00691604">
      <w:pPr>
        <w:spacing w:after="0" w:line="240" w:lineRule="auto"/>
        <w:rPr>
          <w:rFonts w:asciiTheme="majorHAnsi" w:hAnsiTheme="majorHAnsi" w:cstheme="majorHAnsi"/>
        </w:rPr>
      </w:pPr>
      <w:r>
        <w:rPr>
          <w:rFonts w:asciiTheme="majorHAnsi" w:hAnsiTheme="majorHAnsi" w:cstheme="majorHAnsi"/>
        </w:rPr>
        <w:t>Resources</w:t>
      </w:r>
    </w:p>
    <w:tbl>
      <w:tblPr>
        <w:tblStyle w:val="TableGrid"/>
        <w:tblW w:w="0" w:type="auto"/>
        <w:tblLook w:val="04A0" w:firstRow="1" w:lastRow="0" w:firstColumn="1" w:lastColumn="0" w:noHBand="0" w:noVBand="1"/>
      </w:tblPr>
      <w:tblGrid>
        <w:gridCol w:w="4323"/>
        <w:gridCol w:w="4307"/>
      </w:tblGrid>
      <w:tr w:rsidR="002E6CFA" w:rsidRPr="00906E9B" w14:paraId="0563B2CF" w14:textId="77777777" w:rsidTr="002E6CFA">
        <w:tc>
          <w:tcPr>
            <w:tcW w:w="4428" w:type="dxa"/>
          </w:tcPr>
          <w:p w14:paraId="024D3753" w14:textId="4B8DD711" w:rsidR="002E6CFA" w:rsidRPr="00906E9B" w:rsidRDefault="002E6CFA" w:rsidP="00691604">
            <w:pPr>
              <w:rPr>
                <w:rFonts w:asciiTheme="majorHAnsi" w:hAnsiTheme="majorHAnsi" w:cstheme="majorHAnsi"/>
              </w:rPr>
            </w:pPr>
            <w:r>
              <w:rPr>
                <w:rFonts w:asciiTheme="majorHAnsi" w:hAnsiTheme="majorHAnsi" w:cstheme="majorHAnsi"/>
              </w:rPr>
              <w:t>C-Level commercial resource</w:t>
            </w:r>
          </w:p>
        </w:tc>
        <w:tc>
          <w:tcPr>
            <w:tcW w:w="4428" w:type="dxa"/>
          </w:tcPr>
          <w:p w14:paraId="67500F31" w14:textId="48538585" w:rsidR="002E6CFA" w:rsidRPr="00906E9B" w:rsidRDefault="002E6CFA" w:rsidP="00691604">
            <w:pPr>
              <w:rPr>
                <w:rFonts w:asciiTheme="majorHAnsi" w:hAnsiTheme="majorHAnsi" w:cstheme="majorHAnsi"/>
              </w:rPr>
            </w:pPr>
            <w:r>
              <w:rPr>
                <w:rFonts w:asciiTheme="majorHAnsi" w:hAnsiTheme="majorHAnsi" w:cstheme="majorHAnsi"/>
              </w:rPr>
              <w:t>2 weeks per month</w:t>
            </w:r>
          </w:p>
        </w:tc>
      </w:tr>
      <w:tr w:rsidR="002E6CFA" w:rsidRPr="00906E9B" w14:paraId="5AB3C58F" w14:textId="77777777" w:rsidTr="002E6CFA">
        <w:tc>
          <w:tcPr>
            <w:tcW w:w="4428" w:type="dxa"/>
          </w:tcPr>
          <w:p w14:paraId="5CCF57CF" w14:textId="49D1AAEF" w:rsidR="002E6CFA" w:rsidRPr="00906E9B" w:rsidRDefault="002E6CFA" w:rsidP="00691604">
            <w:pPr>
              <w:rPr>
                <w:rFonts w:asciiTheme="majorHAnsi" w:hAnsiTheme="majorHAnsi" w:cstheme="majorHAnsi"/>
              </w:rPr>
            </w:pPr>
            <w:r>
              <w:rPr>
                <w:rFonts w:asciiTheme="majorHAnsi" w:hAnsiTheme="majorHAnsi" w:cstheme="majorHAnsi"/>
              </w:rPr>
              <w:t>Business analyst</w:t>
            </w:r>
          </w:p>
        </w:tc>
        <w:tc>
          <w:tcPr>
            <w:tcW w:w="4428" w:type="dxa"/>
          </w:tcPr>
          <w:p w14:paraId="19688B46" w14:textId="0A3C20C0" w:rsidR="002E6CFA" w:rsidRPr="00906E9B" w:rsidRDefault="00B4728E" w:rsidP="00691604">
            <w:pPr>
              <w:rPr>
                <w:rFonts w:asciiTheme="majorHAnsi" w:hAnsiTheme="majorHAnsi" w:cstheme="majorHAnsi"/>
              </w:rPr>
            </w:pPr>
            <w:r>
              <w:rPr>
                <w:rFonts w:asciiTheme="majorHAnsi" w:hAnsiTheme="majorHAnsi" w:cstheme="majorHAnsi"/>
              </w:rPr>
              <w:t>Full time</w:t>
            </w:r>
          </w:p>
        </w:tc>
      </w:tr>
      <w:tr w:rsidR="002E6CFA" w:rsidRPr="00906E9B" w14:paraId="127B75BC" w14:textId="77777777" w:rsidTr="002E6CFA">
        <w:tc>
          <w:tcPr>
            <w:tcW w:w="4428" w:type="dxa"/>
          </w:tcPr>
          <w:p w14:paraId="3DAEE394" w14:textId="307579EB" w:rsidR="002E6CFA" w:rsidRPr="00906E9B" w:rsidRDefault="00B4728E" w:rsidP="00691604">
            <w:pPr>
              <w:rPr>
                <w:rFonts w:asciiTheme="majorHAnsi" w:hAnsiTheme="majorHAnsi" w:cstheme="majorHAnsi"/>
              </w:rPr>
            </w:pPr>
            <w:r>
              <w:rPr>
                <w:rFonts w:asciiTheme="majorHAnsi" w:hAnsiTheme="majorHAnsi" w:cstheme="majorHAnsi"/>
              </w:rPr>
              <w:t>Senior engineer</w:t>
            </w:r>
          </w:p>
        </w:tc>
        <w:tc>
          <w:tcPr>
            <w:tcW w:w="4428" w:type="dxa"/>
          </w:tcPr>
          <w:p w14:paraId="795D7C6E" w14:textId="321BC313" w:rsidR="002E6CFA" w:rsidRPr="00906E9B" w:rsidRDefault="006453CE" w:rsidP="00691604">
            <w:pPr>
              <w:rPr>
                <w:rFonts w:asciiTheme="majorHAnsi" w:hAnsiTheme="majorHAnsi" w:cstheme="majorHAnsi"/>
              </w:rPr>
            </w:pPr>
            <w:r>
              <w:rPr>
                <w:rFonts w:asciiTheme="majorHAnsi" w:hAnsiTheme="majorHAnsi" w:cstheme="majorHAnsi"/>
              </w:rPr>
              <w:t>Full time</w:t>
            </w:r>
          </w:p>
        </w:tc>
      </w:tr>
      <w:tr w:rsidR="002E6CFA" w:rsidRPr="00906E9B" w14:paraId="2A870C6F" w14:textId="77777777" w:rsidTr="002E6CFA">
        <w:tc>
          <w:tcPr>
            <w:tcW w:w="4428" w:type="dxa"/>
          </w:tcPr>
          <w:p w14:paraId="256064D2" w14:textId="4937E98F" w:rsidR="002E6CFA" w:rsidRPr="00906E9B" w:rsidRDefault="006453CE" w:rsidP="00691604">
            <w:pPr>
              <w:rPr>
                <w:rFonts w:asciiTheme="majorHAnsi" w:hAnsiTheme="majorHAnsi" w:cstheme="majorHAnsi"/>
              </w:rPr>
            </w:pPr>
            <w:r>
              <w:rPr>
                <w:rFonts w:asciiTheme="majorHAnsi" w:hAnsiTheme="majorHAnsi" w:cstheme="majorHAnsi"/>
              </w:rPr>
              <w:lastRenderedPageBreak/>
              <w:t>Project Manager</w:t>
            </w:r>
          </w:p>
        </w:tc>
        <w:tc>
          <w:tcPr>
            <w:tcW w:w="4428" w:type="dxa"/>
          </w:tcPr>
          <w:p w14:paraId="7E08969D" w14:textId="7A39D367" w:rsidR="002E6CFA" w:rsidRPr="00906E9B" w:rsidRDefault="006453CE" w:rsidP="00691604">
            <w:pPr>
              <w:rPr>
                <w:rFonts w:asciiTheme="majorHAnsi" w:hAnsiTheme="majorHAnsi" w:cstheme="majorHAnsi"/>
              </w:rPr>
            </w:pPr>
            <w:r>
              <w:rPr>
                <w:rFonts w:asciiTheme="majorHAnsi" w:hAnsiTheme="majorHAnsi" w:cstheme="majorHAnsi"/>
              </w:rPr>
              <w:t>Full Time</w:t>
            </w:r>
          </w:p>
        </w:tc>
      </w:tr>
    </w:tbl>
    <w:p w14:paraId="1C61180C" w14:textId="77777777" w:rsidR="006453CE" w:rsidRPr="00906E9B" w:rsidRDefault="006453CE" w:rsidP="00691604">
      <w:pPr>
        <w:spacing w:after="0" w:line="240" w:lineRule="auto"/>
        <w:rPr>
          <w:rFonts w:asciiTheme="majorHAnsi" w:hAnsiTheme="majorHAnsi" w:cstheme="majorHAnsi"/>
        </w:rPr>
      </w:pPr>
    </w:p>
    <w:p w14:paraId="0CD744B6" w14:textId="4D038902" w:rsidR="00D86F90" w:rsidRPr="00906E9B" w:rsidRDefault="000627EB" w:rsidP="00691604">
      <w:pPr>
        <w:spacing w:after="0" w:line="240" w:lineRule="auto"/>
        <w:rPr>
          <w:rFonts w:asciiTheme="majorHAnsi" w:hAnsiTheme="majorHAnsi" w:cstheme="majorHAnsi"/>
        </w:rPr>
      </w:pPr>
      <w:r>
        <w:rPr>
          <w:rFonts w:asciiTheme="majorHAnsi" w:hAnsiTheme="majorHAnsi" w:cstheme="majorHAnsi"/>
          <w:b/>
          <w:bCs/>
        </w:rPr>
        <w:t>Build and Operate</w:t>
      </w:r>
      <w:r>
        <w:rPr>
          <w:rFonts w:asciiTheme="majorHAnsi" w:hAnsiTheme="majorHAnsi" w:cstheme="majorHAnsi"/>
        </w:rPr>
        <w:br/>
        <w:t>DSG will deploy senior consultants, analysts, and facilitators, working closely with GCT Group’s leadership.</w:t>
      </w:r>
    </w:p>
    <w:p w14:paraId="3FA0AD66" w14:textId="3F2F5F7E" w:rsidR="00BB7269" w:rsidRPr="00906E9B" w:rsidRDefault="00BB7269" w:rsidP="00691604">
      <w:pPr>
        <w:spacing w:after="0" w:line="240" w:lineRule="auto"/>
        <w:rPr>
          <w:rFonts w:asciiTheme="majorHAnsi" w:hAnsiTheme="majorHAnsi" w:cstheme="majorHAnsi"/>
        </w:rPr>
      </w:pPr>
      <w:r>
        <w:rPr>
          <w:rFonts w:asciiTheme="majorHAnsi" w:hAnsiTheme="majorHAnsi" w:cstheme="majorHAnsi"/>
          <w:b/>
          <w:bCs/>
        </w:rPr>
        <w:t>Duration: 6 months</w:t>
      </w:r>
      <w:r>
        <w:rPr>
          <w:rFonts w:asciiTheme="majorHAnsi" w:hAnsiTheme="majorHAnsi" w:cstheme="majorHAnsi"/>
        </w:rPr>
        <w:br/>
        <w:t>Activities derived from Strategy Review</w:t>
      </w:r>
    </w:p>
    <w:p w14:paraId="3E0CBE7C" w14:textId="77777777" w:rsidR="00CA50EC" w:rsidRPr="00906E9B" w:rsidRDefault="00CA50EC" w:rsidP="00691604">
      <w:pPr>
        <w:spacing w:after="0" w:line="240" w:lineRule="auto"/>
        <w:rPr>
          <w:rFonts w:asciiTheme="majorHAnsi" w:hAnsiTheme="majorHAnsi" w:cstheme="majorHAnsi"/>
        </w:rPr>
      </w:pPr>
      <w:r>
        <w:rPr>
          <w:rFonts w:asciiTheme="majorHAnsi" w:hAnsiTheme="majorHAnsi" w:cstheme="majorHAnsi"/>
        </w:rPr>
        <w:t>Resources</w:t>
      </w:r>
    </w:p>
    <w:tbl>
      <w:tblPr>
        <w:tblStyle w:val="TableGrid"/>
        <w:tblW w:w="0" w:type="auto"/>
        <w:tblLook w:val="04A0" w:firstRow="1" w:lastRow="0" w:firstColumn="1" w:lastColumn="0" w:noHBand="0" w:noVBand="1"/>
      </w:tblPr>
      <w:tblGrid>
        <w:gridCol w:w="4320"/>
        <w:gridCol w:w="4310"/>
      </w:tblGrid>
      <w:tr w:rsidR="00CA50EC" w:rsidRPr="00906E9B" w14:paraId="707BA693" w14:textId="77777777" w:rsidTr="00760103">
        <w:tc>
          <w:tcPr>
            <w:tcW w:w="4428" w:type="dxa"/>
          </w:tcPr>
          <w:p w14:paraId="09F47F88" w14:textId="77777777" w:rsidR="00CA50EC" w:rsidRPr="00906E9B" w:rsidRDefault="00CA50EC" w:rsidP="00691604">
            <w:pPr>
              <w:rPr>
                <w:rFonts w:asciiTheme="majorHAnsi" w:hAnsiTheme="majorHAnsi" w:cstheme="majorHAnsi"/>
              </w:rPr>
            </w:pPr>
            <w:r>
              <w:rPr>
                <w:rFonts w:asciiTheme="majorHAnsi" w:hAnsiTheme="majorHAnsi" w:cstheme="majorHAnsi"/>
              </w:rPr>
              <w:t>C-Level commercial resource</w:t>
            </w:r>
          </w:p>
        </w:tc>
        <w:tc>
          <w:tcPr>
            <w:tcW w:w="4428" w:type="dxa"/>
          </w:tcPr>
          <w:p w14:paraId="03CD27C7" w14:textId="77777777" w:rsidR="00CA50EC" w:rsidRPr="00906E9B" w:rsidRDefault="00CA50EC" w:rsidP="00691604">
            <w:pPr>
              <w:rPr>
                <w:rFonts w:asciiTheme="majorHAnsi" w:hAnsiTheme="majorHAnsi" w:cstheme="majorHAnsi"/>
              </w:rPr>
            </w:pPr>
            <w:r>
              <w:rPr>
                <w:rFonts w:asciiTheme="majorHAnsi" w:hAnsiTheme="majorHAnsi" w:cstheme="majorHAnsi"/>
              </w:rPr>
              <w:t>2 weeks per month</w:t>
            </w:r>
          </w:p>
        </w:tc>
      </w:tr>
      <w:tr w:rsidR="00CA50EC" w:rsidRPr="00906E9B" w14:paraId="588BBB9D" w14:textId="77777777" w:rsidTr="00760103">
        <w:tc>
          <w:tcPr>
            <w:tcW w:w="4428" w:type="dxa"/>
          </w:tcPr>
          <w:p w14:paraId="52B258D3" w14:textId="1EBB0383" w:rsidR="00CA50EC" w:rsidRPr="00906E9B" w:rsidRDefault="00CA50EC" w:rsidP="00691604">
            <w:pPr>
              <w:rPr>
                <w:rFonts w:asciiTheme="majorHAnsi" w:hAnsiTheme="majorHAnsi" w:cstheme="majorHAnsi"/>
              </w:rPr>
            </w:pPr>
            <w:r>
              <w:rPr>
                <w:rFonts w:asciiTheme="majorHAnsi" w:hAnsiTheme="majorHAnsi" w:cstheme="majorHAnsi"/>
              </w:rPr>
              <w:t>Business analyst</w:t>
            </w:r>
          </w:p>
        </w:tc>
        <w:tc>
          <w:tcPr>
            <w:tcW w:w="4428" w:type="dxa"/>
          </w:tcPr>
          <w:p w14:paraId="1F068792" w14:textId="77777777" w:rsidR="00CA50EC" w:rsidRPr="00906E9B" w:rsidRDefault="00CA50EC" w:rsidP="00691604">
            <w:pPr>
              <w:rPr>
                <w:rFonts w:asciiTheme="majorHAnsi" w:hAnsiTheme="majorHAnsi" w:cstheme="majorHAnsi"/>
              </w:rPr>
            </w:pPr>
            <w:r>
              <w:rPr>
                <w:rFonts w:asciiTheme="majorHAnsi" w:hAnsiTheme="majorHAnsi" w:cstheme="majorHAnsi"/>
              </w:rPr>
              <w:t>Full time</w:t>
            </w:r>
          </w:p>
        </w:tc>
      </w:tr>
      <w:tr w:rsidR="00CA50EC" w:rsidRPr="00906E9B" w14:paraId="241BF538" w14:textId="77777777" w:rsidTr="00760103">
        <w:tc>
          <w:tcPr>
            <w:tcW w:w="4428" w:type="dxa"/>
          </w:tcPr>
          <w:p w14:paraId="03A94C22" w14:textId="77777777" w:rsidR="00CA50EC" w:rsidRPr="00906E9B" w:rsidRDefault="00CA50EC" w:rsidP="00691604">
            <w:pPr>
              <w:rPr>
                <w:rFonts w:asciiTheme="majorHAnsi" w:hAnsiTheme="majorHAnsi" w:cstheme="majorHAnsi"/>
              </w:rPr>
            </w:pPr>
            <w:r>
              <w:rPr>
                <w:rFonts w:asciiTheme="majorHAnsi" w:hAnsiTheme="majorHAnsi" w:cstheme="majorHAnsi"/>
              </w:rPr>
              <w:t>Senior engineer</w:t>
            </w:r>
          </w:p>
        </w:tc>
        <w:tc>
          <w:tcPr>
            <w:tcW w:w="4428" w:type="dxa"/>
          </w:tcPr>
          <w:p w14:paraId="10DA5C84" w14:textId="77777777" w:rsidR="00CA50EC" w:rsidRPr="00906E9B" w:rsidRDefault="00CA50EC" w:rsidP="00691604">
            <w:pPr>
              <w:rPr>
                <w:rFonts w:asciiTheme="majorHAnsi" w:hAnsiTheme="majorHAnsi" w:cstheme="majorHAnsi"/>
              </w:rPr>
            </w:pPr>
            <w:r>
              <w:rPr>
                <w:rFonts w:asciiTheme="majorHAnsi" w:hAnsiTheme="majorHAnsi" w:cstheme="majorHAnsi"/>
              </w:rPr>
              <w:t>Full time</w:t>
            </w:r>
          </w:p>
        </w:tc>
      </w:tr>
      <w:tr w:rsidR="00CA50EC" w:rsidRPr="00906E9B" w14:paraId="1E0A560F" w14:textId="77777777" w:rsidTr="00760103">
        <w:tc>
          <w:tcPr>
            <w:tcW w:w="4428" w:type="dxa"/>
          </w:tcPr>
          <w:p w14:paraId="5F9B20D6" w14:textId="2BA02E88" w:rsidR="00CA50EC" w:rsidRPr="00906E9B" w:rsidRDefault="00CA50EC" w:rsidP="00691604">
            <w:pPr>
              <w:rPr>
                <w:rFonts w:asciiTheme="majorHAnsi" w:hAnsiTheme="majorHAnsi" w:cstheme="majorHAnsi"/>
              </w:rPr>
            </w:pPr>
            <w:r>
              <w:rPr>
                <w:rFonts w:asciiTheme="majorHAnsi" w:hAnsiTheme="majorHAnsi" w:cstheme="majorHAnsi"/>
              </w:rPr>
              <w:t>Project Managers</w:t>
            </w:r>
          </w:p>
        </w:tc>
        <w:tc>
          <w:tcPr>
            <w:tcW w:w="4428" w:type="dxa"/>
          </w:tcPr>
          <w:p w14:paraId="5D47941F" w14:textId="77777777" w:rsidR="00CA50EC" w:rsidRPr="00906E9B" w:rsidRDefault="00CA50EC" w:rsidP="00691604">
            <w:pPr>
              <w:rPr>
                <w:rFonts w:asciiTheme="majorHAnsi" w:hAnsiTheme="majorHAnsi" w:cstheme="majorHAnsi"/>
              </w:rPr>
            </w:pPr>
            <w:r>
              <w:rPr>
                <w:rFonts w:asciiTheme="majorHAnsi" w:hAnsiTheme="majorHAnsi" w:cstheme="majorHAnsi"/>
              </w:rPr>
              <w:t>Full Time</w:t>
            </w:r>
          </w:p>
        </w:tc>
      </w:tr>
      <w:tr w:rsidR="00431B39" w:rsidRPr="00906E9B" w14:paraId="1C32EE27" w14:textId="77777777" w:rsidTr="00760103">
        <w:tc>
          <w:tcPr>
            <w:tcW w:w="4428" w:type="dxa"/>
          </w:tcPr>
          <w:p w14:paraId="40D607CE" w14:textId="50ED363B" w:rsidR="00431B39" w:rsidRPr="00906E9B" w:rsidRDefault="00431B39" w:rsidP="00691604">
            <w:pPr>
              <w:rPr>
                <w:rFonts w:asciiTheme="majorHAnsi" w:hAnsiTheme="majorHAnsi" w:cstheme="majorHAnsi"/>
              </w:rPr>
            </w:pPr>
            <w:r>
              <w:rPr>
                <w:rFonts w:asciiTheme="majorHAnsi" w:hAnsiTheme="majorHAnsi" w:cstheme="majorHAnsi"/>
              </w:rPr>
              <w:t>Enterprise Architect</w:t>
            </w:r>
          </w:p>
        </w:tc>
        <w:tc>
          <w:tcPr>
            <w:tcW w:w="4428" w:type="dxa"/>
          </w:tcPr>
          <w:p w14:paraId="6DF647F2" w14:textId="4944D25D" w:rsidR="00431B39" w:rsidRPr="00906E9B" w:rsidRDefault="00431B39" w:rsidP="00691604">
            <w:pPr>
              <w:rPr>
                <w:rFonts w:asciiTheme="majorHAnsi" w:hAnsiTheme="majorHAnsi" w:cstheme="majorHAnsi"/>
              </w:rPr>
            </w:pPr>
            <w:r>
              <w:rPr>
                <w:rFonts w:asciiTheme="majorHAnsi" w:hAnsiTheme="majorHAnsi" w:cstheme="majorHAnsi"/>
              </w:rPr>
              <w:t>As required</w:t>
            </w:r>
          </w:p>
        </w:tc>
      </w:tr>
    </w:tbl>
    <w:p w14:paraId="4B08590D" w14:textId="77777777" w:rsidR="00431B39" w:rsidRPr="00906E9B" w:rsidRDefault="00431B39" w:rsidP="00691604">
      <w:pPr>
        <w:spacing w:after="0" w:line="240" w:lineRule="auto"/>
        <w:rPr>
          <w:rFonts w:asciiTheme="majorHAnsi" w:hAnsiTheme="majorHAnsi" w:cstheme="majorHAnsi"/>
          <w:b/>
          <w:bCs/>
        </w:rPr>
      </w:pPr>
    </w:p>
    <w:p w14:paraId="57CA9ADB" w14:textId="5E4D0010" w:rsidR="000D3C35" w:rsidRPr="00906E9B" w:rsidRDefault="00BB7269" w:rsidP="00691604">
      <w:pPr>
        <w:spacing w:after="0" w:line="240" w:lineRule="auto"/>
        <w:rPr>
          <w:rFonts w:asciiTheme="majorHAnsi" w:hAnsiTheme="majorHAnsi" w:cstheme="majorHAnsi"/>
          <w:b/>
          <w:bCs/>
        </w:rPr>
      </w:pPr>
      <w:r>
        <w:rPr>
          <w:rFonts w:asciiTheme="majorHAnsi" w:hAnsiTheme="majorHAnsi" w:cstheme="majorHAnsi"/>
          <w:b/>
          <w:bCs/>
        </w:rPr>
        <w:t>Transfer</w:t>
      </w:r>
    </w:p>
    <w:p w14:paraId="12A3B647" w14:textId="6D380CCC" w:rsidR="000D3C35" w:rsidRPr="00906E9B" w:rsidRDefault="000D3C35" w:rsidP="00691604">
      <w:pPr>
        <w:spacing w:after="0" w:line="240" w:lineRule="auto"/>
        <w:rPr>
          <w:rFonts w:asciiTheme="majorHAnsi" w:hAnsiTheme="majorHAnsi" w:cstheme="majorHAnsi"/>
        </w:rPr>
      </w:pPr>
      <w:r>
        <w:rPr>
          <w:rFonts w:asciiTheme="majorHAnsi" w:hAnsiTheme="majorHAnsi" w:cstheme="majorHAnsi"/>
          <w:b/>
          <w:bCs/>
        </w:rPr>
        <w:t>Duration: 1 month</w:t>
      </w:r>
      <w:r>
        <w:rPr>
          <w:rFonts w:asciiTheme="majorHAnsi" w:hAnsiTheme="majorHAnsi" w:cstheme="majorHAnsi"/>
        </w:rPr>
        <w:br/>
        <w:t>Activities derived from Build and Operate phase.</w:t>
      </w:r>
    </w:p>
    <w:p w14:paraId="2D9478CB" w14:textId="77777777" w:rsidR="000D3C35" w:rsidRPr="00906E9B" w:rsidRDefault="000D3C35" w:rsidP="00691604">
      <w:pPr>
        <w:spacing w:after="0" w:line="240" w:lineRule="auto"/>
        <w:rPr>
          <w:rFonts w:asciiTheme="majorHAnsi" w:hAnsiTheme="majorHAnsi" w:cstheme="majorHAnsi"/>
        </w:rPr>
      </w:pPr>
      <w:r>
        <w:rPr>
          <w:rFonts w:asciiTheme="majorHAnsi" w:hAnsiTheme="majorHAnsi" w:cstheme="majorHAnsi"/>
        </w:rPr>
        <w:t>Resources</w:t>
      </w:r>
    </w:p>
    <w:tbl>
      <w:tblPr>
        <w:tblStyle w:val="TableGrid"/>
        <w:tblW w:w="0" w:type="auto"/>
        <w:tblLook w:val="04A0" w:firstRow="1" w:lastRow="0" w:firstColumn="1" w:lastColumn="0" w:noHBand="0" w:noVBand="1"/>
      </w:tblPr>
      <w:tblGrid>
        <w:gridCol w:w="4323"/>
        <w:gridCol w:w="4307"/>
      </w:tblGrid>
      <w:tr w:rsidR="000D3C35" w:rsidRPr="00906E9B" w14:paraId="3493277B" w14:textId="77777777" w:rsidTr="00760103">
        <w:tc>
          <w:tcPr>
            <w:tcW w:w="4428" w:type="dxa"/>
          </w:tcPr>
          <w:p w14:paraId="33EAC3A9" w14:textId="77777777" w:rsidR="000D3C35" w:rsidRPr="00906E9B" w:rsidRDefault="000D3C35" w:rsidP="00691604">
            <w:pPr>
              <w:rPr>
                <w:rFonts w:asciiTheme="majorHAnsi" w:hAnsiTheme="majorHAnsi" w:cstheme="majorHAnsi"/>
              </w:rPr>
            </w:pPr>
            <w:r>
              <w:rPr>
                <w:rFonts w:asciiTheme="majorHAnsi" w:hAnsiTheme="majorHAnsi" w:cstheme="majorHAnsi"/>
              </w:rPr>
              <w:t>C-Level commercial resource</w:t>
            </w:r>
          </w:p>
        </w:tc>
        <w:tc>
          <w:tcPr>
            <w:tcW w:w="4428" w:type="dxa"/>
          </w:tcPr>
          <w:p w14:paraId="506101E9" w14:textId="77777777" w:rsidR="000D3C35" w:rsidRPr="00906E9B" w:rsidRDefault="000D3C35" w:rsidP="00691604">
            <w:pPr>
              <w:rPr>
                <w:rFonts w:asciiTheme="majorHAnsi" w:hAnsiTheme="majorHAnsi" w:cstheme="majorHAnsi"/>
              </w:rPr>
            </w:pPr>
            <w:r>
              <w:rPr>
                <w:rFonts w:asciiTheme="majorHAnsi" w:hAnsiTheme="majorHAnsi" w:cstheme="majorHAnsi"/>
              </w:rPr>
              <w:t>2 weeks per month</w:t>
            </w:r>
          </w:p>
        </w:tc>
      </w:tr>
      <w:tr w:rsidR="000D3C35" w:rsidRPr="00906E9B" w14:paraId="4042D33E" w14:textId="77777777" w:rsidTr="00760103">
        <w:tc>
          <w:tcPr>
            <w:tcW w:w="4428" w:type="dxa"/>
          </w:tcPr>
          <w:p w14:paraId="0C5E5960" w14:textId="6D1A47F1" w:rsidR="000D3C35" w:rsidRPr="00906E9B" w:rsidRDefault="000D3C35" w:rsidP="00691604">
            <w:pPr>
              <w:rPr>
                <w:rFonts w:asciiTheme="majorHAnsi" w:hAnsiTheme="majorHAnsi" w:cstheme="majorHAnsi"/>
              </w:rPr>
            </w:pPr>
            <w:r>
              <w:rPr>
                <w:rFonts w:asciiTheme="majorHAnsi" w:hAnsiTheme="majorHAnsi" w:cstheme="majorHAnsi"/>
              </w:rPr>
              <w:t>Business analyst</w:t>
            </w:r>
          </w:p>
        </w:tc>
        <w:tc>
          <w:tcPr>
            <w:tcW w:w="4428" w:type="dxa"/>
          </w:tcPr>
          <w:p w14:paraId="1A977A7D" w14:textId="77777777" w:rsidR="000D3C35" w:rsidRPr="00906E9B" w:rsidRDefault="000D3C35" w:rsidP="00691604">
            <w:pPr>
              <w:rPr>
                <w:rFonts w:asciiTheme="majorHAnsi" w:hAnsiTheme="majorHAnsi" w:cstheme="majorHAnsi"/>
              </w:rPr>
            </w:pPr>
            <w:r>
              <w:rPr>
                <w:rFonts w:asciiTheme="majorHAnsi" w:hAnsiTheme="majorHAnsi" w:cstheme="majorHAnsi"/>
              </w:rPr>
              <w:t>Full time</w:t>
            </w:r>
          </w:p>
        </w:tc>
      </w:tr>
      <w:tr w:rsidR="000D3C35" w:rsidRPr="00906E9B" w14:paraId="054E19B7" w14:textId="77777777" w:rsidTr="00760103">
        <w:tc>
          <w:tcPr>
            <w:tcW w:w="4428" w:type="dxa"/>
          </w:tcPr>
          <w:p w14:paraId="5EAED673" w14:textId="77777777" w:rsidR="000D3C35" w:rsidRPr="00906E9B" w:rsidRDefault="000D3C35" w:rsidP="00691604">
            <w:pPr>
              <w:rPr>
                <w:rFonts w:asciiTheme="majorHAnsi" w:hAnsiTheme="majorHAnsi" w:cstheme="majorHAnsi"/>
              </w:rPr>
            </w:pPr>
            <w:r>
              <w:rPr>
                <w:rFonts w:asciiTheme="majorHAnsi" w:hAnsiTheme="majorHAnsi" w:cstheme="majorHAnsi"/>
              </w:rPr>
              <w:t>Senior engineer</w:t>
            </w:r>
          </w:p>
        </w:tc>
        <w:tc>
          <w:tcPr>
            <w:tcW w:w="4428" w:type="dxa"/>
          </w:tcPr>
          <w:p w14:paraId="7465ED50" w14:textId="77777777" w:rsidR="000D3C35" w:rsidRPr="00906E9B" w:rsidRDefault="000D3C35" w:rsidP="00691604">
            <w:pPr>
              <w:rPr>
                <w:rFonts w:asciiTheme="majorHAnsi" w:hAnsiTheme="majorHAnsi" w:cstheme="majorHAnsi"/>
              </w:rPr>
            </w:pPr>
            <w:r>
              <w:rPr>
                <w:rFonts w:asciiTheme="majorHAnsi" w:hAnsiTheme="majorHAnsi" w:cstheme="majorHAnsi"/>
              </w:rPr>
              <w:t>Full time</w:t>
            </w:r>
          </w:p>
        </w:tc>
      </w:tr>
      <w:tr w:rsidR="000D3C35" w:rsidRPr="00906E9B" w14:paraId="02219E26" w14:textId="77777777" w:rsidTr="00760103">
        <w:tc>
          <w:tcPr>
            <w:tcW w:w="4428" w:type="dxa"/>
          </w:tcPr>
          <w:p w14:paraId="203D3A81" w14:textId="2300DC55" w:rsidR="000D3C35" w:rsidRPr="00906E9B" w:rsidRDefault="000D3C35" w:rsidP="00691604">
            <w:pPr>
              <w:rPr>
                <w:rFonts w:asciiTheme="majorHAnsi" w:hAnsiTheme="majorHAnsi" w:cstheme="majorHAnsi"/>
              </w:rPr>
            </w:pPr>
            <w:r>
              <w:rPr>
                <w:rFonts w:asciiTheme="majorHAnsi" w:hAnsiTheme="majorHAnsi" w:cstheme="majorHAnsi"/>
              </w:rPr>
              <w:t>Project Manager</w:t>
            </w:r>
          </w:p>
        </w:tc>
        <w:tc>
          <w:tcPr>
            <w:tcW w:w="4428" w:type="dxa"/>
          </w:tcPr>
          <w:p w14:paraId="67FA231B" w14:textId="77777777" w:rsidR="000D3C35" w:rsidRPr="00906E9B" w:rsidRDefault="000D3C35" w:rsidP="00691604">
            <w:pPr>
              <w:rPr>
                <w:rFonts w:asciiTheme="majorHAnsi" w:hAnsiTheme="majorHAnsi" w:cstheme="majorHAnsi"/>
              </w:rPr>
            </w:pPr>
            <w:r>
              <w:rPr>
                <w:rFonts w:asciiTheme="majorHAnsi" w:hAnsiTheme="majorHAnsi" w:cstheme="majorHAnsi"/>
              </w:rPr>
              <w:t>Full Time</w:t>
            </w:r>
          </w:p>
        </w:tc>
      </w:tr>
    </w:tbl>
    <w:p w14:paraId="74FE3881" w14:textId="77777777" w:rsidR="000D3C35" w:rsidRPr="00906E9B" w:rsidRDefault="000D3C35" w:rsidP="00691604">
      <w:pPr>
        <w:spacing w:after="0" w:line="240" w:lineRule="auto"/>
        <w:rPr>
          <w:rFonts w:asciiTheme="majorHAnsi" w:hAnsiTheme="majorHAnsi" w:cstheme="majorHAnsi"/>
        </w:rPr>
      </w:pPr>
    </w:p>
    <w:p w14:paraId="7A6C2BBB" w14:textId="53EA8D1F" w:rsidR="00755765" w:rsidRPr="00EB79B0" w:rsidRDefault="00592109" w:rsidP="00691604">
      <w:pPr>
        <w:pStyle w:val="Heading1"/>
        <w:numPr>
          <w:ilvl w:val="0"/>
          <w:numId w:val="21"/>
        </w:numPr>
        <w:spacing w:before="0" w:line="240" w:lineRule="auto"/>
        <w:rPr>
          <w:rFonts w:cstheme="majorHAnsi"/>
          <w:color w:val="auto"/>
        </w:rPr>
      </w:pPr>
      <w:bookmarkStart w:id="29" w:name="_Toc210912512"/>
      <w:r>
        <w:rPr>
          <w:rFonts w:cstheme="majorHAnsi"/>
          <w:color w:val="auto"/>
        </w:rPr>
        <w:t>Investment and Commercials</w:t>
      </w:r>
      <w:bookmarkEnd w:id="29"/>
    </w:p>
    <w:p w14:paraId="270E119B" w14:textId="77777777" w:rsidR="00F70F43" w:rsidRPr="00906E9B" w:rsidRDefault="00F70F43" w:rsidP="00691604">
      <w:pPr>
        <w:spacing w:after="0" w:line="240" w:lineRule="auto"/>
        <w:jc w:val="both"/>
        <w:rPr>
          <w:rFonts w:asciiTheme="majorHAnsi" w:hAnsiTheme="majorHAnsi" w:cstheme="majorHAnsi"/>
        </w:rPr>
      </w:pPr>
    </w:p>
    <w:p w14:paraId="05038BD8" w14:textId="085FD0B0" w:rsidR="00310585" w:rsidRDefault="00F70F43" w:rsidP="00691604">
      <w:pPr>
        <w:spacing w:after="0" w:line="240" w:lineRule="auto"/>
        <w:jc w:val="both"/>
        <w:rPr>
          <w:rFonts w:asciiTheme="majorHAnsi" w:hAnsiTheme="majorHAnsi" w:cstheme="majorHAnsi"/>
          <w:lang w:val="en-GB"/>
        </w:rPr>
      </w:pPr>
      <w:r>
        <w:rPr>
          <w:rFonts w:asciiTheme="majorHAnsi" w:hAnsiTheme="majorHAnsi" w:cstheme="majorHAnsi"/>
          <w:lang w:val="en-GB"/>
        </w:rPr>
        <w:t xml:space="preserve">The proposed investment of </w:t>
      </w:r>
      <w:r>
        <w:rPr>
          <w:rFonts w:asciiTheme="majorHAnsi" w:hAnsiTheme="majorHAnsi" w:cstheme="majorHAnsi"/>
          <w:b/>
          <w:bCs/>
          <w:lang w:val="en-GB"/>
        </w:rPr>
        <w:t>USD 250,000</w:t>
      </w:r>
      <w:r>
        <w:rPr>
          <w:rFonts w:asciiTheme="majorHAnsi" w:hAnsiTheme="majorHAnsi" w:cstheme="majorHAnsi"/>
          <w:lang w:val="en-GB"/>
        </w:rPr>
        <w:t xml:space="preserve"> represents a strategic enablement cost — not an expense — as it delivers a fully operational, self-sustaining, and revenue-generating telecom business within 9 months.</w:t>
      </w:r>
    </w:p>
    <w:p w14:paraId="475D245A" w14:textId="5FBAD3C6" w:rsidR="00310585" w:rsidRPr="00310585" w:rsidRDefault="00310585" w:rsidP="00691604">
      <w:pPr>
        <w:spacing w:after="0" w:line="240" w:lineRule="auto"/>
        <w:jc w:val="both"/>
        <w:rPr>
          <w:rFonts w:asciiTheme="majorHAnsi" w:hAnsiTheme="majorHAnsi" w:cstheme="majorHAnsi"/>
        </w:rPr>
      </w:pPr>
      <w:r>
        <w:rPr>
          <w:rFonts w:asciiTheme="majorHAnsi" w:hAnsiTheme="majorHAnsi" w:cstheme="majorHAnsi"/>
        </w:rPr>
        <w:t>The DBOT programme is structured across a 9-month transformation timeline comprising 2 months Design, 6 months Build &amp; Operate, and 1 month Transfer.</w:t>
      </w:r>
    </w:p>
    <w:p w14:paraId="260E0F6F" w14:textId="2ABA9657" w:rsidR="00D86F90" w:rsidRPr="0063185B" w:rsidRDefault="00F70F43" w:rsidP="00691604">
      <w:pPr>
        <w:spacing w:after="0" w:line="240" w:lineRule="auto"/>
        <w:jc w:val="both"/>
        <w:rPr>
          <w:rFonts w:asciiTheme="majorHAnsi" w:hAnsiTheme="majorHAnsi" w:cstheme="majorHAnsi"/>
          <w:lang w:val="en-GB"/>
        </w:rPr>
      </w:pPr>
      <w:r>
        <w:rPr>
          <w:rFonts w:asciiTheme="majorHAnsi" w:hAnsiTheme="majorHAnsi" w:cstheme="majorHAnsi"/>
          <w:lang w:val="en-GB"/>
        </w:rPr>
        <w:t>DSG’s phased payment structure aligns delivery milestones with measurable outcomes, ensuring transparency, accountability, and return on investment.</w:t>
      </w:r>
    </w:p>
    <w:tbl>
      <w:tblPr>
        <w:tblStyle w:val="TableGrid"/>
        <w:tblW w:w="8406" w:type="dxa"/>
        <w:tblInd w:w="-5" w:type="dxa"/>
        <w:tblCellMar>
          <w:top w:w="57" w:type="dxa"/>
          <w:bottom w:w="57" w:type="dxa"/>
        </w:tblCellMar>
        <w:tblLook w:val="04A0" w:firstRow="1" w:lastRow="0" w:firstColumn="1" w:lastColumn="0" w:noHBand="0" w:noVBand="1"/>
      </w:tblPr>
      <w:tblGrid>
        <w:gridCol w:w="1132"/>
        <w:gridCol w:w="4621"/>
        <w:gridCol w:w="2653"/>
      </w:tblGrid>
      <w:tr w:rsidR="00423DA6" w:rsidRPr="00C4654A" w14:paraId="262F6A48" w14:textId="77777777" w:rsidTr="001E64DC">
        <w:trPr>
          <w:trHeight w:val="409"/>
        </w:trPr>
        <w:tc>
          <w:tcPr>
            <w:tcW w:w="1132" w:type="dxa"/>
            <w:shd w:val="clear" w:color="auto" w:fill="D9D9D9" w:themeFill="background1" w:themeFillShade="D9"/>
            <w:vAlign w:val="center"/>
          </w:tcPr>
          <w:p w14:paraId="706976E0" w14:textId="77777777" w:rsidR="00423DA6" w:rsidRPr="00C4654A" w:rsidRDefault="00423DA6" w:rsidP="00691604">
            <w:pPr>
              <w:jc w:val="center"/>
              <w:rPr>
                <w:rFonts w:asciiTheme="majorHAnsi" w:hAnsiTheme="majorHAnsi" w:cstheme="majorHAnsi"/>
                <w:b/>
                <w:color w:val="262626" w:themeColor="text1" w:themeTint="D9"/>
                <w:sz w:val="21"/>
              </w:rPr>
            </w:pPr>
            <w:r>
              <w:rPr>
                <w:rFonts w:asciiTheme="majorHAnsi" w:hAnsiTheme="majorHAnsi" w:cstheme="majorHAnsi"/>
                <w:b/>
                <w:color w:val="262626" w:themeColor="text1" w:themeTint="D9"/>
                <w:sz w:val="21"/>
              </w:rPr>
              <w:t>Item</w:t>
            </w:r>
          </w:p>
        </w:tc>
        <w:tc>
          <w:tcPr>
            <w:tcW w:w="4621" w:type="dxa"/>
            <w:shd w:val="clear" w:color="auto" w:fill="D9D9D9" w:themeFill="background1" w:themeFillShade="D9"/>
            <w:vAlign w:val="center"/>
          </w:tcPr>
          <w:p w14:paraId="1902580D" w14:textId="77777777" w:rsidR="00423DA6" w:rsidRPr="00C4654A" w:rsidRDefault="00423DA6" w:rsidP="00691604">
            <w:pPr>
              <w:jc w:val="center"/>
              <w:rPr>
                <w:rFonts w:asciiTheme="majorHAnsi" w:hAnsiTheme="majorHAnsi" w:cstheme="majorHAnsi"/>
                <w:b/>
                <w:color w:val="262626" w:themeColor="text1" w:themeTint="D9"/>
                <w:sz w:val="21"/>
              </w:rPr>
            </w:pPr>
            <w:r>
              <w:rPr>
                <w:rFonts w:asciiTheme="majorHAnsi" w:hAnsiTheme="majorHAnsi" w:cstheme="majorHAnsi"/>
                <w:b/>
                <w:color w:val="262626" w:themeColor="text1" w:themeTint="D9"/>
                <w:sz w:val="21"/>
              </w:rPr>
              <w:t>Description</w:t>
            </w:r>
          </w:p>
        </w:tc>
        <w:tc>
          <w:tcPr>
            <w:tcW w:w="2653" w:type="dxa"/>
            <w:shd w:val="clear" w:color="auto" w:fill="D9D9D9" w:themeFill="background1" w:themeFillShade="D9"/>
            <w:vAlign w:val="center"/>
          </w:tcPr>
          <w:p w14:paraId="09F8BB20" w14:textId="77777777" w:rsidR="00423DA6" w:rsidRPr="00C4654A" w:rsidRDefault="00423DA6" w:rsidP="00691604">
            <w:pPr>
              <w:jc w:val="center"/>
              <w:rPr>
                <w:rFonts w:asciiTheme="majorHAnsi" w:hAnsiTheme="majorHAnsi" w:cstheme="majorHAnsi"/>
                <w:b/>
                <w:color w:val="262626" w:themeColor="text1" w:themeTint="D9"/>
                <w:sz w:val="21"/>
              </w:rPr>
            </w:pPr>
            <w:r>
              <w:rPr>
                <w:rFonts w:asciiTheme="majorHAnsi" w:hAnsiTheme="majorHAnsi" w:cstheme="majorHAnsi"/>
                <w:b/>
                <w:color w:val="262626" w:themeColor="text1" w:themeTint="D9"/>
                <w:sz w:val="21"/>
              </w:rPr>
              <w:t>Cost Excl. VAT</w:t>
            </w:r>
          </w:p>
        </w:tc>
      </w:tr>
      <w:tr w:rsidR="00423DA6" w:rsidRPr="00C4654A" w14:paraId="094D2B17" w14:textId="77777777" w:rsidTr="001E64DC">
        <w:trPr>
          <w:trHeight w:val="592"/>
        </w:trPr>
        <w:tc>
          <w:tcPr>
            <w:tcW w:w="1132" w:type="dxa"/>
            <w:vAlign w:val="center"/>
          </w:tcPr>
          <w:p w14:paraId="040D13B7" w14:textId="77777777" w:rsidR="00423DA6" w:rsidRPr="00C4654A" w:rsidRDefault="00423DA6" w:rsidP="00691604">
            <w:pPr>
              <w:rPr>
                <w:rFonts w:asciiTheme="majorHAnsi" w:hAnsiTheme="majorHAnsi" w:cstheme="majorHAnsi"/>
                <w:color w:val="262626" w:themeColor="text1" w:themeTint="D9"/>
                <w:sz w:val="21"/>
              </w:rPr>
            </w:pPr>
            <w:r>
              <w:rPr>
                <w:rFonts w:asciiTheme="majorHAnsi" w:hAnsiTheme="majorHAnsi" w:cstheme="majorHAnsi"/>
                <w:color w:val="262626" w:themeColor="text1" w:themeTint="D9"/>
                <w:sz w:val="21"/>
              </w:rPr>
              <w:t>1</w:t>
            </w:r>
          </w:p>
        </w:tc>
        <w:tc>
          <w:tcPr>
            <w:tcW w:w="4621" w:type="dxa"/>
            <w:vAlign w:val="center"/>
          </w:tcPr>
          <w:p w14:paraId="04BA18DE" w14:textId="568F630F" w:rsidR="00423DA6" w:rsidRPr="00C4654A" w:rsidRDefault="00423DA6" w:rsidP="00691604">
            <w:pPr>
              <w:rPr>
                <w:rFonts w:asciiTheme="majorHAnsi" w:hAnsiTheme="majorHAnsi" w:cstheme="majorHAnsi"/>
                <w:b/>
                <w:color w:val="262626" w:themeColor="text1" w:themeTint="D9"/>
                <w:sz w:val="21"/>
              </w:rPr>
            </w:pPr>
            <w:r>
              <w:rPr>
                <w:rFonts w:asciiTheme="majorHAnsi" w:hAnsiTheme="majorHAnsi" w:cstheme="majorHAnsi"/>
                <w:b/>
                <w:color w:val="262626" w:themeColor="text1" w:themeTint="D9"/>
                <w:sz w:val="21"/>
              </w:rPr>
              <w:t>Fixed Fee Investment</w:t>
            </w:r>
          </w:p>
          <w:p w14:paraId="7258B7C4" w14:textId="314BFA77" w:rsidR="00423DA6" w:rsidRPr="00C4654A" w:rsidRDefault="0063185B" w:rsidP="00691604">
            <w:pPr>
              <w:rPr>
                <w:rFonts w:asciiTheme="majorHAnsi" w:hAnsiTheme="majorHAnsi" w:cstheme="majorHAnsi"/>
                <w:color w:val="262626" w:themeColor="text1" w:themeTint="D9"/>
                <w:sz w:val="21"/>
              </w:rPr>
            </w:pPr>
            <w:r>
              <w:rPr>
                <w:rFonts w:asciiTheme="majorHAnsi" w:hAnsiTheme="majorHAnsi" w:cstheme="majorHAnsi"/>
                <w:color w:val="262626" w:themeColor="text1" w:themeTint="D9"/>
                <w:sz w:val="21"/>
              </w:rPr>
              <w:t>Design, Build and Operate, Transfer</w:t>
            </w:r>
          </w:p>
        </w:tc>
        <w:tc>
          <w:tcPr>
            <w:tcW w:w="2653" w:type="dxa"/>
            <w:vAlign w:val="center"/>
          </w:tcPr>
          <w:p w14:paraId="508EC01B" w14:textId="77777777" w:rsidR="00423DA6" w:rsidRPr="00CE73C8" w:rsidRDefault="00423DA6" w:rsidP="00691604">
            <w:pPr>
              <w:pStyle w:val="ListParagraph"/>
              <w:pBdr>
                <w:top w:val="single" w:sz="4" w:space="1" w:color="auto"/>
              </w:pBdr>
              <w:ind w:left="0"/>
              <w:rPr>
                <w:rFonts w:asciiTheme="majorHAnsi" w:hAnsiTheme="majorHAnsi" w:cstheme="majorHAnsi"/>
                <w:color w:val="262626" w:themeColor="text1" w:themeTint="D9"/>
              </w:rPr>
            </w:pPr>
          </w:p>
          <w:p w14:paraId="0F6CA6DA" w14:textId="52B0A40D" w:rsidR="00423DA6" w:rsidRPr="00CE73C8" w:rsidRDefault="00423DA6" w:rsidP="00691604">
            <w:pPr>
              <w:pStyle w:val="ListParagraph"/>
              <w:pBdr>
                <w:top w:val="single" w:sz="4" w:space="1" w:color="auto"/>
              </w:pBdr>
              <w:ind w:left="0"/>
              <w:jc w:val="center"/>
              <w:rPr>
                <w:rFonts w:asciiTheme="majorHAnsi" w:hAnsiTheme="majorHAnsi" w:cstheme="majorHAnsi"/>
                <w:color w:val="262626" w:themeColor="text1" w:themeTint="D9"/>
              </w:rPr>
            </w:pPr>
            <w:r>
              <w:rPr>
                <w:rFonts w:asciiTheme="majorHAnsi" w:hAnsiTheme="majorHAnsi" w:cstheme="majorHAnsi"/>
                <w:color w:val="262626" w:themeColor="text1" w:themeTint="D9"/>
              </w:rPr>
              <w:t>$250,000</w:t>
            </w:r>
          </w:p>
          <w:p w14:paraId="5649A0E8" w14:textId="77777777" w:rsidR="00423DA6" w:rsidRPr="00C4654A" w:rsidRDefault="00423DA6" w:rsidP="00691604">
            <w:pPr>
              <w:pStyle w:val="ListParagraph"/>
              <w:pBdr>
                <w:top w:val="single" w:sz="4" w:space="1" w:color="auto"/>
              </w:pBdr>
              <w:ind w:left="0"/>
              <w:rPr>
                <w:rFonts w:asciiTheme="majorHAnsi" w:hAnsiTheme="majorHAnsi" w:cstheme="majorHAnsi"/>
                <w:color w:val="262626" w:themeColor="text1" w:themeTint="D9"/>
                <w:sz w:val="21"/>
              </w:rPr>
            </w:pPr>
          </w:p>
          <w:p w14:paraId="61AEC875" w14:textId="77777777" w:rsidR="00423DA6" w:rsidRPr="00C4654A" w:rsidRDefault="00423DA6" w:rsidP="00691604">
            <w:pPr>
              <w:pStyle w:val="ListParagraph"/>
              <w:pBdr>
                <w:top w:val="single" w:sz="4" w:space="1" w:color="auto"/>
              </w:pBdr>
              <w:ind w:left="0"/>
              <w:rPr>
                <w:rFonts w:asciiTheme="majorHAnsi" w:hAnsiTheme="majorHAnsi" w:cstheme="majorHAnsi"/>
                <w:color w:val="262626" w:themeColor="text1" w:themeTint="D9"/>
                <w:sz w:val="21"/>
              </w:rPr>
            </w:pPr>
          </w:p>
        </w:tc>
      </w:tr>
      <w:tr w:rsidR="00423DA6" w:rsidRPr="00C4654A" w14:paraId="60343284" w14:textId="77777777" w:rsidTr="001E64DC">
        <w:trPr>
          <w:trHeight w:val="651"/>
        </w:trPr>
        <w:tc>
          <w:tcPr>
            <w:tcW w:w="1132" w:type="dxa"/>
            <w:vAlign w:val="center"/>
          </w:tcPr>
          <w:p w14:paraId="707ACB1F" w14:textId="77777777" w:rsidR="00423DA6" w:rsidRPr="00C4654A" w:rsidRDefault="00423DA6" w:rsidP="00691604">
            <w:pPr>
              <w:rPr>
                <w:rFonts w:asciiTheme="majorHAnsi" w:hAnsiTheme="majorHAnsi" w:cstheme="majorHAnsi"/>
                <w:color w:val="262626" w:themeColor="text1" w:themeTint="D9"/>
                <w:sz w:val="21"/>
              </w:rPr>
            </w:pPr>
            <w:r>
              <w:rPr>
                <w:rFonts w:asciiTheme="majorHAnsi" w:hAnsiTheme="majorHAnsi" w:cstheme="majorHAnsi"/>
                <w:color w:val="262626" w:themeColor="text1" w:themeTint="D9"/>
                <w:sz w:val="21"/>
              </w:rPr>
              <w:t>2</w:t>
            </w:r>
          </w:p>
        </w:tc>
        <w:tc>
          <w:tcPr>
            <w:tcW w:w="4621" w:type="dxa"/>
            <w:vAlign w:val="center"/>
          </w:tcPr>
          <w:p w14:paraId="31CF6630" w14:textId="77777777" w:rsidR="00423DA6" w:rsidRPr="00C4654A" w:rsidRDefault="00423DA6" w:rsidP="00691604">
            <w:pPr>
              <w:rPr>
                <w:rFonts w:asciiTheme="majorHAnsi" w:hAnsiTheme="majorHAnsi" w:cstheme="majorHAnsi"/>
                <w:b/>
                <w:sz w:val="21"/>
                <w:szCs w:val="20"/>
                <w:lang w:val="en-ZA"/>
              </w:rPr>
            </w:pPr>
            <w:r>
              <w:rPr>
                <w:rFonts w:asciiTheme="majorHAnsi" w:hAnsiTheme="majorHAnsi" w:cstheme="majorHAnsi"/>
                <w:b/>
                <w:sz w:val="21"/>
                <w:szCs w:val="20"/>
                <w:lang w:val="en-ZA"/>
              </w:rPr>
              <w:t>Travel &amp; Accommodation</w:t>
            </w:r>
          </w:p>
          <w:p w14:paraId="7C901813" w14:textId="77777777" w:rsidR="00423DA6" w:rsidRPr="00C4654A" w:rsidRDefault="00423DA6" w:rsidP="00691604">
            <w:pPr>
              <w:rPr>
                <w:rFonts w:asciiTheme="majorHAnsi" w:hAnsiTheme="majorHAnsi" w:cstheme="majorHAnsi"/>
                <w:color w:val="262626" w:themeColor="text1" w:themeTint="D9"/>
                <w:sz w:val="21"/>
              </w:rPr>
            </w:pPr>
            <w:r>
              <w:rPr>
                <w:rFonts w:asciiTheme="majorHAnsi" w:hAnsiTheme="majorHAnsi" w:cstheme="majorHAnsi"/>
                <w:sz w:val="21"/>
                <w:szCs w:val="20"/>
                <w:lang w:val="en-ZA"/>
              </w:rPr>
              <w:t>Flights, transport and lodging</w:t>
            </w:r>
          </w:p>
        </w:tc>
        <w:tc>
          <w:tcPr>
            <w:tcW w:w="2653" w:type="dxa"/>
            <w:vAlign w:val="center"/>
          </w:tcPr>
          <w:p w14:paraId="3EF88C89" w14:textId="22D6B349" w:rsidR="00423DA6" w:rsidRPr="00C4654A" w:rsidRDefault="00423DA6" w:rsidP="00691604">
            <w:pPr>
              <w:rPr>
                <w:rFonts w:asciiTheme="majorHAnsi" w:hAnsiTheme="majorHAnsi" w:cstheme="majorHAnsi"/>
                <w:color w:val="262626" w:themeColor="text1" w:themeTint="D9"/>
                <w:sz w:val="21"/>
              </w:rPr>
            </w:pPr>
            <w:r>
              <w:rPr>
                <w:rFonts w:asciiTheme="majorHAnsi" w:hAnsiTheme="majorHAnsi" w:cstheme="majorHAnsi"/>
                <w:sz w:val="21"/>
                <w:szCs w:val="20"/>
                <w:lang w:val="en-ZA"/>
              </w:rPr>
              <w:t>Economy flights and accommodation costs as required.</w:t>
            </w:r>
          </w:p>
        </w:tc>
      </w:tr>
      <w:tr w:rsidR="00F80775" w:rsidRPr="00C4654A" w14:paraId="56DFD2AF" w14:textId="77777777" w:rsidTr="001E64DC">
        <w:trPr>
          <w:trHeight w:val="651"/>
        </w:trPr>
        <w:tc>
          <w:tcPr>
            <w:tcW w:w="1132" w:type="dxa"/>
            <w:vAlign w:val="center"/>
          </w:tcPr>
          <w:p w14:paraId="0AB4651E" w14:textId="63A25EC3" w:rsidR="00F80775" w:rsidRPr="00C4654A" w:rsidRDefault="00F80775" w:rsidP="00691604">
            <w:pPr>
              <w:rPr>
                <w:rFonts w:asciiTheme="majorHAnsi" w:hAnsiTheme="majorHAnsi" w:cstheme="majorHAnsi"/>
                <w:color w:val="262626" w:themeColor="text1" w:themeTint="D9"/>
                <w:sz w:val="21"/>
              </w:rPr>
            </w:pPr>
            <w:r>
              <w:rPr>
                <w:rFonts w:asciiTheme="majorHAnsi" w:hAnsiTheme="majorHAnsi" w:cstheme="majorHAnsi"/>
                <w:color w:val="262626" w:themeColor="text1" w:themeTint="D9"/>
                <w:sz w:val="21"/>
              </w:rPr>
              <w:t>3</w:t>
            </w:r>
          </w:p>
        </w:tc>
        <w:tc>
          <w:tcPr>
            <w:tcW w:w="4621" w:type="dxa"/>
            <w:vAlign w:val="center"/>
          </w:tcPr>
          <w:p w14:paraId="4597DE47" w14:textId="7CEABBFB" w:rsidR="00F80775" w:rsidRPr="00C4654A" w:rsidRDefault="00F80775" w:rsidP="00691604">
            <w:pPr>
              <w:rPr>
                <w:rFonts w:asciiTheme="majorHAnsi" w:hAnsiTheme="majorHAnsi" w:cstheme="majorHAnsi"/>
                <w:b/>
                <w:sz w:val="21"/>
                <w:szCs w:val="20"/>
                <w:lang w:val="en-ZA"/>
              </w:rPr>
            </w:pPr>
            <w:r>
              <w:rPr>
                <w:rFonts w:asciiTheme="majorHAnsi" w:hAnsiTheme="majorHAnsi" w:cstheme="majorHAnsi"/>
                <w:b/>
                <w:sz w:val="21"/>
                <w:szCs w:val="20"/>
                <w:lang w:val="en-ZA"/>
              </w:rPr>
              <w:t>Additional consulting hours</w:t>
            </w:r>
          </w:p>
        </w:tc>
        <w:tc>
          <w:tcPr>
            <w:tcW w:w="2653" w:type="dxa"/>
            <w:vAlign w:val="center"/>
          </w:tcPr>
          <w:p w14:paraId="6E373457" w14:textId="5BE16A6B" w:rsidR="00F80775" w:rsidRPr="00C4654A" w:rsidRDefault="00F80775" w:rsidP="00691604">
            <w:pPr>
              <w:rPr>
                <w:rFonts w:asciiTheme="majorHAnsi" w:hAnsiTheme="majorHAnsi" w:cstheme="majorHAnsi"/>
                <w:sz w:val="21"/>
                <w:szCs w:val="20"/>
                <w:lang w:val="en-ZA"/>
              </w:rPr>
            </w:pPr>
            <w:r>
              <w:rPr>
                <w:rFonts w:asciiTheme="majorHAnsi" w:hAnsiTheme="majorHAnsi" w:cstheme="majorHAnsi"/>
                <w:sz w:val="21"/>
                <w:szCs w:val="20"/>
                <w:lang w:val="en-ZA"/>
              </w:rPr>
              <w:t>$300 per hour</w:t>
            </w:r>
          </w:p>
        </w:tc>
      </w:tr>
    </w:tbl>
    <w:p w14:paraId="2514E682" w14:textId="77777777" w:rsidR="004B5E9E" w:rsidRDefault="004B5E9E">
      <w:pPr>
        <w:rPr>
          <w:rFonts w:asciiTheme="majorHAnsi" w:eastAsiaTheme="majorEastAsia" w:hAnsiTheme="majorHAnsi" w:cstheme="majorHAnsi"/>
          <w:b/>
          <w:bCs/>
          <w:color w:val="365F91" w:themeColor="accent1" w:themeShade="BF"/>
          <w:sz w:val="28"/>
          <w:szCs w:val="28"/>
        </w:rPr>
      </w:pPr>
      <w:r>
        <w:rPr>
          <w:rFonts w:cstheme="majorHAnsi"/>
        </w:rPr>
        <w:br w:type="page"/>
      </w:r>
    </w:p>
    <w:p w14:paraId="0472ED25" w14:textId="75B7BE85" w:rsidR="00D86F90" w:rsidRPr="00EB79B0" w:rsidRDefault="00592109" w:rsidP="00691604">
      <w:pPr>
        <w:pStyle w:val="Heading1"/>
        <w:numPr>
          <w:ilvl w:val="0"/>
          <w:numId w:val="21"/>
        </w:numPr>
        <w:spacing w:before="0" w:line="240" w:lineRule="auto"/>
        <w:rPr>
          <w:rFonts w:cstheme="majorHAnsi"/>
          <w:color w:val="auto"/>
        </w:rPr>
      </w:pPr>
      <w:bookmarkStart w:id="30" w:name="_Toc210912513"/>
      <w:r>
        <w:rPr>
          <w:rFonts w:cstheme="majorHAnsi"/>
          <w:color w:val="auto"/>
        </w:rPr>
        <w:lastRenderedPageBreak/>
        <w:t>Next Steps</w:t>
      </w:r>
      <w:bookmarkEnd w:id="30"/>
    </w:p>
    <w:p w14:paraId="59B37D46" w14:textId="77777777" w:rsidR="00A57CA1" w:rsidRPr="00906E9B" w:rsidRDefault="00A57CA1" w:rsidP="00691604">
      <w:pPr>
        <w:pStyle w:val="ListParagraph"/>
        <w:spacing w:after="0" w:line="240" w:lineRule="auto"/>
        <w:rPr>
          <w:rFonts w:asciiTheme="majorHAnsi" w:hAnsiTheme="majorHAnsi" w:cstheme="majorHAnsi"/>
        </w:rPr>
      </w:pPr>
    </w:p>
    <w:p w14:paraId="7D0B4FA2" w14:textId="77777777" w:rsidR="007F30DD" w:rsidRPr="007F30DD" w:rsidRDefault="007F30DD" w:rsidP="00691604">
      <w:pPr>
        <w:numPr>
          <w:ilvl w:val="0"/>
          <w:numId w:val="29"/>
        </w:numPr>
        <w:spacing w:after="0" w:line="240" w:lineRule="auto"/>
        <w:rPr>
          <w:rFonts w:asciiTheme="majorHAnsi" w:hAnsiTheme="majorHAnsi" w:cstheme="majorHAnsi"/>
          <w:b/>
          <w:bCs/>
          <w:lang w:val="en-GB"/>
        </w:rPr>
      </w:pPr>
      <w:r>
        <w:rPr>
          <w:rFonts w:asciiTheme="majorHAnsi" w:hAnsiTheme="majorHAnsi" w:cstheme="majorHAnsi"/>
          <w:b/>
          <w:bCs/>
          <w:lang w:val="en-GB"/>
        </w:rPr>
        <w:t>Approve engagement and nominate Steering Committee members.</w:t>
      </w:r>
    </w:p>
    <w:p w14:paraId="35FB0212" w14:textId="77777777" w:rsidR="007F30DD" w:rsidRPr="007F30DD" w:rsidRDefault="007F30DD" w:rsidP="00691604">
      <w:pPr>
        <w:numPr>
          <w:ilvl w:val="0"/>
          <w:numId w:val="29"/>
        </w:numPr>
        <w:spacing w:after="0" w:line="240" w:lineRule="auto"/>
        <w:rPr>
          <w:rFonts w:asciiTheme="majorHAnsi" w:hAnsiTheme="majorHAnsi" w:cstheme="majorHAnsi"/>
          <w:b/>
          <w:bCs/>
          <w:lang w:val="en-GB"/>
        </w:rPr>
      </w:pPr>
      <w:r>
        <w:rPr>
          <w:rFonts w:asciiTheme="majorHAnsi" w:hAnsiTheme="majorHAnsi" w:cstheme="majorHAnsi"/>
          <w:b/>
          <w:bCs/>
          <w:lang w:val="en-GB"/>
        </w:rPr>
        <w:t>Schedule Strategic Thinking Workshop (within 14 days).</w:t>
      </w:r>
    </w:p>
    <w:p w14:paraId="798B4F11" w14:textId="77777777" w:rsidR="007F30DD" w:rsidRPr="007F30DD" w:rsidRDefault="007F30DD" w:rsidP="00691604">
      <w:pPr>
        <w:numPr>
          <w:ilvl w:val="0"/>
          <w:numId w:val="29"/>
        </w:numPr>
        <w:spacing w:after="0" w:line="240" w:lineRule="auto"/>
        <w:rPr>
          <w:rFonts w:asciiTheme="majorHAnsi" w:hAnsiTheme="majorHAnsi" w:cstheme="majorHAnsi"/>
          <w:b/>
          <w:bCs/>
          <w:lang w:val="en-GB"/>
        </w:rPr>
      </w:pPr>
      <w:r>
        <w:rPr>
          <w:rFonts w:asciiTheme="majorHAnsi" w:hAnsiTheme="majorHAnsi" w:cstheme="majorHAnsi"/>
          <w:b/>
          <w:bCs/>
          <w:lang w:val="en-GB"/>
        </w:rPr>
        <w:t>Provide baseline data (financials, operations, subscriber base).</w:t>
      </w:r>
    </w:p>
    <w:p w14:paraId="706539E8" w14:textId="77777777" w:rsidR="007F30DD" w:rsidRPr="007F30DD" w:rsidRDefault="007F30DD" w:rsidP="00691604">
      <w:pPr>
        <w:numPr>
          <w:ilvl w:val="0"/>
          <w:numId w:val="29"/>
        </w:numPr>
        <w:spacing w:after="0" w:line="240" w:lineRule="auto"/>
        <w:rPr>
          <w:rFonts w:asciiTheme="majorHAnsi" w:hAnsiTheme="majorHAnsi" w:cstheme="majorHAnsi"/>
          <w:b/>
          <w:bCs/>
          <w:lang w:val="en-GB"/>
        </w:rPr>
      </w:pPr>
      <w:r>
        <w:rPr>
          <w:rFonts w:asciiTheme="majorHAnsi" w:hAnsiTheme="majorHAnsi" w:cstheme="majorHAnsi"/>
          <w:b/>
          <w:bCs/>
          <w:lang w:val="en-GB"/>
        </w:rPr>
        <w:t>Kick-off session to align priorities and success metrics.</w:t>
      </w:r>
    </w:p>
    <w:p w14:paraId="766B677F" w14:textId="36D2E6BC" w:rsidR="007F30DD" w:rsidRPr="007F30DD" w:rsidRDefault="007F30DD" w:rsidP="00691604">
      <w:pPr>
        <w:spacing w:after="0" w:line="240" w:lineRule="auto"/>
        <w:rPr>
          <w:rFonts w:asciiTheme="majorHAnsi" w:hAnsiTheme="majorHAnsi" w:cstheme="majorHAnsi"/>
          <w:lang w:val="en-GB"/>
        </w:rPr>
      </w:pPr>
      <w:r>
        <w:rPr>
          <w:rFonts w:asciiTheme="majorHAnsi" w:hAnsiTheme="majorHAnsi" w:cstheme="majorHAnsi"/>
          <w:b/>
          <w:bCs/>
          <w:lang w:val="en-GB"/>
        </w:rPr>
        <w:t>Decision Required:</w:t>
      </w:r>
      <w:r>
        <w:rPr>
          <w:rFonts w:asciiTheme="majorHAnsi" w:hAnsiTheme="majorHAnsi" w:cstheme="majorHAnsi"/>
          <w:lang w:val="en-GB"/>
        </w:rPr>
        <w:t xml:space="preserve"> Approval to commence the Design Phase by </w:t>
      </w:r>
      <w:r>
        <w:rPr>
          <w:rFonts w:asciiTheme="majorHAnsi" w:hAnsiTheme="majorHAnsi" w:cstheme="majorHAnsi"/>
          <w:b/>
          <w:bCs/>
          <w:lang w:val="en-GB"/>
        </w:rPr>
        <w:t>2</w:t>
      </w:r>
      <w:r>
        <w:rPr>
          <w:rFonts w:asciiTheme="majorHAnsi" w:hAnsiTheme="majorHAnsi" w:cstheme="majorHAnsi"/>
          <w:b/>
          <w:bCs/>
          <w:vertAlign w:val="superscript"/>
          <w:lang w:val="en-GB"/>
        </w:rPr>
        <w:t>nd</w:t>
      </w:r>
      <w:r>
        <w:rPr>
          <w:rFonts w:asciiTheme="majorHAnsi" w:hAnsiTheme="majorHAnsi" w:cstheme="majorHAnsi"/>
          <w:b/>
          <w:bCs/>
          <w:lang w:val="en-GB"/>
        </w:rPr>
        <w:t xml:space="preserve"> April 2026</w:t>
      </w:r>
      <w:r>
        <w:rPr>
          <w:rFonts w:asciiTheme="majorHAnsi" w:hAnsiTheme="majorHAnsi" w:cstheme="majorHAnsi"/>
          <w:lang w:val="en-GB"/>
        </w:rPr>
        <w:t>.</w:t>
      </w:r>
    </w:p>
    <w:p w14:paraId="348BFB0A" w14:textId="77777777" w:rsidR="00F23168" w:rsidRPr="00906E9B" w:rsidRDefault="00F23168">
      <w:pPr>
        <w:rPr>
          <w:rFonts w:asciiTheme="majorHAnsi" w:hAnsiTheme="majorHAnsi" w:cstheme="majorHAnsi"/>
        </w:rPr>
      </w:pPr>
      <w:r>
        <w:rPr>
          <w:rFonts w:asciiTheme="majorHAnsi" w:hAnsiTheme="majorHAnsi" w:cstheme="majorHAnsi"/>
        </w:rPr>
        <w:br w:type="page"/>
      </w:r>
    </w:p>
    <w:p w14:paraId="1D0861A5" w14:textId="77777777" w:rsidR="00C47779" w:rsidRPr="00EB79B0" w:rsidRDefault="00C47779" w:rsidP="00C47779">
      <w:pPr>
        <w:pStyle w:val="Heading2"/>
        <w:rPr>
          <w:rFonts w:cstheme="majorHAnsi"/>
          <w:color w:val="auto"/>
          <w:sz w:val="28"/>
          <w:szCs w:val="28"/>
        </w:rPr>
      </w:pPr>
      <w:bookmarkStart w:id="31" w:name="_Toc207788587"/>
      <w:bookmarkStart w:id="32" w:name="_Toc210893238"/>
      <w:bookmarkStart w:id="33" w:name="_Toc210912514"/>
      <w:r>
        <w:rPr>
          <w:rFonts w:cstheme="majorHAnsi"/>
          <w:color w:val="auto"/>
          <w:sz w:val="28"/>
          <w:szCs w:val="28"/>
        </w:rPr>
        <w:lastRenderedPageBreak/>
        <w:t>Terms and Conditions</w:t>
      </w:r>
      <w:bookmarkEnd w:id="31"/>
      <w:bookmarkEnd w:id="32"/>
      <w:bookmarkEnd w:id="33"/>
    </w:p>
    <w:p w14:paraId="6596AC10" w14:textId="02A44B1B" w:rsidR="00C47779" w:rsidRPr="00906E9B" w:rsidRDefault="00C47779" w:rsidP="00C47779">
      <w:pPr>
        <w:numPr>
          <w:ilvl w:val="0"/>
          <w:numId w:val="25"/>
        </w:numPr>
        <w:spacing w:after="0"/>
        <w:rPr>
          <w:rFonts w:asciiTheme="majorHAnsi" w:hAnsiTheme="majorHAnsi" w:cstheme="majorHAnsi"/>
        </w:rPr>
      </w:pPr>
      <w:r>
        <w:rPr>
          <w:rFonts w:asciiTheme="majorHAnsi" w:hAnsiTheme="majorHAnsi" w:cstheme="majorHAnsi"/>
          <w:b/>
        </w:rPr>
        <w:t>Validity:</w:t>
      </w:r>
      <w:r>
        <w:rPr>
          <w:rFonts w:asciiTheme="majorHAnsi" w:hAnsiTheme="majorHAnsi" w:cstheme="majorHAnsi"/>
        </w:rPr>
        <w:t xml:space="preserve"> All proposals from DSG are valid for thirty (30) days unless otherwise stated.</w:t>
      </w:r>
    </w:p>
    <w:p w14:paraId="6053D9B2" w14:textId="77777777" w:rsidR="00C47779" w:rsidRPr="00906E9B" w:rsidRDefault="00C47779" w:rsidP="00C47779">
      <w:pPr>
        <w:numPr>
          <w:ilvl w:val="0"/>
          <w:numId w:val="25"/>
        </w:numPr>
        <w:spacing w:after="0"/>
        <w:rPr>
          <w:rFonts w:asciiTheme="majorHAnsi" w:hAnsiTheme="majorHAnsi" w:cstheme="majorHAnsi"/>
        </w:rPr>
      </w:pPr>
      <w:r>
        <w:rPr>
          <w:rFonts w:asciiTheme="majorHAnsi" w:hAnsiTheme="majorHAnsi" w:cstheme="majorHAnsi"/>
          <w:b/>
        </w:rPr>
        <w:t>Additional Agreements:</w:t>
      </w:r>
      <w:r>
        <w:rPr>
          <w:rFonts w:asciiTheme="majorHAnsi" w:hAnsiTheme="majorHAnsi" w:cstheme="majorHAnsi"/>
        </w:rPr>
        <w:t xml:space="preserve"> The agreement is subject to the signature of comprehensive contract.</w:t>
      </w:r>
    </w:p>
    <w:p w14:paraId="0BD3737C" w14:textId="77777777" w:rsidR="00C47779" w:rsidRPr="00906E9B" w:rsidRDefault="00C47779" w:rsidP="00C47779">
      <w:pPr>
        <w:numPr>
          <w:ilvl w:val="0"/>
          <w:numId w:val="25"/>
        </w:numPr>
        <w:spacing w:after="0"/>
        <w:rPr>
          <w:rFonts w:asciiTheme="majorHAnsi" w:hAnsiTheme="majorHAnsi" w:cstheme="majorHAnsi"/>
        </w:rPr>
      </w:pPr>
      <w:r>
        <w:rPr>
          <w:rFonts w:asciiTheme="majorHAnsi" w:hAnsiTheme="majorHAnsi" w:cstheme="majorHAnsi"/>
          <w:b/>
        </w:rPr>
        <w:t>Payment Terms:</w:t>
      </w:r>
      <w:r>
        <w:rPr>
          <w:rFonts w:asciiTheme="majorHAnsi" w:hAnsiTheme="majorHAnsi" w:cstheme="majorHAnsi"/>
        </w:rPr>
        <w:t xml:space="preserve"> All services are payable within thirty (30) days of the invoice date. Late payments are subject to a 2% penalty per month.</w:t>
      </w:r>
    </w:p>
    <w:p w14:paraId="4A020C27" w14:textId="37AEA185" w:rsidR="00C47779" w:rsidRPr="00906E9B" w:rsidRDefault="00C47779" w:rsidP="00C47779">
      <w:pPr>
        <w:numPr>
          <w:ilvl w:val="0"/>
          <w:numId w:val="25"/>
        </w:numPr>
        <w:spacing w:after="0"/>
        <w:rPr>
          <w:rFonts w:asciiTheme="majorHAnsi" w:hAnsiTheme="majorHAnsi" w:cstheme="majorHAnsi"/>
        </w:rPr>
      </w:pPr>
      <w:r>
        <w:rPr>
          <w:rFonts w:asciiTheme="majorHAnsi" w:hAnsiTheme="majorHAnsi" w:cstheme="majorHAnsi"/>
          <w:b/>
        </w:rPr>
        <w:t>Pricing Adjustments:</w:t>
      </w:r>
      <w:r>
        <w:rPr>
          <w:rFonts w:asciiTheme="majorHAnsi" w:hAnsiTheme="majorHAnsi" w:cstheme="majorHAnsi"/>
        </w:rPr>
        <w:t xml:space="preserve"> Pricing is indicative and subject to foreign currency exchange rate fluctuations. Should any significant changes occur in the USD rate, DSG reserves the right to recalibrate the pricing.</w:t>
      </w:r>
    </w:p>
    <w:p w14:paraId="4B98FF2C" w14:textId="77777777" w:rsidR="00C47779" w:rsidRPr="00906E9B" w:rsidRDefault="00C47779" w:rsidP="00C47779">
      <w:pPr>
        <w:numPr>
          <w:ilvl w:val="0"/>
          <w:numId w:val="25"/>
        </w:numPr>
        <w:spacing w:after="0"/>
        <w:rPr>
          <w:rFonts w:asciiTheme="majorHAnsi" w:hAnsiTheme="majorHAnsi" w:cstheme="majorHAnsi"/>
          <w:bCs/>
        </w:rPr>
      </w:pPr>
      <w:r>
        <w:rPr>
          <w:rFonts w:asciiTheme="majorHAnsi" w:hAnsiTheme="majorHAnsi" w:cstheme="majorHAnsi"/>
          <w:bCs/>
        </w:rPr>
        <w:t>Invoicing Schedule:</w:t>
      </w:r>
    </w:p>
    <w:p w14:paraId="47820E01" w14:textId="77777777" w:rsidR="00C47779" w:rsidRPr="00906E9B" w:rsidRDefault="00C47779" w:rsidP="00C47779">
      <w:pPr>
        <w:numPr>
          <w:ilvl w:val="1"/>
          <w:numId w:val="25"/>
        </w:numPr>
        <w:spacing w:after="0"/>
        <w:rPr>
          <w:rFonts w:asciiTheme="majorHAnsi" w:hAnsiTheme="majorHAnsi" w:cstheme="majorHAnsi"/>
          <w:bCs/>
        </w:rPr>
      </w:pPr>
      <w:r>
        <w:rPr>
          <w:rFonts w:asciiTheme="majorHAnsi" w:hAnsiTheme="majorHAnsi" w:cstheme="majorHAnsi"/>
          <w:bCs/>
        </w:rPr>
        <w:t>50 % deposit on acceptance</w:t>
      </w:r>
    </w:p>
    <w:p w14:paraId="63602017" w14:textId="7B6090E3" w:rsidR="00C47779" w:rsidRPr="00906E9B" w:rsidRDefault="00C47779" w:rsidP="00C47779">
      <w:pPr>
        <w:numPr>
          <w:ilvl w:val="1"/>
          <w:numId w:val="25"/>
        </w:numPr>
        <w:spacing w:after="0"/>
        <w:rPr>
          <w:rFonts w:asciiTheme="majorHAnsi" w:hAnsiTheme="majorHAnsi" w:cstheme="majorHAnsi"/>
          <w:bCs/>
        </w:rPr>
      </w:pPr>
      <w:r>
        <w:rPr>
          <w:rFonts w:asciiTheme="majorHAnsi" w:hAnsiTheme="majorHAnsi" w:cstheme="majorHAnsi"/>
          <w:bCs/>
        </w:rPr>
        <w:t>Monthly as defined</w:t>
      </w:r>
    </w:p>
    <w:p w14:paraId="79BC097D" w14:textId="77777777" w:rsidR="00C47779" w:rsidRPr="00906E9B" w:rsidRDefault="00C47779" w:rsidP="00C47779">
      <w:pPr>
        <w:ind w:left="720"/>
        <w:rPr>
          <w:rFonts w:asciiTheme="majorHAnsi" w:hAnsiTheme="majorHAnsi" w:cstheme="majorHAnsi"/>
          <w:b/>
          <w:bCs/>
        </w:rPr>
      </w:pPr>
    </w:p>
    <w:p w14:paraId="3DC4F945" w14:textId="77777777" w:rsidR="00C47779" w:rsidRPr="00906E9B" w:rsidRDefault="00C47779" w:rsidP="00C47779">
      <w:pPr>
        <w:rPr>
          <w:rFonts w:asciiTheme="majorHAnsi" w:hAnsiTheme="majorHAnsi" w:cstheme="majorHAnsi"/>
          <w:sz w:val="28"/>
          <w:szCs w:val="28"/>
        </w:rPr>
      </w:pPr>
      <w:r>
        <w:rPr>
          <w:rFonts w:asciiTheme="majorHAnsi" w:hAnsiTheme="majorHAnsi" w:cstheme="majorHAnsi"/>
          <w:sz w:val="28"/>
          <w:szCs w:val="28"/>
        </w:rPr>
        <w:br w:type="page"/>
      </w:r>
    </w:p>
    <w:p w14:paraId="489BA575" w14:textId="77777777" w:rsidR="00C47779" w:rsidRPr="00906E9B" w:rsidRDefault="00C47779" w:rsidP="00C47779">
      <w:pPr>
        <w:rPr>
          <w:rFonts w:asciiTheme="majorHAnsi" w:hAnsiTheme="majorHAnsi" w:cstheme="majorHAnsi"/>
          <w:sz w:val="28"/>
          <w:szCs w:val="28"/>
        </w:rPr>
      </w:pPr>
      <w:r>
        <w:rPr>
          <w:rFonts w:asciiTheme="majorHAnsi" w:hAnsiTheme="majorHAnsi" w:cstheme="majorHAnsi"/>
          <w:sz w:val="28"/>
          <w:szCs w:val="28"/>
        </w:rPr>
        <w:lastRenderedPageBreak/>
        <w:t>Proposal Acceptance</w:t>
      </w:r>
    </w:p>
    <w:p w14:paraId="162747BB" w14:textId="216BABB4" w:rsidR="00C47779" w:rsidRPr="00906E9B" w:rsidRDefault="00C47779" w:rsidP="00C47779">
      <w:pPr>
        <w:spacing w:before="240" w:after="240"/>
        <w:jc w:val="both"/>
        <w:rPr>
          <w:rFonts w:asciiTheme="majorHAnsi" w:hAnsiTheme="majorHAnsi" w:cstheme="majorHAnsi"/>
        </w:rPr>
      </w:pPr>
      <w:r>
        <w:rPr>
          <w:rFonts w:asciiTheme="majorHAnsi" w:hAnsiTheme="majorHAnsi" w:cstheme="majorHAnsi"/>
        </w:rPr>
        <w:t>Upon acceptance, both parties agree to the terms set out in this proposal, and the detailed Scope of Work. This document, along with the SOW, represents the full understanding between DSG and GCT Group.</w:t>
      </w:r>
    </w:p>
    <w:p w14:paraId="7BF79CAF" w14:textId="77777777" w:rsidR="00C47779" w:rsidRPr="00906E9B" w:rsidRDefault="00C47779" w:rsidP="00C47779">
      <w:pPr>
        <w:spacing w:before="240" w:after="240"/>
        <w:jc w:val="both"/>
        <w:rPr>
          <w:rFonts w:asciiTheme="majorHAnsi" w:hAnsiTheme="majorHAnsi" w:cstheme="majorHAnsi"/>
        </w:rPr>
      </w:pPr>
    </w:p>
    <w:p w14:paraId="6542D7EA" w14:textId="77777777" w:rsidR="00C47779" w:rsidRPr="00906E9B" w:rsidRDefault="00C47779" w:rsidP="00C47779">
      <w:pPr>
        <w:spacing w:before="240" w:after="240"/>
        <w:jc w:val="both"/>
        <w:rPr>
          <w:rFonts w:asciiTheme="majorHAnsi" w:hAnsiTheme="majorHAnsi" w:cstheme="majorHAnsi"/>
        </w:rPr>
      </w:pPr>
    </w:p>
    <w:p w14:paraId="50620D0A" w14:textId="77777777" w:rsidR="00C47779" w:rsidRPr="00906E9B" w:rsidRDefault="00C47779" w:rsidP="00C47779">
      <w:pPr>
        <w:spacing w:before="240" w:after="240"/>
        <w:jc w:val="both"/>
        <w:rPr>
          <w:rFonts w:asciiTheme="majorHAnsi" w:hAnsiTheme="majorHAnsi" w:cstheme="majorHAnsi"/>
        </w:rPr>
      </w:pPr>
    </w:p>
    <w:p w14:paraId="5C9B1B16" w14:textId="77777777" w:rsidR="00C47779" w:rsidRPr="00906E9B" w:rsidRDefault="00C47779" w:rsidP="00C47779">
      <w:pPr>
        <w:spacing w:before="240" w:after="240"/>
        <w:jc w:val="both"/>
        <w:rPr>
          <w:rFonts w:asciiTheme="majorHAnsi" w:hAnsiTheme="majorHAnsi" w:cstheme="majorHAnsi"/>
        </w:rPr>
      </w:pPr>
    </w:p>
    <w:p w14:paraId="456B0EC2" w14:textId="77777777" w:rsidR="00C47779" w:rsidRPr="00EB79B0" w:rsidRDefault="00C47779" w:rsidP="00C47779">
      <w:pPr>
        <w:pStyle w:val="Heading2"/>
        <w:rPr>
          <w:rFonts w:cstheme="majorHAnsi"/>
          <w:color w:val="auto"/>
        </w:rPr>
      </w:pPr>
      <w:bookmarkStart w:id="34" w:name="_Toc207788588"/>
      <w:bookmarkStart w:id="35" w:name="_Toc210893239"/>
      <w:bookmarkStart w:id="36" w:name="_Toc210912515"/>
      <w:r>
        <w:rPr>
          <w:rFonts w:cstheme="majorHAnsi"/>
          <w:color w:val="auto"/>
        </w:rPr>
        <w:t>Signatures</w:t>
      </w:r>
      <w:bookmarkEnd w:id="34"/>
      <w:bookmarkEnd w:id="35"/>
      <w:bookmarkEnd w:id="36"/>
    </w:p>
    <w:p w14:paraId="3721F44E" w14:textId="77777777" w:rsidR="00C47779" w:rsidRPr="00906E9B" w:rsidRDefault="00C47779" w:rsidP="00C47779">
      <w:pPr>
        <w:rPr>
          <w:rFonts w:asciiTheme="majorHAnsi" w:hAnsiTheme="majorHAnsi" w:cstheme="majorHAnsi"/>
        </w:rPr>
      </w:pPr>
    </w:p>
    <w:p w14:paraId="2CA62748" w14:textId="77777777" w:rsidR="00C47779" w:rsidRPr="00906E9B" w:rsidRDefault="00C47779" w:rsidP="00C47779">
      <w:pPr>
        <w:rPr>
          <w:rFonts w:asciiTheme="majorHAnsi" w:hAnsiTheme="majorHAnsi" w:cstheme="maj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47779" w:rsidRPr="00906E9B" w14:paraId="3E00B0D9" w14:textId="77777777" w:rsidTr="00760103">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3DD1EA" w14:textId="457F44CB" w:rsidR="00C47779" w:rsidRPr="00906E9B" w:rsidRDefault="00C47779" w:rsidP="00760103">
            <w:pPr>
              <w:spacing w:before="240" w:after="240"/>
              <w:rPr>
                <w:rFonts w:asciiTheme="majorHAnsi" w:hAnsiTheme="majorHAnsi" w:cstheme="majorHAnsi"/>
                <w:b/>
              </w:rPr>
            </w:pPr>
            <w:r>
              <w:rPr>
                <w:rFonts w:asciiTheme="majorHAnsi" w:hAnsiTheme="majorHAnsi" w:cstheme="majorHAnsi"/>
                <w:b/>
              </w:rPr>
              <w:t>For DSG (Pty) Ltd:</w:t>
              <w:br/>
            </w:r>
          </w:p>
          <w:p w14:paraId="47AAF944" w14:textId="77777777" w:rsidR="00C47779" w:rsidRPr="00906E9B" w:rsidRDefault="00C47779" w:rsidP="00760103">
            <w:pPr>
              <w:spacing w:before="240" w:after="240"/>
              <w:rPr>
                <w:rFonts w:asciiTheme="majorHAnsi" w:hAnsiTheme="majorHAnsi" w:cstheme="majorHAnsi"/>
              </w:rPr>
            </w:pPr>
          </w:p>
          <w:p w14:paraId="052977E7" w14:textId="77777777" w:rsidR="00C47779" w:rsidRPr="00906E9B" w:rsidRDefault="00C47779" w:rsidP="00760103">
            <w:pPr>
              <w:spacing w:before="240" w:after="240"/>
              <w:rPr>
                <w:rFonts w:asciiTheme="majorHAnsi" w:hAnsiTheme="majorHAnsi" w:cstheme="majorHAnsi"/>
              </w:rPr>
            </w:pPr>
          </w:p>
          <w:p w14:paraId="22E9965C" w14:textId="77777777" w:rsidR="00C47779" w:rsidRPr="00906E9B" w:rsidRDefault="00C47779" w:rsidP="00760103">
            <w:pPr>
              <w:spacing w:before="240" w:after="240"/>
              <w:rPr>
                <w:rFonts w:asciiTheme="majorHAnsi" w:hAnsiTheme="majorHAnsi" w:cstheme="majorHAnsi"/>
              </w:rPr>
            </w:pPr>
            <w:r>
              <w:rPr>
                <w:rFonts w:asciiTheme="majorHAnsi" w:hAnsiTheme="majorHAnsi" w:cstheme="majorHAnsi"/>
              </w:rPr>
              <w:t>Name: Yaron Assabi</w:t>
              <w:br/>
              <w:t>Position: CEO</w:t>
              <w:br/>
              <w:t xml:space="preserve">Date: </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3A1F29" w14:textId="2E68D87B" w:rsidR="00C47779" w:rsidRPr="00906E9B" w:rsidRDefault="00C47779" w:rsidP="00760103">
            <w:pPr>
              <w:spacing w:before="240" w:after="240"/>
              <w:rPr>
                <w:rFonts w:asciiTheme="majorHAnsi" w:hAnsiTheme="majorHAnsi" w:cstheme="majorHAnsi"/>
                <w:b/>
              </w:rPr>
            </w:pPr>
            <w:r>
              <w:rPr>
                <w:rFonts w:asciiTheme="majorHAnsi" w:hAnsiTheme="majorHAnsi" w:cstheme="majorHAnsi"/>
                <w:b/>
              </w:rPr>
              <w:t>For GCT Group :</w:t>
              <w:br/>
            </w:r>
          </w:p>
          <w:p w14:paraId="2ECA5CA2" w14:textId="77777777" w:rsidR="00C47779" w:rsidRPr="00906E9B" w:rsidRDefault="00C47779" w:rsidP="00760103">
            <w:pPr>
              <w:spacing w:before="240" w:after="240"/>
              <w:rPr>
                <w:rFonts w:asciiTheme="majorHAnsi" w:hAnsiTheme="majorHAnsi" w:cstheme="majorHAnsi"/>
              </w:rPr>
            </w:pPr>
          </w:p>
          <w:p w14:paraId="24508CB1" w14:textId="77777777" w:rsidR="00C47779" w:rsidRPr="00906E9B" w:rsidRDefault="00C47779" w:rsidP="00760103">
            <w:pPr>
              <w:spacing w:before="240" w:after="240"/>
              <w:rPr>
                <w:rFonts w:asciiTheme="majorHAnsi" w:hAnsiTheme="majorHAnsi" w:cstheme="majorHAnsi"/>
              </w:rPr>
            </w:pPr>
          </w:p>
          <w:p w14:paraId="413233F9" w14:textId="77777777" w:rsidR="00C47779" w:rsidRPr="00906E9B" w:rsidRDefault="00C47779" w:rsidP="00760103">
            <w:pPr>
              <w:spacing w:before="240" w:after="240"/>
              <w:rPr>
                <w:rFonts w:asciiTheme="majorHAnsi" w:hAnsiTheme="majorHAnsi" w:cstheme="majorHAnsi"/>
              </w:rPr>
            </w:pPr>
            <w:r>
              <w:rPr>
                <w:rFonts w:asciiTheme="majorHAnsi" w:hAnsiTheme="majorHAnsi" w:cstheme="majorHAnsi"/>
              </w:rPr>
              <w:t xml:space="preserve">Name: </w:t>
              <w:br/>
              <w:t xml:space="preserve">Position: </w:t>
              <w:br/>
              <w:t xml:space="preserve">Date: </w:t>
            </w:r>
          </w:p>
        </w:tc>
      </w:tr>
    </w:tbl>
    <w:p w14:paraId="3B8D430F" w14:textId="77777777" w:rsidR="00C47779" w:rsidRPr="00906E9B" w:rsidRDefault="00C47779" w:rsidP="00C47779">
      <w:pPr>
        <w:spacing w:before="240" w:after="240"/>
        <w:rPr>
          <w:rFonts w:asciiTheme="majorHAnsi" w:hAnsiTheme="majorHAnsi" w:cstheme="majorHAnsi"/>
        </w:rPr>
      </w:pPr>
    </w:p>
    <w:p w14:paraId="26E9E02E" w14:textId="77777777" w:rsidR="00D86F90" w:rsidRPr="00906E9B" w:rsidRDefault="00D86F90">
      <w:pPr>
        <w:rPr>
          <w:rFonts w:asciiTheme="majorHAnsi" w:hAnsiTheme="majorHAnsi" w:cstheme="majorHAnsi"/>
        </w:rPr>
      </w:pPr>
    </w:p>
    <w:sectPr w:rsidR="00D86F90" w:rsidRPr="00906E9B" w:rsidSect="00034616">
      <w:headerReference w:type="default"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54564" w14:textId="77777777" w:rsidR="0034481A" w:rsidRDefault="0034481A" w:rsidP="007102A5">
      <w:pPr>
        <w:spacing w:after="0" w:line="240" w:lineRule="auto"/>
      </w:pPr>
      <w:r>
        <w:separator/>
      </w:r>
    </w:p>
  </w:endnote>
  <w:endnote w:type="continuationSeparator" w:id="0">
    <w:p w14:paraId="5709BE63" w14:textId="77777777" w:rsidR="0034481A" w:rsidRDefault="0034481A" w:rsidP="0071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635436"/>
      <w:docPartObj>
        <w:docPartGallery w:val="Page Numbers (Bottom of Page)"/>
        <w:docPartUnique/>
      </w:docPartObj>
    </w:sdtPr>
    <w:sdtEndPr>
      <w:rPr>
        <w:rFonts w:asciiTheme="majorHAnsi" w:hAnsiTheme="majorHAnsi" w:cstheme="majorHAnsi"/>
        <w:noProof/>
      </w:rPr>
    </w:sdtEndPr>
    <w:sdtContent>
      <w:p w14:paraId="0102FA22" w14:textId="65B9240C" w:rsidR="005D4FAD" w:rsidRPr="00F634DB" w:rsidRDefault="005D4FAD">
        <w:pPr>
          <w:pStyle w:val="Footer"/>
          <w:jc w:val="right"/>
          <w:rPr>
            <w:rFonts w:asciiTheme="majorHAnsi" w:hAnsiTheme="majorHAnsi" w:cstheme="majorHAnsi"/>
          </w:rPr>
        </w:pPr>
        <w:r w:rsidRPr="00F634DB">
          <w:rPr>
            <w:rFonts w:asciiTheme="majorHAnsi" w:hAnsiTheme="majorHAnsi" w:cstheme="majorHAnsi"/>
          </w:rPr>
          <w:fldChar w:fldCharType="begin"/>
        </w:r>
        <w:r w:rsidRPr="00F634DB">
          <w:rPr>
            <w:rFonts w:asciiTheme="majorHAnsi" w:hAnsiTheme="majorHAnsi" w:cstheme="majorHAnsi"/>
          </w:rPr>
          <w:instrText xml:space="preserve"> PAGE   \* MERGEFORMAT </w:instrText>
        </w:r>
        <w:r w:rsidRPr="00F634DB">
          <w:rPr>
            <w:rFonts w:asciiTheme="majorHAnsi" w:hAnsiTheme="majorHAnsi" w:cstheme="majorHAnsi"/>
          </w:rPr>
          <w:fldChar w:fldCharType="separate"/>
        </w:r>
        <w:r w:rsidRPr="00F634DB">
          <w:rPr>
            <w:rFonts w:asciiTheme="majorHAnsi" w:hAnsiTheme="majorHAnsi" w:cstheme="majorHAnsi"/>
            <w:noProof/>
          </w:rPr>
          <w:t>2</w:t>
        </w:r>
        <w:r w:rsidRPr="00F634DB">
          <w:rPr>
            <w:rFonts w:asciiTheme="majorHAnsi" w:hAnsiTheme="majorHAnsi" w:cstheme="majorHAnsi"/>
            <w:noProof/>
          </w:rPr>
          <w:fldChar w:fldCharType="end"/>
        </w:r>
      </w:p>
    </w:sdtContent>
  </w:sdt>
  <w:p w14:paraId="512822AE" w14:textId="0A75D1CB" w:rsidR="00441723" w:rsidRDefault="00E33047" w:rsidP="005D4FAD">
    <w:pPr>
      <w:pStyle w:val="Footer"/>
      <w:jc w:val="right"/>
    </w:pPr>
    <w:r>
      <w:rPr>
        <w:rFonts w:asciiTheme="majorHAnsi" w:hAnsiTheme="majorHAnsi" w:cstheme="majorHAnsi"/>
        <w:noProof/>
        <w:color w:val="4F81BD" w:themeColor="accent1"/>
        <w:sz w:val="56"/>
        <w:szCs w:val="56"/>
      </w:rPr>
      <w:drawing>
        <wp:inline distT="0" distB="0" distL="0" distR="0" wp14:anchorId="64FDFC7C" wp14:editId="6623A911">
          <wp:extent cx="1962528" cy="209550"/>
          <wp:effectExtent l="0" t="0" r="0" b="0"/>
          <wp:docPr id="108002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801" name="Picture 108002801"/>
                  <pic:cNvPicPr/>
                </pic:nvPicPr>
                <pic:blipFill>
                  <a:blip r:embed="rId1"/>
                  <a:stretch>
                    <a:fillRect/>
                  </a:stretch>
                </pic:blipFill>
                <pic:spPr>
                  <a:xfrm>
                    <a:off x="0" y="0"/>
                    <a:ext cx="2063680" cy="22035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C37B8" w14:textId="77777777" w:rsidR="0034481A" w:rsidRDefault="0034481A" w:rsidP="007102A5">
      <w:pPr>
        <w:spacing w:after="0" w:line="240" w:lineRule="auto"/>
      </w:pPr>
      <w:r>
        <w:separator/>
      </w:r>
    </w:p>
  </w:footnote>
  <w:footnote w:type="continuationSeparator" w:id="0">
    <w:p w14:paraId="0B4484CA" w14:textId="77777777" w:rsidR="0034481A" w:rsidRDefault="0034481A" w:rsidP="0071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607CF" w14:textId="64677852" w:rsidR="00441723" w:rsidRDefault="00441723" w:rsidP="00441723">
    <w:pPr>
      <w:pStyle w:val="Header"/>
      <w:jc w:val="right"/>
    </w:pPr>
    <w:r w:rsidRPr="00441723">
      <w:rPr>
        <w:rFonts w:asciiTheme="majorHAnsi" w:hAnsiTheme="majorHAnsi" w:cstheme="majorHAnsi"/>
        <w:noProof/>
        <w:color w:val="4F81BD" w:themeColor="accent1"/>
        <w:sz w:val="56"/>
        <w:szCs w:val="56"/>
      </w:rPr>
      <w:drawing>
        <wp:inline distT="0" distB="0" distL="0" distR="0" wp14:anchorId="707FD134" wp14:editId="7289BBE9">
          <wp:extent cx="826601" cy="353960"/>
          <wp:effectExtent l="0" t="0" r="0" b="8255"/>
          <wp:docPr id="15" name="DSG_Logo_RED.png" descr="DSG_Logo_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SG_Logo_RED.png" descr="DSG_Logo_RED.png"/>
                  <pic:cNvPicPr>
                    <a:picLocks noChangeAspect="1"/>
                  </pic:cNvPicPr>
                </pic:nvPicPr>
                <pic:blipFill>
                  <a:blip r:embed="rId1"/>
                  <a:stretch>
                    <a:fillRect/>
                  </a:stretch>
                </pic:blipFill>
                <pic:spPr>
                  <a:xfrm>
                    <a:off x="0" y="0"/>
                    <a:ext cx="826601" cy="353960"/>
                  </a:xfrm>
                  <a:prstGeom prst="rect">
                    <a:avLst/>
                  </a:prstGeom>
                  <a:ln w="12700">
                    <a:miter lim="400000"/>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37877"/>
    <w:multiLevelType w:val="multilevel"/>
    <w:tmpl w:val="5F6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13ADA"/>
    <w:multiLevelType w:val="hybridMultilevel"/>
    <w:tmpl w:val="DC3EF4E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5DF5C4E"/>
    <w:multiLevelType w:val="multilevel"/>
    <w:tmpl w:val="BAC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347D2"/>
    <w:multiLevelType w:val="hybridMultilevel"/>
    <w:tmpl w:val="12826F2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8411E6"/>
    <w:multiLevelType w:val="hybridMultilevel"/>
    <w:tmpl w:val="B1348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C732B1"/>
    <w:multiLevelType w:val="multilevel"/>
    <w:tmpl w:val="C82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E4CA1"/>
    <w:multiLevelType w:val="hybridMultilevel"/>
    <w:tmpl w:val="19702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912FA2"/>
    <w:multiLevelType w:val="multilevel"/>
    <w:tmpl w:val="31C8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A117C"/>
    <w:multiLevelType w:val="hybridMultilevel"/>
    <w:tmpl w:val="8744A53E"/>
    <w:lvl w:ilvl="0" w:tplc="35EAB0BE">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77D16E5"/>
    <w:multiLevelType w:val="multilevel"/>
    <w:tmpl w:val="1BE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F4B31"/>
    <w:multiLevelType w:val="hybridMultilevel"/>
    <w:tmpl w:val="ACC20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27053C"/>
    <w:multiLevelType w:val="multilevel"/>
    <w:tmpl w:val="DA7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56DC2"/>
    <w:multiLevelType w:val="multilevel"/>
    <w:tmpl w:val="D2D0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D6B7C"/>
    <w:multiLevelType w:val="hybridMultilevel"/>
    <w:tmpl w:val="7EF62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22C6EF9"/>
    <w:multiLevelType w:val="multilevel"/>
    <w:tmpl w:val="45CC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0E61C0"/>
    <w:multiLevelType w:val="multilevel"/>
    <w:tmpl w:val="956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00958"/>
    <w:multiLevelType w:val="multilevel"/>
    <w:tmpl w:val="376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C6D95"/>
    <w:multiLevelType w:val="multilevel"/>
    <w:tmpl w:val="54D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42B60"/>
    <w:multiLevelType w:val="multilevel"/>
    <w:tmpl w:val="5ECE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10121"/>
    <w:multiLevelType w:val="multilevel"/>
    <w:tmpl w:val="F174A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FD2C7F"/>
    <w:multiLevelType w:val="hybridMultilevel"/>
    <w:tmpl w:val="6C3A5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32208B"/>
    <w:multiLevelType w:val="hybridMultilevel"/>
    <w:tmpl w:val="61C65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5D7531"/>
    <w:multiLevelType w:val="hybridMultilevel"/>
    <w:tmpl w:val="B4F4A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981C44"/>
    <w:multiLevelType w:val="multilevel"/>
    <w:tmpl w:val="150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D7088"/>
    <w:multiLevelType w:val="multilevel"/>
    <w:tmpl w:val="D4E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33B4E"/>
    <w:multiLevelType w:val="multilevel"/>
    <w:tmpl w:val="D4F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27F9C"/>
    <w:multiLevelType w:val="multilevel"/>
    <w:tmpl w:val="F174A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4F358F"/>
    <w:multiLevelType w:val="hybridMultilevel"/>
    <w:tmpl w:val="FA4E23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8D056A"/>
    <w:multiLevelType w:val="hybridMultilevel"/>
    <w:tmpl w:val="F9361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A1F1BEB"/>
    <w:multiLevelType w:val="multilevel"/>
    <w:tmpl w:val="7B48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3D22B5"/>
    <w:multiLevelType w:val="hybridMultilevel"/>
    <w:tmpl w:val="C486D6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2E64CF5"/>
    <w:multiLevelType w:val="multilevel"/>
    <w:tmpl w:val="3F9A6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617436F"/>
    <w:multiLevelType w:val="hybridMultilevel"/>
    <w:tmpl w:val="7A0448BC"/>
    <w:lvl w:ilvl="0" w:tplc="08090017">
      <w:start w:val="1"/>
      <w:numFmt w:val="lowerLetter"/>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2" w15:restartNumberingAfterBreak="0">
    <w:nsid w:val="676716DD"/>
    <w:multiLevelType w:val="hybridMultilevel"/>
    <w:tmpl w:val="8C60D20A"/>
    <w:lvl w:ilvl="0" w:tplc="F97A6FD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9E2406D"/>
    <w:multiLevelType w:val="multilevel"/>
    <w:tmpl w:val="BD5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857AE"/>
    <w:multiLevelType w:val="multilevel"/>
    <w:tmpl w:val="EBBE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6E6058"/>
    <w:multiLevelType w:val="multilevel"/>
    <w:tmpl w:val="F174A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B671FA"/>
    <w:multiLevelType w:val="hybridMultilevel"/>
    <w:tmpl w:val="C19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75673FD"/>
    <w:multiLevelType w:val="multilevel"/>
    <w:tmpl w:val="222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35D6F"/>
    <w:multiLevelType w:val="multilevel"/>
    <w:tmpl w:val="82F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E4927"/>
    <w:multiLevelType w:val="hybridMultilevel"/>
    <w:tmpl w:val="2A988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3628254">
    <w:abstractNumId w:val="8"/>
  </w:num>
  <w:num w:numId="2" w16cid:durableId="2123106431">
    <w:abstractNumId w:val="6"/>
  </w:num>
  <w:num w:numId="3" w16cid:durableId="1009672568">
    <w:abstractNumId w:val="5"/>
  </w:num>
  <w:num w:numId="4" w16cid:durableId="928735004">
    <w:abstractNumId w:val="4"/>
  </w:num>
  <w:num w:numId="5" w16cid:durableId="656613444">
    <w:abstractNumId w:val="7"/>
  </w:num>
  <w:num w:numId="6" w16cid:durableId="1588342550">
    <w:abstractNumId w:val="3"/>
  </w:num>
  <w:num w:numId="7" w16cid:durableId="1031879163">
    <w:abstractNumId w:val="2"/>
  </w:num>
  <w:num w:numId="8" w16cid:durableId="861675268">
    <w:abstractNumId w:val="1"/>
  </w:num>
  <w:num w:numId="9" w16cid:durableId="1544439412">
    <w:abstractNumId w:val="0"/>
  </w:num>
  <w:num w:numId="10" w16cid:durableId="966937329">
    <w:abstractNumId w:val="22"/>
  </w:num>
  <w:num w:numId="11" w16cid:durableId="2030403037">
    <w:abstractNumId w:val="39"/>
  </w:num>
  <w:num w:numId="12" w16cid:durableId="2097434535">
    <w:abstractNumId w:val="42"/>
  </w:num>
  <w:num w:numId="13" w16cid:durableId="1502575772">
    <w:abstractNumId w:val="34"/>
  </w:num>
  <w:num w:numId="14" w16cid:durableId="1825388031">
    <w:abstractNumId w:val="28"/>
  </w:num>
  <w:num w:numId="15" w16cid:durableId="2032995553">
    <w:abstractNumId w:val="16"/>
  </w:num>
  <w:num w:numId="16" w16cid:durableId="702873624">
    <w:abstractNumId w:val="29"/>
  </w:num>
  <w:num w:numId="17" w16cid:durableId="1225724115">
    <w:abstractNumId w:val="35"/>
  </w:num>
  <w:num w:numId="18" w16cid:durableId="88624526">
    <w:abstractNumId w:val="45"/>
  </w:num>
  <w:num w:numId="19" w16cid:durableId="1758595474">
    <w:abstractNumId w:val="41"/>
  </w:num>
  <w:num w:numId="20" w16cid:durableId="1338925109">
    <w:abstractNumId w:val="12"/>
  </w:num>
  <w:num w:numId="21" w16cid:durableId="1712919030">
    <w:abstractNumId w:val="17"/>
  </w:num>
  <w:num w:numId="22" w16cid:durableId="1864316351">
    <w:abstractNumId w:val="19"/>
  </w:num>
  <w:num w:numId="23" w16cid:durableId="1357342291">
    <w:abstractNumId w:val="37"/>
  </w:num>
  <w:num w:numId="24" w16cid:durableId="1957833716">
    <w:abstractNumId w:val="10"/>
  </w:num>
  <w:num w:numId="25" w16cid:durableId="303583769">
    <w:abstractNumId w:val="40"/>
  </w:num>
  <w:num w:numId="26" w16cid:durableId="1787969431">
    <w:abstractNumId w:val="31"/>
  </w:num>
  <w:num w:numId="27" w16cid:durableId="1915551747">
    <w:abstractNumId w:val="20"/>
  </w:num>
  <w:num w:numId="28" w16cid:durableId="1377509672">
    <w:abstractNumId w:val="38"/>
  </w:num>
  <w:num w:numId="29" w16cid:durableId="675691270">
    <w:abstractNumId w:val="23"/>
  </w:num>
  <w:num w:numId="30" w16cid:durableId="396049123">
    <w:abstractNumId w:val="17"/>
    <w:lvlOverride w:ilvl="0">
      <w:lvl w:ilvl="0" w:tplc="35EAB0BE">
        <w:start w:val="3"/>
        <w:numFmt w:val="decimal"/>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31" w16cid:durableId="2050303017">
    <w:abstractNumId w:val="46"/>
  </w:num>
  <w:num w:numId="32" w16cid:durableId="3093430">
    <w:abstractNumId w:val="15"/>
  </w:num>
  <w:num w:numId="33" w16cid:durableId="447941091">
    <w:abstractNumId w:val="49"/>
  </w:num>
  <w:num w:numId="34" w16cid:durableId="1341809959">
    <w:abstractNumId w:val="36"/>
  </w:num>
  <w:num w:numId="35" w16cid:durableId="921527506">
    <w:abstractNumId w:val="13"/>
  </w:num>
  <w:num w:numId="36" w16cid:durableId="8220577">
    <w:abstractNumId w:val="30"/>
  </w:num>
  <w:num w:numId="37" w16cid:durableId="1746027008">
    <w:abstractNumId w:val="24"/>
  </w:num>
  <w:num w:numId="38" w16cid:durableId="1954626745">
    <w:abstractNumId w:val="26"/>
  </w:num>
  <w:num w:numId="39" w16cid:durableId="807012342">
    <w:abstractNumId w:val="33"/>
  </w:num>
  <w:num w:numId="40" w16cid:durableId="2034844447">
    <w:abstractNumId w:val="14"/>
  </w:num>
  <w:num w:numId="41" w16cid:durableId="712734212">
    <w:abstractNumId w:val="25"/>
  </w:num>
  <w:num w:numId="42" w16cid:durableId="850803734">
    <w:abstractNumId w:val="27"/>
  </w:num>
  <w:num w:numId="43" w16cid:durableId="1844709235">
    <w:abstractNumId w:val="44"/>
  </w:num>
  <w:num w:numId="44" w16cid:durableId="1673754891">
    <w:abstractNumId w:val="9"/>
  </w:num>
  <w:num w:numId="45" w16cid:durableId="1789549712">
    <w:abstractNumId w:val="48"/>
  </w:num>
  <w:num w:numId="46" w16cid:durableId="1704553902">
    <w:abstractNumId w:val="47"/>
  </w:num>
  <w:num w:numId="47" w16cid:durableId="666520846">
    <w:abstractNumId w:val="43"/>
  </w:num>
  <w:num w:numId="48" w16cid:durableId="168297425">
    <w:abstractNumId w:val="32"/>
  </w:num>
  <w:num w:numId="49" w16cid:durableId="1365518809">
    <w:abstractNumId w:val="21"/>
  </w:num>
  <w:num w:numId="50" w16cid:durableId="1946493957">
    <w:abstractNumId w:val="18"/>
  </w:num>
  <w:num w:numId="51" w16cid:durableId="731732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88"/>
    <w:rsid w:val="00011766"/>
    <w:rsid w:val="00032549"/>
    <w:rsid w:val="000329DF"/>
    <w:rsid w:val="00034616"/>
    <w:rsid w:val="00043003"/>
    <w:rsid w:val="00044C11"/>
    <w:rsid w:val="00046699"/>
    <w:rsid w:val="0006063C"/>
    <w:rsid w:val="00060BAA"/>
    <w:rsid w:val="000627EB"/>
    <w:rsid w:val="000631CF"/>
    <w:rsid w:val="00095481"/>
    <w:rsid w:val="000D3C35"/>
    <w:rsid w:val="00111C8F"/>
    <w:rsid w:val="00111F79"/>
    <w:rsid w:val="0013328C"/>
    <w:rsid w:val="00146F69"/>
    <w:rsid w:val="00147B7B"/>
    <w:rsid w:val="0015074B"/>
    <w:rsid w:val="00150FB5"/>
    <w:rsid w:val="0016671F"/>
    <w:rsid w:val="00174764"/>
    <w:rsid w:val="00176F75"/>
    <w:rsid w:val="001A4B68"/>
    <w:rsid w:val="001B1F18"/>
    <w:rsid w:val="001B5BFF"/>
    <w:rsid w:val="001C39B6"/>
    <w:rsid w:val="001D4C24"/>
    <w:rsid w:val="001D67FF"/>
    <w:rsid w:val="001E1893"/>
    <w:rsid w:val="001E5CFE"/>
    <w:rsid w:val="001E6497"/>
    <w:rsid w:val="001F1DA0"/>
    <w:rsid w:val="00201261"/>
    <w:rsid w:val="00207231"/>
    <w:rsid w:val="0022278A"/>
    <w:rsid w:val="00251F5C"/>
    <w:rsid w:val="00263E96"/>
    <w:rsid w:val="00286854"/>
    <w:rsid w:val="0029639D"/>
    <w:rsid w:val="002A522C"/>
    <w:rsid w:val="002A7CFD"/>
    <w:rsid w:val="002B21AE"/>
    <w:rsid w:val="002B7839"/>
    <w:rsid w:val="002C048D"/>
    <w:rsid w:val="002C2C78"/>
    <w:rsid w:val="002D2EEF"/>
    <w:rsid w:val="002D5016"/>
    <w:rsid w:val="002D7991"/>
    <w:rsid w:val="002D7C2E"/>
    <w:rsid w:val="002E0BCF"/>
    <w:rsid w:val="002E6CFA"/>
    <w:rsid w:val="003040F8"/>
    <w:rsid w:val="00310585"/>
    <w:rsid w:val="00322DE3"/>
    <w:rsid w:val="00326F90"/>
    <w:rsid w:val="0032749E"/>
    <w:rsid w:val="003365CE"/>
    <w:rsid w:val="0034481A"/>
    <w:rsid w:val="00367AE4"/>
    <w:rsid w:val="003735B0"/>
    <w:rsid w:val="003850B5"/>
    <w:rsid w:val="003B57E0"/>
    <w:rsid w:val="003C69F3"/>
    <w:rsid w:val="003E0AB7"/>
    <w:rsid w:val="003F0220"/>
    <w:rsid w:val="003F585A"/>
    <w:rsid w:val="00410D6F"/>
    <w:rsid w:val="00415126"/>
    <w:rsid w:val="00417C6E"/>
    <w:rsid w:val="00420F4E"/>
    <w:rsid w:val="00423DA6"/>
    <w:rsid w:val="00426C8A"/>
    <w:rsid w:val="00431B39"/>
    <w:rsid w:val="00441723"/>
    <w:rsid w:val="004432B0"/>
    <w:rsid w:val="00450E0A"/>
    <w:rsid w:val="0046625F"/>
    <w:rsid w:val="00471438"/>
    <w:rsid w:val="004810D2"/>
    <w:rsid w:val="00485631"/>
    <w:rsid w:val="004A113F"/>
    <w:rsid w:val="004B5E9E"/>
    <w:rsid w:val="004B65D3"/>
    <w:rsid w:val="004D1207"/>
    <w:rsid w:val="004E2C49"/>
    <w:rsid w:val="005005A2"/>
    <w:rsid w:val="005076E7"/>
    <w:rsid w:val="00513392"/>
    <w:rsid w:val="0051637E"/>
    <w:rsid w:val="00520A16"/>
    <w:rsid w:val="005364DB"/>
    <w:rsid w:val="00545154"/>
    <w:rsid w:val="005643A1"/>
    <w:rsid w:val="00565F35"/>
    <w:rsid w:val="005677D4"/>
    <w:rsid w:val="00585804"/>
    <w:rsid w:val="00586324"/>
    <w:rsid w:val="00586BA7"/>
    <w:rsid w:val="00590518"/>
    <w:rsid w:val="00592109"/>
    <w:rsid w:val="005B2A88"/>
    <w:rsid w:val="005C547C"/>
    <w:rsid w:val="005D26D2"/>
    <w:rsid w:val="005D47F9"/>
    <w:rsid w:val="005D4FAD"/>
    <w:rsid w:val="005E1C54"/>
    <w:rsid w:val="005E540F"/>
    <w:rsid w:val="005F35A0"/>
    <w:rsid w:val="005F59E4"/>
    <w:rsid w:val="00601B76"/>
    <w:rsid w:val="006119AC"/>
    <w:rsid w:val="0061285E"/>
    <w:rsid w:val="00624C2A"/>
    <w:rsid w:val="006259BF"/>
    <w:rsid w:val="006275BF"/>
    <w:rsid w:val="0063185B"/>
    <w:rsid w:val="006453CE"/>
    <w:rsid w:val="00653DEA"/>
    <w:rsid w:val="00675610"/>
    <w:rsid w:val="00680215"/>
    <w:rsid w:val="00685163"/>
    <w:rsid w:val="00691604"/>
    <w:rsid w:val="00694F09"/>
    <w:rsid w:val="006B50DB"/>
    <w:rsid w:val="006C49A8"/>
    <w:rsid w:val="006F60E9"/>
    <w:rsid w:val="007102A5"/>
    <w:rsid w:val="00727B18"/>
    <w:rsid w:val="007362C5"/>
    <w:rsid w:val="0074223A"/>
    <w:rsid w:val="00746CE3"/>
    <w:rsid w:val="00755201"/>
    <w:rsid w:val="00755765"/>
    <w:rsid w:val="007605EB"/>
    <w:rsid w:val="007630F4"/>
    <w:rsid w:val="00765A11"/>
    <w:rsid w:val="007738F9"/>
    <w:rsid w:val="00791EEA"/>
    <w:rsid w:val="007A15CA"/>
    <w:rsid w:val="007B1219"/>
    <w:rsid w:val="007C12E1"/>
    <w:rsid w:val="007D0CD0"/>
    <w:rsid w:val="007E3C7C"/>
    <w:rsid w:val="007F30DD"/>
    <w:rsid w:val="007F6AD8"/>
    <w:rsid w:val="00810DFA"/>
    <w:rsid w:val="0082208F"/>
    <w:rsid w:val="00824BE8"/>
    <w:rsid w:val="008336BE"/>
    <w:rsid w:val="00837854"/>
    <w:rsid w:val="008603EE"/>
    <w:rsid w:val="00865A0F"/>
    <w:rsid w:val="00871835"/>
    <w:rsid w:val="00873DBD"/>
    <w:rsid w:val="00894DE1"/>
    <w:rsid w:val="008A1E1F"/>
    <w:rsid w:val="008C102E"/>
    <w:rsid w:val="008C126D"/>
    <w:rsid w:val="008C6F9F"/>
    <w:rsid w:val="008C7F51"/>
    <w:rsid w:val="008D2693"/>
    <w:rsid w:val="008E23AC"/>
    <w:rsid w:val="008E3169"/>
    <w:rsid w:val="008F0344"/>
    <w:rsid w:val="00906E9B"/>
    <w:rsid w:val="00911423"/>
    <w:rsid w:val="009445F1"/>
    <w:rsid w:val="009718A8"/>
    <w:rsid w:val="00987A91"/>
    <w:rsid w:val="009902E3"/>
    <w:rsid w:val="00991F5E"/>
    <w:rsid w:val="009A3E39"/>
    <w:rsid w:val="009C7D2D"/>
    <w:rsid w:val="009E1BBD"/>
    <w:rsid w:val="00A2597C"/>
    <w:rsid w:val="00A36DE3"/>
    <w:rsid w:val="00A435A5"/>
    <w:rsid w:val="00A54C82"/>
    <w:rsid w:val="00A55E69"/>
    <w:rsid w:val="00A57CA1"/>
    <w:rsid w:val="00A648A6"/>
    <w:rsid w:val="00A718FF"/>
    <w:rsid w:val="00A75EB3"/>
    <w:rsid w:val="00A822C4"/>
    <w:rsid w:val="00A91A51"/>
    <w:rsid w:val="00A9326F"/>
    <w:rsid w:val="00A93418"/>
    <w:rsid w:val="00AA1500"/>
    <w:rsid w:val="00AA1D8D"/>
    <w:rsid w:val="00AB42C8"/>
    <w:rsid w:val="00AC1743"/>
    <w:rsid w:val="00AC7928"/>
    <w:rsid w:val="00AD3776"/>
    <w:rsid w:val="00AE526A"/>
    <w:rsid w:val="00AF05DC"/>
    <w:rsid w:val="00AF55F6"/>
    <w:rsid w:val="00B0654C"/>
    <w:rsid w:val="00B117AC"/>
    <w:rsid w:val="00B15E9B"/>
    <w:rsid w:val="00B17273"/>
    <w:rsid w:val="00B27A89"/>
    <w:rsid w:val="00B42CD3"/>
    <w:rsid w:val="00B4728E"/>
    <w:rsid w:val="00B47730"/>
    <w:rsid w:val="00B72150"/>
    <w:rsid w:val="00B725D2"/>
    <w:rsid w:val="00B84F5C"/>
    <w:rsid w:val="00BA0912"/>
    <w:rsid w:val="00BB7269"/>
    <w:rsid w:val="00BC2C1D"/>
    <w:rsid w:val="00BD533D"/>
    <w:rsid w:val="00BE4738"/>
    <w:rsid w:val="00BF294A"/>
    <w:rsid w:val="00BF35F3"/>
    <w:rsid w:val="00C01265"/>
    <w:rsid w:val="00C066C7"/>
    <w:rsid w:val="00C1242C"/>
    <w:rsid w:val="00C248A1"/>
    <w:rsid w:val="00C47779"/>
    <w:rsid w:val="00C50FE6"/>
    <w:rsid w:val="00C652AF"/>
    <w:rsid w:val="00C65372"/>
    <w:rsid w:val="00C74485"/>
    <w:rsid w:val="00C85BC2"/>
    <w:rsid w:val="00C9330B"/>
    <w:rsid w:val="00C94C8E"/>
    <w:rsid w:val="00C95E54"/>
    <w:rsid w:val="00CA0384"/>
    <w:rsid w:val="00CA50EC"/>
    <w:rsid w:val="00CB0664"/>
    <w:rsid w:val="00CB19A6"/>
    <w:rsid w:val="00CB24EF"/>
    <w:rsid w:val="00CB5528"/>
    <w:rsid w:val="00CB7E8F"/>
    <w:rsid w:val="00CC46EC"/>
    <w:rsid w:val="00CC689E"/>
    <w:rsid w:val="00CC7753"/>
    <w:rsid w:val="00CD36DC"/>
    <w:rsid w:val="00CF4881"/>
    <w:rsid w:val="00D02524"/>
    <w:rsid w:val="00D061A1"/>
    <w:rsid w:val="00D113DC"/>
    <w:rsid w:val="00D20DD0"/>
    <w:rsid w:val="00D86F90"/>
    <w:rsid w:val="00D946AE"/>
    <w:rsid w:val="00DA31E5"/>
    <w:rsid w:val="00DB56F1"/>
    <w:rsid w:val="00DC7E8C"/>
    <w:rsid w:val="00DD3259"/>
    <w:rsid w:val="00DE0F0C"/>
    <w:rsid w:val="00DE22B8"/>
    <w:rsid w:val="00E007D4"/>
    <w:rsid w:val="00E07FC5"/>
    <w:rsid w:val="00E13AB0"/>
    <w:rsid w:val="00E33047"/>
    <w:rsid w:val="00E33D59"/>
    <w:rsid w:val="00E46CAE"/>
    <w:rsid w:val="00E52827"/>
    <w:rsid w:val="00E61CC7"/>
    <w:rsid w:val="00E643AC"/>
    <w:rsid w:val="00E905E6"/>
    <w:rsid w:val="00EA3DED"/>
    <w:rsid w:val="00EA465B"/>
    <w:rsid w:val="00EA7D54"/>
    <w:rsid w:val="00EB580E"/>
    <w:rsid w:val="00EB79B0"/>
    <w:rsid w:val="00EC2C21"/>
    <w:rsid w:val="00ED431E"/>
    <w:rsid w:val="00ED793D"/>
    <w:rsid w:val="00EF6BEF"/>
    <w:rsid w:val="00EF7AF6"/>
    <w:rsid w:val="00F02858"/>
    <w:rsid w:val="00F04CC4"/>
    <w:rsid w:val="00F23168"/>
    <w:rsid w:val="00F27D1F"/>
    <w:rsid w:val="00F31B06"/>
    <w:rsid w:val="00F41BB8"/>
    <w:rsid w:val="00F45694"/>
    <w:rsid w:val="00F50CCA"/>
    <w:rsid w:val="00F54FE9"/>
    <w:rsid w:val="00F55BB9"/>
    <w:rsid w:val="00F6192A"/>
    <w:rsid w:val="00F634DB"/>
    <w:rsid w:val="00F70F43"/>
    <w:rsid w:val="00F75ECA"/>
    <w:rsid w:val="00F767FE"/>
    <w:rsid w:val="00F80041"/>
    <w:rsid w:val="00F80775"/>
    <w:rsid w:val="00FA51FF"/>
    <w:rsid w:val="00FB509C"/>
    <w:rsid w:val="00FB54EA"/>
    <w:rsid w:val="00FC2302"/>
    <w:rsid w:val="00FC693F"/>
    <w:rsid w:val="00FD71AF"/>
    <w:rsid w:val="00FF4C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0B992DFF-F458-4E60-A476-904A5C19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E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ted,AB List 1"/>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1288"/>
    <w:rPr>
      <w:color w:val="0000FF" w:themeColor="hyperlink"/>
      <w:u w:val="single"/>
    </w:rPr>
  </w:style>
  <w:style w:type="character" w:styleId="UnresolvedMention">
    <w:name w:val="Unresolved Mention"/>
    <w:basedOn w:val="DefaultParagraphFont"/>
    <w:uiPriority w:val="99"/>
    <w:semiHidden/>
    <w:unhideWhenUsed/>
    <w:rsid w:val="00001288"/>
    <w:rPr>
      <w:color w:val="605E5C"/>
      <w:shd w:val="clear" w:color="auto" w:fill="E1DFDD"/>
    </w:rPr>
  </w:style>
  <w:style w:type="character" w:customStyle="1" w:styleId="ListParagraphChar">
    <w:name w:val="List Paragraph Char"/>
    <w:aliases w:val="Bulletted Char,AB List 1 Char"/>
    <w:link w:val="ListParagraph"/>
    <w:uiPriority w:val="34"/>
    <w:rsid w:val="00F27D1F"/>
  </w:style>
  <w:style w:type="paragraph" w:styleId="TOC1">
    <w:name w:val="toc 1"/>
    <w:basedOn w:val="Normal"/>
    <w:next w:val="Normal"/>
    <w:autoRedefine/>
    <w:uiPriority w:val="39"/>
    <w:unhideWhenUsed/>
    <w:rsid w:val="00C85BC2"/>
    <w:pPr>
      <w:spacing w:after="100"/>
    </w:pPr>
  </w:style>
  <w:style w:type="paragraph" w:styleId="TOC3">
    <w:name w:val="toc 3"/>
    <w:basedOn w:val="Normal"/>
    <w:next w:val="Normal"/>
    <w:autoRedefine/>
    <w:uiPriority w:val="39"/>
    <w:unhideWhenUsed/>
    <w:rsid w:val="00C85BC2"/>
    <w:pPr>
      <w:spacing w:after="100"/>
      <w:ind w:left="440"/>
    </w:pPr>
  </w:style>
  <w:style w:type="paragraph" w:styleId="NormalWeb">
    <w:name w:val="Normal (Web)"/>
    <w:basedOn w:val="Normal"/>
    <w:uiPriority w:val="99"/>
    <w:semiHidden/>
    <w:unhideWhenUsed/>
    <w:rsid w:val="00D20DD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2">
    <w:name w:val="toc 2"/>
    <w:basedOn w:val="Normal"/>
    <w:next w:val="Normal"/>
    <w:autoRedefine/>
    <w:uiPriority w:val="39"/>
    <w:unhideWhenUsed/>
    <w:rsid w:val="00906E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dsg.co.za/" TargetMode="External"/><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8.pn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1655</TotalTime>
  <Pages>21</Pages>
  <Words>3310</Words>
  <Characters>18870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Wicks</cp:lastModifiedBy>
  <cp:revision>34</cp:revision>
  <cp:lastPrinted>2026-02-24T10:13:00Z</cp:lastPrinted>
  <dcterms:created xsi:type="dcterms:W3CDTF">2026-02-18T08:52:00Z</dcterms:created>
  <dcterms:modified xsi:type="dcterms:W3CDTF">2026-02-26T07:22:00Z</dcterms:modified>
  <cp:category/>
</cp:coreProperties>
</file>