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 w:eastAsia="宋体"/>
          <w:b/>
          <w:i w:val="0"/>
          <w:color w:val="0B2545"/>
          <w:sz w:val="40"/>
        </w:rPr>
        <w:t>E42 驱动系统设计报告</w:t>
      </w:r>
    </w:p>
    <w:p>
      <w:pPr>
        <w:spacing w:before="0" w:after="200" w:line="240" w:lineRule="auto"/>
        <w:jc w:val="left"/>
      </w:pPr>
      <w:r>
        <w:rPr>
          <w:rFonts w:ascii="Calibri" w:hAnsi="Calibri" w:eastAsia="宋体"/>
          <w:b w:val="0"/>
          <w:i w:val="0"/>
          <w:color w:val="555555"/>
          <w:sz w:val="26"/>
        </w:rPr>
        <w:t>原始模式 vs 优化模式</w:t>
      </w:r>
    </w:p>
    <w:p>
      <w:pPr>
        <w:spacing w:before="0" w:after="20" w:line="240" w:lineRule="auto"/>
        <w:jc w:val="left"/>
      </w:pPr>
      <w:r>
        <w:rPr>
          <w:rFonts w:ascii="Calibri" w:hAnsi="Calibri" w:eastAsia="宋体"/>
          <w:b w:val="0"/>
          <w:i w:val="0"/>
          <w:color w:val="555555"/>
          <w:sz w:val="18"/>
        </w:rPr>
        <w:t>编制日期：2026-08-12</w:t>
      </w:r>
    </w:p>
    <w:p>
      <w:pPr>
        <w:spacing w:before="0" w:after="20" w:line="240" w:lineRule="auto"/>
        <w:jc w:val="left"/>
      </w:pPr>
      <w:r>
        <w:rPr>
          <w:rFonts w:ascii="Calibri" w:hAnsi="Calibri" w:eastAsia="宋体"/>
          <w:b w:val="0"/>
          <w:i w:val="0"/>
          <w:color w:val="555555"/>
          <w:sz w:val="18"/>
        </w:rPr>
        <w:t>原始版：E:\自研BMS和软件资料\E42\E42\text28.slx（未改动）</w:t>
      </w:r>
    </w:p>
    <w:p>
      <w:pPr>
        <w:spacing w:before="0" w:after="20" w:line="240" w:lineRule="auto"/>
        <w:jc w:val="left"/>
      </w:pPr>
      <w:r>
        <w:rPr>
          <w:rFonts w:ascii="Calibri" w:hAnsi="Calibri" w:eastAsia="宋体"/>
          <w:b w:val="0"/>
          <w:i w:val="0"/>
          <w:color w:val="555555"/>
          <w:sz w:val="18"/>
        </w:rPr>
        <w:t>优化版：E:\自研BMS和软件资料\E42_优化\text28.slx</w:t>
      </w:r>
    </w:p>
    <w:p>
      <w:pPr>
        <w:spacing w:before="0" w:after="240" w:line="240" w:lineRule="auto"/>
        <w:jc w:val="left"/>
      </w:pPr>
      <w:r>
        <w:rPr>
          <w:rFonts w:ascii="Calibri" w:hAnsi="Calibri" w:eastAsia="宋体"/>
          <w:b w:val="0"/>
          <w:i w:val="0"/>
          <w:color w:val="555555"/>
          <w:sz w:val="18"/>
        </w:rPr>
        <w:t>平台：MATLAB R2014a / Simulink，RapidECU-U2（MPC5554），驱动任务 10ms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1  概述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原始模型是一套基于 RapidECU 的 FSEC 赛车整车驱动控制逻辑，核心功能包括油门踏板信号处理、扭矩请求生成、制动优先、待驶（Ready-to-Drive）控制、电机 CAN 报文打包与 BMS/MCU 状态接收。原始逻辑可以正常工作，但存在三类问题：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控制策略简单：扭矩请求 = 油门原始值 × 允许标志，无扰动补偿、无主动阻尼、无扭矩斜率控制；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信号浪费：滑转率、车速、电机转速/扭矩等信号算出后未参与任何控制；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结构与命名混乱：死代码多、块名含换行符、传递函数等命名误导。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优化版在不改变上电流程、任务调度、CAN 通信、RapidECU 配置等基础框架的前提下，新增 AEKF 扰动估计与主动阻尼模块，按 2026 赛事规则补充安全逻辑，并对驱动部分做了清理。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2  原始驱动模式分析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2.1  总体数据流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角度传感器(ch52/ch53) → 角度处理 → 油门规则 → 油门输出 → ECU → MCU_CAN发送 → 电机控制器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制动与尾灯(油压) → 油门规则 刹车优先 / 制动与待驶(待驶) → 复位/使能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电机测速(CAN) → 电机转速/电机扭矩（仅测量，未用于控制）</w:t>
      </w:r>
    </w:p>
    <w:p>
      <w:pPr>
        <w:spacing w:before="0" w:after="12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前轮转速(ch6/ch7) → 滑转率计算 → 滑转率（未使用）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2.2  油门踏板处理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双路角度传感器：角度1（ch52）、角度2（ch53），ADC 采样；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分别做零位/量程标定（约 960/1800 与 970/1780）得到百分比；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两路百分比差值 &gt;10% 判不可靠，不可靠时油门数值清零；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原始值经空量程/阈值等环节做范围处理。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2.3  扭矩请求生成（油门规则）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油门百分比 &lt;5%（油门死区判断） × 无刹车（刹车判断）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 xml:space="preserve">          + 同时油门刹车冲突锁存（油门&gt;25% 且刹车 → 0，直至松开油门恢复）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 xml:space="preserve">          → 动力允许判断（≥1 有效）</w:t>
      </w:r>
    </w:p>
    <w:p>
      <w:pPr>
        <w:spacing w:before="0" w:after="12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扭矩请求 = 油门原始值 × 动力允许标志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特点：逻辑简单可靠，但扭矩请求无斜率限制，电机阶跃响应冲击传动系；无扰动/负载补偿；无主动阻尼。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2.4  待驶与安全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待驶激活 = 制动有效 AND 待驶按键（EV4.11.5 要求）；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安全回路断开立即退出待驶（EV4.11.6）；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进入待驶后鸣笛约 1.5s（EV4.12）；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系统关键信号（APPS 状态）→ 安全回路输出。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2.5  原始版存在的问题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648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说明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滑转率未使用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前轮转速+后轮转速算出滑转率，仅接 Terminator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车速/转速/扭矩未使用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四个输出口全部接 Terminator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无扰动补偿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负载突变/齿槽脉动直接反映为转速波动与负向冲击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无扭矩平滑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油门阶跃直接发 CAN，传动冲击明显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 CAN 失效保护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生命计数器解码后接 Terminator，断线无兜底</w:t>
            </w:r>
          </w:p>
        </w:tc>
      </w:tr>
      <w:tr>
        <w:trPr/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命名混乱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传递函数、Subsystem、youya1 等；多处块名含换行符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3  优化后驱动模式设计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3.1  总体架构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在油门规则与油门输出之间插入 Drive_AEKF 模块：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油门规则(油门请求) ──→ Drive_AEKF ──→ 油门输出 → ECU → MCU_CAN发送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 ↑          ↑</w:t>
      </w:r>
    </w:p>
    <w:p>
      <w:pPr>
        <w:spacing w:before="0" w:after="12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 xml:space="preserve">                  电机转速(CAN)  电机扭矩(CAN)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清理后驱动逻辑对外输出缩减为 4 个：油门输出、复位、使能、系统关键信号。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3.2  AEKF 扰动估计器（降阶机械域）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原始论文方案为 4 状态电流域 AEKF（[id,iq,ω,Td]）；按实车仅有的信号（角度传感器 + 电机转速/扭矩 CAN 反馈）降阶为 2 状态机械域模型：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状态：x = [ω_hat; Td_hat]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量测：y = ω（电机转速）</w:t>
      </w:r>
    </w:p>
    <w:p>
      <w:pPr>
        <w:spacing w:before="0" w:after="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输入：u = Te（电机扭矩反馈）</w:t>
      </w:r>
    </w:p>
    <w:p>
      <w:pPr>
        <w:spacing w:before="0" w:after="120" w:line="240" w:lineRule="auto"/>
        <w:ind w:left="216" w:right="216"/>
        <w:jc w:val="left"/>
        <w:shd w:val="clear" w:color="auto" w:fill="F4F6F9"/>
      </w:pPr>
      <w:r>
        <w:rPr>
          <w:rFonts w:ascii="Consolas" w:hAnsi="Consolas" w:eastAsia="宋体"/>
          <w:b w:val="0"/>
          <w:i w:val="0"/>
          <w:sz w:val="18"/>
        </w:rPr>
        <w:t>模型：J·dω/dt = Te − Td − B·ω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保留论文核心机制：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NIS 门控遗忘因子 λ∈[0.85, 0.98]，卡方阈值 γ=3.841（单量测自由度 1）；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协方差对角元上限保护 Pcap=[100, 400]；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Joseph 形式协方差更新，保证数值正定；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故障安全：NIS 持续越限 20ms 前馈淡出，恢复 50ms 后投入；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前馈补偿：Td_hat 经 5Hz 低通、±6 N·m 限幅后叠加；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主动阻尼：指令减去 Kd·ω（Kd=0.01 N·m·s/rad）。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3.3  新增安全逻辑（2026 规则）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规则</w:t>
            </w:r>
          </w:p>
        </w:tc>
        <w:tc>
          <w:tcPr>
            <w:tcW w:type="dxa" w:w="6768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实现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T12.9.12 松开踏板轮上扭矩≤0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T_base≤0 → T_opt=0，前馈不允许叠加正扭矩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T12.10.5 数字信号延迟≤500ms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电机转速/扭矩连续 50 周期（500ms）不变 → 判 CAN 失效，冻结 AEKF，禁用前馈/阻尼，退化为纯油门直通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3.4  清理与命名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删除死代码：前轮转速、滑转率计算、车速/滑转率/电机转速/电机扭矩输出口及 Terminator、转速转轮速换算链；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重命名 26 处：传递函数→油门请求、Subsystem→驱动逻辑、Subsystem2→安全回路输出、appsrule→油门规则、同时油门刹车→油门刹车冲突 等；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去除所有块名中的换行符。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4  对比总结</w:t>
      </w: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4.1  控制策略对比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原始版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优化版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扭矩请求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油门原始值 × 允许标志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同上 + AEKF 前馈 − 主动阻尼 + 斜率限制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扰动/负载补偿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AEKF 在线估计 Td 并前馈抵消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主动阻尼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Kd·ω，抑制转速振荡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扭矩平滑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上升 2500/s、下降 5000/s（原始单位）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油门松开保护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依赖原始值≈0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显式强制 T_opt=0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CAN 失效保护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500ms 检测，冻结补偿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滑转率/轮速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计算未用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已删除（实车无轮速传感器）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待驶/鸣笛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制动+按键、1.5s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不变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制动优先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有（软件锁存）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不变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4.2  接口对比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接口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原始版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优化版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驱动逻辑输出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8 个（4 个未使用）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4 个：油门输出/复位/使能/系统关键信号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电机测速输出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3 个（后轮速度未用）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2 个：电机转速/电机扭矩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传感器依赖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角度×2 + 轮速×2（实车无）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角度×2 + 电机 CAN 反馈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4.3  规则符合性对比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3384"/>
        <w:gridCol w:w="3384"/>
      </w:tblGrid>
      <w:tr>
        <w:trPr>
          <w:tblHeader/>
        </w:trPr>
        <w:tc>
          <w:tcPr>
            <w:tcW w:type="dxa" w:w="2592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条款</w:t>
            </w:r>
          </w:p>
        </w:tc>
        <w:tc>
          <w:tcPr>
            <w:tcW w:type="dxa" w:w="3384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原始版</w:t>
            </w:r>
          </w:p>
        </w:tc>
        <w:tc>
          <w:tcPr>
            <w:tcW w:type="dxa" w:w="3384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优化版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T12.9.5 双 APPS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T12.9.9 差值 10% 判不可靠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T12.9.12 松开踏板零扭矩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隐式（依赖原始值）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显式强制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T12.10.5 数字信号 500ms 上限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不满足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</w:tr>
      <w:tr>
        <w:trPr/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EV4.11.5/4.12 待驶与鸣笛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满足</w:t>
            </w:r>
          </w:p>
        </w:tc>
      </w:tr>
    </w:tbl>
    <w:p>
      <w:pPr>
        <w:spacing w:after="40"/>
      </w:pPr>
    </w:p>
    <w:p>
      <w:pPr>
        <w:pStyle w:val="Heading2"/>
        <w:spacing w:before="240" w:after="12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26"/>
        </w:rPr>
        <w:t>4.4  代码质量对比</w:t>
      </w:r>
    </w:p>
    <w:tbl>
      <w:tblPr>
        <w:tblW w:type="dxa" w:w="9360"/>
        <w:tblLook w:firstColumn="1" w:firstRow="1" w:lastColumn="0" w:lastRow="0" w:noHBand="0" w:noVBand="1" w:val="04A0"/>
        <w:jc w:val="left"/>
        <w:tblCellMar>
          <w:top w:w="80" w:type="dxa"/>
          <w:bottom w:w="80" w:type="dxa"/>
          <w:start w:w="120" w:type="dxa"/>
          <w:end w:w="120" w:type="dxa"/>
        </w:tblCellMar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原始版</w:t>
            </w:r>
          </w:p>
        </w:tc>
        <w:tc>
          <w:tcPr>
            <w:tcW w:type="dxa" w:w="3600"/>
            <w:vAlign w:val="center"/>
            <w:shd w:val="clear" w:color="auto"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/>
                <w:i w:val="0"/>
                <w:sz w:val="20"/>
              </w:rPr>
              <w:t>优化版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死代码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轮速/滑转率/转速/扭矩链路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已清理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命名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混乱、含换行符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统一清晰</w:t>
            </w:r>
          </w:p>
        </w:tc>
      </w:tr>
      <w:tr>
        <w:trPr/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可维护性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一般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sz w:val="20"/>
              </w:rPr>
              <w:t>明显提升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5  验证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MATLAB R2014a 加载优化版：正常；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Simulink update：UPDATE_OK，无结构错误；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Drive_AEKF：3 输入（T_base/w_rpm/Te_raw）→ 1 输出（T_opt），接线完整；</w:t>
      </w:r>
    </w:p>
    <w:p>
      <w:pPr>
        <w:pStyle w:val="ListBullet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原始版 E42\E42\text28.slx 全程未改动（哈希校验一致）。</w:t>
      </w:r>
    </w:p>
    <w:p>
      <w:pPr>
        <w:pStyle w:val="Heading1"/>
        <w:spacing w:before="320" w:after="160" w:line="240" w:lineRule="auto"/>
        <w:jc w:val="left"/>
      </w:pPr>
      <w:r>
        <w:rPr>
          <w:rFonts w:ascii="Calibri" w:hAnsi="Calibri" w:eastAsia="宋体"/>
          <w:b/>
          <w:i w:val="0"/>
          <w:color w:val="2E74B5"/>
          <w:sz w:val="32"/>
        </w:rPr>
        <w:t>6  结论与后续建议</w:t>
      </w:r>
    </w:p>
    <w:p>
      <w:pPr>
        <w:spacing w:before="0" w:after="120" w:line="264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优化版在保留原有安全逻辑与框架的前提下，解决了扭矩冲击、负载扰动、CAN 失效无保护等核心问题，并满足 2026 赛事规则对驱动控制的增量要求，同时大幅清理了死代码与命名混乱。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实车标定前核对 MCU 扭矩报文缩放（当前按 0.1 N·m/LSB，RAW=10）；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台架验证 AEKF 收敛与主动阻尼系数 Kd；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若后续加装轮速传感器，可恢复滑转率链路并叠加牵引力控制；</w:t>
      </w:r>
    </w:p>
    <w:p>
      <w:pPr>
        <w:pStyle w:val="ListNumber"/>
        <w:spacing w:before="0" w:after="160" w:line="280" w:lineRule="auto"/>
        <w:jc w:val="left"/>
      </w:pPr>
      <w:r>
        <w:rPr>
          <w:rFonts w:ascii="Calibri" w:hAnsi="Calibri" w:eastAsia="宋体"/>
          <w:b w:val="0"/>
          <w:i w:val="0"/>
          <w:sz w:val="22"/>
        </w:rPr>
        <w:t>电机测速内 5 条未使用 CAN 解码链（主动放电、IGBT 反馈、生命计数器、电流、预充）可择机删除。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i w:val="0"/>
        <w:color w:val="555555"/>
        <w:sz w:val="16"/>
      </w:rPr>
      <w:t xml:space="preserve">第 </w:t>
    </w:r>
    <w:fldSimple w:instr=" PAGE "/>
    <w:r>
      <w:rPr>
        <w:rFonts w:ascii="Calibri" w:hAnsi="Calibri" w:eastAsia="宋体"/>
        <w:b w:val="0"/>
        <w:i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宋体"/>
        <w:b w:val="0"/>
        <w:i w:val="0"/>
        <w:color w:val="555555"/>
        <w:sz w:val="16"/>
      </w:rPr>
      <w:t>E42 驱动系统设计报告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E42 驱动系统设计报告（原始模式 vs 优化模式）</dc:title>
  <dc:subject>驱动控制设计对比报告</dc:subject>
  <dc:creator>E42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