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eastAsia="黑体"/>
          <w:rFonts w:ascii="Times New Roman" w:hAnsi="Times New Roman"/>
          <w:sz w:val="32"/>
        </w:rPr>
        <w:t>BALF-Analyzer：一种基于多视觉基础模型的训练自由式支气管肺泡灌洗液细胞少样本分类系统</w:t>
      </w:r>
    </w:p>
    <w:p>
      <w:pPr>
        <w:jc w:val="both"/>
      </w:pPr>
      <w:r>
        <w:rPr>
          <w:rFonts w:eastAsia="宋体"/>
          <w:rFonts w:ascii="Times New Roman" w:hAnsi="Times New Roman"/>
          <w:b w:val="0"/>
          <w:sz w:val="24"/>
        </w:rPr>
      </w:r>
      <w:r>
        <w:rPr>
          <w:rFonts w:eastAsia="宋体"/>
          <w:rFonts w:ascii="Times New Roman" w:hAnsi="Times New Roman"/>
          <w:b/>
          <w:sz w:val="24"/>
        </w:rPr>
        <w:t>草稿版本</w:t>
      </w:r>
      <w:r>
        <w:rPr>
          <w:rFonts w:eastAsia="宋体"/>
          <w:rFonts w:ascii="Times New Roman" w:hAnsi="Times New Roman"/>
          <w:b w:val="0"/>
          <w:sz w:val="24"/>
        </w:rPr>
        <w:t xml:space="preserve">：v1.0 | </w:t>
      </w:r>
      <w:r>
        <w:rPr>
          <w:rFonts w:eastAsia="宋体"/>
          <w:rFonts w:ascii="Times New Roman" w:hAnsi="Times New Roman"/>
          <w:b/>
          <w:sz w:val="24"/>
        </w:rPr>
        <w:t>日期</w:t>
      </w:r>
      <w:r>
        <w:rPr>
          <w:rFonts w:eastAsia="宋体"/>
          <w:rFonts w:ascii="Times New Roman" w:hAnsi="Times New Roman"/>
          <w:b w:val="0"/>
          <w:sz w:val="24"/>
        </w:rPr>
        <w:t>：2026-04-18</w:t>
      </w:r>
    </w:p>
    <w:p>
      <w:pPr>
        <w:jc w:val="both"/>
      </w:pPr>
      <w:r>
        <w:rPr>
          <w:rFonts w:eastAsia="宋体"/>
          <w:rFonts w:ascii="Times New Roman" w:hAnsi="Times New Roman"/>
          <w:b w:val="0"/>
          <w:sz w:val="24"/>
        </w:rPr>
      </w:r>
      <w:r>
        <w:rPr>
          <w:rFonts w:eastAsia="宋体"/>
          <w:rFonts w:ascii="Times New Roman" w:hAnsi="Times New Roman"/>
          <w:b/>
          <w:sz w:val="24"/>
        </w:rPr>
        <w:t>目标期刊</w:t>
      </w:r>
      <w:r>
        <w:rPr>
          <w:rFonts w:eastAsia="宋体"/>
          <w:rFonts w:ascii="Times New Roman" w:hAnsi="Times New Roman"/>
          <w:b w:val="0"/>
          <w:sz w:val="24"/>
        </w:rPr>
        <w:t>：Computerized Medical Imaging and Graphics（CMIG，二区，IF 5.4）</w:t>
      </w:r>
    </w:p>
    <w:p>
      <w:pPr>
        <w:jc w:val="both"/>
      </w:pPr>
      <w:r>
        <w:rPr>
          <w:rFonts w:eastAsia="宋体"/>
          <w:rFonts w:ascii="Times New Roman" w:hAnsi="Times New Roman"/>
          <w:b w:val="0"/>
          <w:sz w:val="24"/>
        </w:rPr>
      </w:r>
      <w:r>
        <w:rPr>
          <w:rFonts w:eastAsia="宋体"/>
          <w:rFonts w:ascii="Times New Roman" w:hAnsi="Times New Roman"/>
          <w:b/>
          <w:sz w:val="24"/>
        </w:rPr>
        <w:t>说明</w:t>
      </w:r>
      <w:r>
        <w:rPr>
          <w:rFonts w:eastAsia="宋体"/>
          <w:rFonts w:ascii="Times New Roman" w:hAnsi="Times New Roman"/>
          <w:b w:val="0"/>
          <w:sz w:val="24"/>
        </w:rPr>
        <w:t>：[待补] 标记处为后续跨数据集实验结果占位符，当前仅使用 data2_organized 数据集</w:t>
      </w:r>
    </w:p>
    <w:p/>
    <w:p>
      <w:pPr>
        <w:pStyle w:val="Heading2"/>
        <w:jc w:val="left"/>
      </w:pPr>
      <w:r>
        <w:rPr>
          <w:rFonts w:eastAsia="黑体"/>
          <w:rFonts w:ascii="Times New Roman" w:hAnsi="Times New Roman"/>
          <w:sz w:val="28"/>
        </w:rPr>
        <w:t>摘要</w:t>
      </w:r>
    </w:p>
    <w:p>
      <w:pPr>
        <w:jc w:val="both"/>
      </w:pPr>
      <w:r>
        <w:rPr>
          <w:rFonts w:eastAsia="宋体"/>
          <w:rFonts w:ascii="Times New Roman" w:hAnsi="Times New Roman"/>
          <w:b w:val="0"/>
          <w:sz w:val="24"/>
        </w:rPr>
        <w:t xml:space="preserve">支气管肺泡灌洗液（BALF）细胞学检查是肺部疾病临床诊断的重要手段，但准确的细胞分类高度依赖专家人工标注，耗时且存在观察者间差异。本文提出 </w:t>
      </w:r>
      <w:r>
        <w:rPr>
          <w:rFonts w:eastAsia="宋体"/>
          <w:rFonts w:ascii="Times New Roman" w:hAnsi="Times New Roman"/>
          <w:b/>
          <w:sz w:val="24"/>
        </w:rPr>
        <w:t>BALF-Analyzer</w:t>
      </w:r>
      <w:r>
        <w:rPr>
          <w:rFonts w:eastAsia="宋体"/>
          <w:rFonts w:ascii="Times New Roman" w:hAnsi="Times New Roman"/>
          <w:b w:val="0"/>
          <w:sz w:val="24"/>
        </w:rPr>
        <w:t xml:space="preserve">，一种训练自由（training-free）的端到端 BALF 细胞分析系统，将多个视觉基础模型与新型自适应原型解耦方法相结合，仅需每类 10 张带标注细胞图像即可实现准确的少样本分类。系统以 Cellpose 4.1.1 和 SAM3 级联完成细胞实例分割，随后并行提取 BiomedCLIP、Phikon-v2 和 DINOv2 三种基础模型特征，并融合 40 维形态学描述子。在分类阶段，我们提出 </w:t>
      </w:r>
      <w:r>
        <w:rPr>
          <w:rFonts w:eastAsia="宋体"/>
          <w:rFonts w:ascii="Times New Roman" w:hAnsi="Times New Roman"/>
          <w:b/>
          <w:sz w:val="24"/>
        </w:rPr>
        <w:t>AFP-OD</w:t>
      </w:r>
      <w:r>
        <w:rPr>
          <w:rFonts w:eastAsia="宋体"/>
          <w:rFonts w:ascii="Times New Roman" w:hAnsi="Times New Roman"/>
          <w:b w:val="0"/>
          <w:sz w:val="24"/>
        </w:rPr>
        <w:t xml:space="preserve">（基于自适应 Fisher 判别的原型正交解耦）方法：通过在特征空间和形态学空间进行双视图留一法 k 近邻检测混淆类对，再沿 Ledoit-Wolf 正则化 Fisher 方向对 support 原型施加定向扰动，无需任何参数训练即可显著提升混淆类的分类性能。在 BALF data2 数据集上，10-shot 嵌套 5 折交叉验证（共 25 次评估）中，AFP-OD 相比多骨干 kNN 基线实现了 mF1 </w:t>
      </w:r>
      <w:r>
        <w:rPr>
          <w:rFonts w:eastAsia="宋体"/>
          <w:rFonts w:ascii="Times New Roman" w:hAnsi="Times New Roman"/>
          <w:b/>
          <w:sz w:val="24"/>
        </w:rPr>
        <w:t>+3.12%</w:t>
      </w:r>
      <w:r>
        <w:rPr>
          <w:rFonts w:eastAsia="宋体"/>
          <w:rFonts w:ascii="Times New Roman" w:hAnsi="Times New Roman"/>
          <w:b w:val="0"/>
          <w:sz w:val="24"/>
        </w:rPr>
        <w:t xml:space="preserve">（0.7252→0.7563）和嗜酸性粒细胞 F1 </w:t>
      </w:r>
      <w:r>
        <w:rPr>
          <w:rFonts w:eastAsia="宋体"/>
          <w:rFonts w:ascii="Times New Roman" w:hAnsi="Times New Roman"/>
          <w:b/>
          <w:sz w:val="24"/>
        </w:rPr>
        <w:t>+5.53%</w:t>
      </w:r>
      <w:r>
        <w:rPr>
          <w:rFonts w:eastAsia="宋体"/>
          <w:rFonts w:ascii="Times New Roman" w:hAnsi="Times New Roman"/>
          <w:b w:val="0"/>
          <w:sz w:val="24"/>
        </w:rPr>
        <w:t>（0.4465→0.5018）的一致性提升。系统集成于开源 FastAPI 标注工具中，支持一键批量自动预标注，显著降低了细胞学工作流程中的人工标注负担。</w:t>
      </w:r>
    </w:p>
    <w:p>
      <w:pPr>
        <w:jc w:val="both"/>
      </w:pPr>
      <w:r>
        <w:rPr>
          <w:rFonts w:eastAsia="宋体"/>
          <w:rFonts w:ascii="Times New Roman" w:hAnsi="Times New Roman"/>
          <w:b w:val="0"/>
          <w:sz w:val="24"/>
        </w:rPr>
      </w:r>
      <w:r>
        <w:rPr>
          <w:rFonts w:eastAsia="宋体"/>
          <w:rFonts w:ascii="Times New Roman" w:hAnsi="Times New Roman"/>
          <w:b/>
          <w:sz w:val="24"/>
        </w:rPr>
        <w:t>关键词</w:t>
      </w:r>
      <w:r>
        <w:rPr>
          <w:rFonts w:eastAsia="宋体"/>
          <w:rFonts w:ascii="Times New Roman" w:hAnsi="Times New Roman"/>
          <w:b w:val="0"/>
          <w:sz w:val="24"/>
        </w:rPr>
        <w:t>：支气管肺泡灌洗液；少样本细胞分类；视觉基础模型；Fisher 线性判别；原型解耦；标注辅助系统</w:t>
      </w:r>
    </w:p>
    <w:p/>
    <w:p>
      <w:pPr>
        <w:pStyle w:val="Heading2"/>
        <w:jc w:val="left"/>
      </w:pPr>
      <w:r>
        <w:rPr>
          <w:rFonts w:eastAsia="黑体"/>
          <w:rFonts w:ascii="Times New Roman" w:hAnsi="Times New Roman"/>
          <w:sz w:val="28"/>
        </w:rPr>
        <w:t>1. 引言</w:t>
      </w:r>
    </w:p>
    <w:p>
      <w:pPr>
        <w:jc w:val="both"/>
      </w:pPr>
      <w:r>
        <w:rPr>
          <w:rFonts w:eastAsia="宋体"/>
          <w:rFonts w:ascii="Times New Roman" w:hAnsi="Times New Roman"/>
          <w:b w:val="0"/>
          <w:sz w:val="24"/>
        </w:rPr>
        <w:t>支气管肺泡灌洗液（BALF）细胞学检查在间质性肺疾病、过敏性肺炎及肺部恶性肿瘤的诊断中具有不可替代的作用。BALF 细胞分类计数——主要包括嗜酸性粒细胞（Eosinophil）、中性粒细胞（Neutrophil）、淋巴细胞（Lymphocyte）和巨噬细胞（Macrophage）——直接指导临床决策。然而，人工细胞分类极为耗时，一份 BALF 样本通常需要病理医生花费 30–60 分钟，且观察者间一致性问题长期存在。</w:t>
      </w:r>
    </w:p>
    <w:p>
      <w:pPr>
        <w:jc w:val="both"/>
      </w:pPr>
      <w:r>
        <w:rPr>
          <w:rFonts w:eastAsia="宋体"/>
          <w:rFonts w:ascii="Times New Roman" w:hAnsi="Times New Roman"/>
          <w:b w:val="0"/>
          <w:sz w:val="24"/>
        </w:rPr>
        <w:t>深度学习在自动化细胞分类方面展现出巨大潜力，但监督学习方法需要大量带标注数据集，在临床场景下积累标注的成本高、周期长。近年来，在大规模生物医学语料上预训练的视觉基础模型（Vision Foundation Models, VFM）提供了一条替代路径：其丰富的视觉表征有望通过极少量标注样本（少样本学习）实现准确分类，从而大幅降低标注成本。</w:t>
      </w:r>
    </w:p>
    <w:p>
      <w:pPr>
        <w:jc w:val="both"/>
      </w:pPr>
      <w:r>
        <w:rPr>
          <w:rFonts w:eastAsia="宋体"/>
          <w:rFonts w:ascii="Times New Roman" w:hAnsi="Times New Roman"/>
          <w:b w:val="0"/>
          <w:sz w:val="24"/>
        </w:rPr>
        <w:t>尽管通用少样本目标检测 [CITE: FSOD-VFM] 和细胞分割 [CITE: Cellpose] 已取得重要进展，目前尚无专门面向 BALF 细胞学的端到端系统将多个互补 VFM 融合于统一的少样本分类框架。现有方法通常存在以下局限：（1）依赖领域特定微调 [CITE]；（2）仅使用单一骨干，缺乏多模态互补信息 [CITE]；（3）分割与分类相互孤立，缺乏一体化工作流 [CITE]。此外，嗜酸性粒细胞等稀有但临床意义重大的细胞类型存在极端类别不平衡和高度视觉相似性，标准原型分类方法对此束手无策。</w:t>
      </w:r>
    </w:p>
    <w:p>
      <w:pPr>
        <w:jc w:val="both"/>
      </w:pPr>
      <w:r>
        <w:rPr>
          <w:rFonts w:eastAsia="宋体"/>
          <w:rFonts w:ascii="Times New Roman" w:hAnsi="Times New Roman"/>
          <w:b w:val="0"/>
          <w:sz w:val="24"/>
        </w:rPr>
        <w:t>本文的主要贡献如下：</w:t>
      </w:r>
    </w:p>
    <w:p>
      <w:pPr>
        <w:jc w:val="both"/>
      </w:pPr>
      <w:r>
        <w:rPr>
          <w:rFonts w:eastAsia="宋体"/>
          <w:rFonts w:ascii="Times New Roman" w:hAnsi="Times New Roman"/>
          <w:b w:val="0"/>
          <w:sz w:val="24"/>
        </w:rPr>
        <w:t xml:space="preserve">1. </w:t>
      </w:r>
      <w:r>
        <w:rPr>
          <w:rFonts w:eastAsia="宋体"/>
          <w:rFonts w:ascii="Times New Roman" w:hAnsi="Times New Roman"/>
          <w:b/>
          <w:sz w:val="24"/>
        </w:rPr>
        <w:t>训练自由级联分割流水线</w:t>
      </w:r>
      <w:r>
        <w:rPr>
          <w:rFonts w:eastAsia="宋体"/>
          <w:rFonts w:ascii="Times New Roman" w:hAnsi="Times New Roman"/>
          <w:b w:val="0"/>
          <w:sz w:val="24"/>
        </w:rPr>
        <w:t>：结合 Cellpose 4.1.1 和 SAM3，在无任何细胞特定训练的情况下实现鲁棒的细胞实例提取。</w:t>
      </w:r>
    </w:p>
    <w:p>
      <w:pPr>
        <w:jc w:val="both"/>
      </w:pPr>
      <w:r>
        <w:rPr>
          <w:rFonts w:eastAsia="宋体"/>
          <w:rFonts w:ascii="Times New Roman" w:hAnsi="Times New Roman"/>
          <w:b w:val="0"/>
          <w:sz w:val="24"/>
        </w:rPr>
        <w:t xml:space="preserve">2. </w:t>
      </w:r>
      <w:r>
        <w:rPr>
          <w:rFonts w:eastAsia="宋体"/>
          <w:rFonts w:ascii="Times New Roman" w:hAnsi="Times New Roman"/>
          <w:b/>
          <w:sz w:val="24"/>
        </w:rPr>
        <w:t>多骨干 VFM 特征集成</w:t>
      </w:r>
      <w:r>
        <w:rPr>
          <w:rFonts w:eastAsia="宋体"/>
          <w:rFonts w:ascii="Times New Roman" w:hAnsi="Times New Roman"/>
          <w:b w:val="0"/>
          <w:sz w:val="24"/>
        </w:rPr>
        <w:t>：并行提取 BiomedCLIP、Phikon-v2 和 DINOv2 的互补特征，融合 40 维形态学描述子，在统一评分框架中提供生物医学语义、病理纹理和几何结构三类互补线索。</w:t>
      </w:r>
    </w:p>
    <w:p>
      <w:pPr>
        <w:jc w:val="both"/>
      </w:pPr>
      <w:r>
        <w:rPr>
          <w:rFonts w:eastAsia="宋体"/>
          <w:rFonts w:ascii="Times New Roman" w:hAnsi="Times New Roman"/>
          <w:b w:val="0"/>
          <w:sz w:val="24"/>
        </w:rPr>
        <w:t xml:space="preserve">3. </w:t>
      </w:r>
      <w:r>
        <w:rPr>
          <w:rFonts w:eastAsia="宋体"/>
          <w:rFonts w:ascii="Times New Roman" w:hAnsi="Times New Roman"/>
          <w:b/>
          <w:sz w:val="24"/>
        </w:rPr>
        <w:t>AFP-OD 方法</w:t>
      </w:r>
      <w:r>
        <w:rPr>
          <w:rFonts w:eastAsia="宋体"/>
          <w:rFonts w:ascii="Times New Roman" w:hAnsi="Times New Roman"/>
          <w:b w:val="0"/>
          <w:sz w:val="24"/>
        </w:rPr>
        <w:t>：提出一种新型 support 集正则化方法，通过（a）特征空间余弦 kNN 与形态学空间欧氏 kNN 双视图联合检测混淆类对，（b）沿 Ledoit-Wolf 收缩 Fisher 方向对 support 原型施加定向扰动，在 10-shot 嵌套交叉验证中实现 mF1 +3.12%、嗜酸性粒细胞 F1 +5.53% 的稳定提升。</w:t>
      </w:r>
    </w:p>
    <w:p>
      <w:pPr>
        <w:jc w:val="both"/>
      </w:pPr>
      <w:r>
        <w:rPr>
          <w:rFonts w:eastAsia="宋体"/>
          <w:rFonts w:ascii="Times New Roman" w:hAnsi="Times New Roman"/>
          <w:b w:val="0"/>
          <w:sz w:val="24"/>
        </w:rPr>
        <w:t xml:space="preserve">4. </w:t>
      </w:r>
      <w:r>
        <w:rPr>
          <w:rFonts w:eastAsia="宋体"/>
          <w:rFonts w:ascii="Times New Roman" w:hAnsi="Times New Roman"/>
          <w:b/>
          <w:sz w:val="24"/>
        </w:rPr>
        <w:t>开源标注系统 BALF-Analyzer</w:t>
      </w:r>
      <w:r>
        <w:rPr>
          <w:rFonts w:eastAsia="宋体"/>
          <w:rFonts w:ascii="Times New Roman" w:hAnsi="Times New Roman"/>
          <w:b w:val="0"/>
          <w:sz w:val="24"/>
        </w:rPr>
        <w:t>：基于 FastAPI 构建，支持一键批量自动预标注，实现人机协同工作流，显著压缩每份样本的标注时间。</w:t>
      </w:r>
    </w:p>
    <w:p>
      <w:pPr>
        <w:jc w:val="both"/>
      </w:pPr>
      <w:r>
        <w:rPr>
          <w:rFonts w:eastAsia="宋体"/>
          <w:rFonts w:ascii="Times New Roman" w:hAnsi="Times New Roman"/>
          <w:b w:val="0"/>
          <w:sz w:val="24"/>
        </w:rPr>
        <w:t>本文结构如下：第 2 节综述相关工作；第 3 节描述系统整体流水线；第 4 节详述 AFP-OD 方法；第 5 节报告实验结果；第 6 节讨论局限性与未来工作。</w:t>
      </w:r>
    </w:p>
    <w:p/>
    <w:p>
      <w:pPr>
        <w:pStyle w:val="Heading2"/>
        <w:jc w:val="left"/>
      </w:pPr>
      <w:r>
        <w:rPr>
          <w:rFonts w:eastAsia="黑体"/>
          <w:rFonts w:ascii="Times New Roman" w:hAnsi="Times New Roman"/>
          <w:sz w:val="28"/>
        </w:rPr>
        <w:t>2. 相关工作</w:t>
      </w:r>
    </w:p>
    <w:p>
      <w:pPr>
        <w:pStyle w:val="Heading3"/>
        <w:jc w:val="left"/>
      </w:pPr>
      <w:r>
        <w:rPr>
          <w:rFonts w:eastAsia="黑体"/>
          <w:rFonts w:ascii="Times New Roman" w:hAnsi="Times New Roman"/>
          <w:sz w:val="26"/>
        </w:rPr>
        <w:t>2.1 基于基础模型的细胞分割</w:t>
      </w:r>
    </w:p>
    <w:p>
      <w:pPr>
        <w:jc w:val="both"/>
      </w:pPr>
      <w:r>
        <w:rPr>
          <w:rFonts w:eastAsia="宋体"/>
          <w:rFonts w:ascii="Times New Roman" w:hAnsi="Times New Roman"/>
          <w:b w:val="0"/>
          <w:sz w:val="24"/>
        </w:rPr>
        <w:t>Cellpose [CITE: Stringer et al., Nat. Methods 2021] 通过在多样化显微镜图像语料上训练 U-Net，建立了通用细胞分割的新标准，展现了跨细胞类型的强零样本迁移能力。Cellpose 3 [CITE: 2024] 通过图像复原预训练进一步提升鲁棒性。Segment Anything Model（SAM）[CITE: Kirillov et al., ICCV 2023] 及其继任者 SAM2 [CITE: 2024]、SAM3 [CITE: 2025] 提供了可提示的大规模分割能力。SAM-Med2D [CITE] 和 MedSAM [CITE] 将 SAM 适配至医学成像领域。本系统采用 Cellpose 进行自动细胞检测（无需人工提示），SAM3 进行边界精修，结合前者的领域特异性与后者的边界精度。</w:t>
      </w:r>
    </w:p>
    <w:p>
      <w:pPr>
        <w:pStyle w:val="Heading3"/>
        <w:jc w:val="left"/>
      </w:pPr>
      <w:r>
        <w:rPr>
          <w:rFonts w:eastAsia="黑体"/>
          <w:rFonts w:ascii="Times New Roman" w:hAnsi="Times New Roman"/>
          <w:sz w:val="26"/>
        </w:rPr>
        <w:t>2.2 医学图像分析中的视觉基础模型</w:t>
      </w:r>
    </w:p>
    <w:p>
      <w:pPr>
        <w:jc w:val="both"/>
      </w:pPr>
      <w:r>
        <w:rPr>
          <w:rFonts w:eastAsia="宋体"/>
          <w:rFonts w:ascii="Times New Roman" w:hAnsi="Times New Roman"/>
          <w:b w:val="0"/>
          <w:sz w:val="24"/>
        </w:rPr>
        <w:t>BiomedCLIP [CITE: Zhang et al., 2023] 是在 1500 万生物医学图文对上训练的 CLIP 模型，提供与医学术语对齐的语义丰富视觉特征。Phikon-v2 [CITE: Owkin, 2024] 是在 46 万张病理切片上训练的 ViT-L 模型，在 patch 级病理任务上达到最先进水平。DINOv2 [CITE: Oquab et al., 2024] 提供具有强几何不变性的通用自监督特征。细胞学分类领域现有工作通常仅使用单一基础模型 [CITE]，未能利用各骨干的互补优势。我们的多骨干集成与 FSOD-VFM [CITE: 2026] 在理念上最为接近，但我们专注于分类而非检测，并引入了医学特定的多模型融合与形态学特征。</w:t>
      </w:r>
    </w:p>
    <w:p>
      <w:pPr>
        <w:pStyle w:val="Heading3"/>
        <w:jc w:val="left"/>
      </w:pPr>
      <w:r>
        <w:rPr>
          <w:rFonts w:eastAsia="黑体"/>
          <w:rFonts w:ascii="Times New Roman" w:hAnsi="Times New Roman"/>
          <w:sz w:val="26"/>
        </w:rPr>
        <w:t>2.3 少样本分类方法</w:t>
      </w:r>
    </w:p>
    <w:p>
      <w:pPr>
        <w:jc w:val="both"/>
      </w:pPr>
      <w:r>
        <w:rPr>
          <w:rFonts w:eastAsia="宋体"/>
          <w:rFonts w:ascii="Times New Roman" w:hAnsi="Times New Roman"/>
          <w:b w:val="0"/>
          <w:sz w:val="24"/>
        </w:rPr>
        <w:t>原型网络（ProtoNet）[CITE: Snell et al., NeurIPS 2017] 在嵌入空间中以类均值作为原型，通过最近类中心分类——虽然概念简单，但至今仍具竞争力。Tip-Adapter [CITE: Zhang et al., ECCV 2022] 通过缓存 support 特征扩展 CLIP 的少样本能力，无需微调。上述方法均对所有类对一视同仁，未专门处理视觉相似类之间的混淆问题——而这正是 BALF 细胞学（尤其是嗜酸性粒细胞与巨噬细胞）的核心挑战。</w:t>
      </w:r>
    </w:p>
    <w:p>
      <w:pPr>
        <w:jc w:val="both"/>
      </w:pPr>
      <w:r>
        <w:rPr>
          <w:rFonts w:eastAsia="宋体"/>
          <w:rFonts w:ascii="Times New Roman" w:hAnsi="Times New Roman"/>
          <w:b w:val="0"/>
          <w:sz w:val="24"/>
        </w:rPr>
        <w:t>Fisher 线性判别分析（LDA）[CITE: Fisher 1936] 在高斯假设下提供两类之间的最优线性分离。Ledoit-Wolf 协方差收缩 [CITE: Ledoit &amp; Wolf 2004] 解决了高维少样本场景中样本协方差矩阵的病态问题，与少样本学习高度契合。AFP-OD 在数据驱动混淆检测的引导下，将上述经典工具应用于新型 support 集正则化框架。</w:t>
      </w:r>
    </w:p>
    <w:p>
      <w:pPr>
        <w:pStyle w:val="Heading3"/>
        <w:jc w:val="left"/>
      </w:pPr>
      <w:r>
        <w:rPr>
          <w:rFonts w:eastAsia="黑体"/>
          <w:rFonts w:ascii="Times New Roman" w:hAnsi="Times New Roman"/>
          <w:sz w:val="26"/>
        </w:rPr>
        <w:t>2.4 BALF 细胞学分析系统</w:t>
      </w:r>
    </w:p>
    <w:p>
      <w:pPr>
        <w:jc w:val="both"/>
      </w:pPr>
      <w:r>
        <w:rPr>
          <w:rFonts w:eastAsia="宋体"/>
          <w:rFonts w:ascii="Times New Roman" w:hAnsi="Times New Roman"/>
          <w:b w:val="0"/>
          <w:sz w:val="24"/>
        </w:rPr>
        <w:t>基于 CNN 的分类 [CITE]、主动学习 [CITE] 和半监督方法 [CITE] 均被用于 BALF 自动分析，但大多数现有系统需要大量标注训练数据，未针对最小标注场景设计，也缺乏与完整标注工作流的集成。据我们所知，BALF-Analyzer 是首个将现代 VFM 与标注工具相结合的训练自由端到端 BALF 细胞学系统。</w:t>
      </w:r>
    </w:p>
    <w:p/>
    <w:p>
      <w:pPr>
        <w:pStyle w:val="Heading2"/>
        <w:jc w:val="left"/>
      </w:pPr>
      <w:r>
        <w:rPr>
          <w:rFonts w:eastAsia="黑体"/>
          <w:rFonts w:ascii="Times New Roman" w:hAnsi="Times New Roman"/>
          <w:sz w:val="28"/>
        </w:rPr>
        <w:t>3. 系统概述</w:t>
      </w:r>
    </w:p>
    <w:p>
      <w:pPr>
        <w:jc w:val="both"/>
      </w:pPr>
      <w:r>
        <w:rPr>
          <w:rFonts w:eastAsia="宋体"/>
          <w:rFonts w:ascii="Times New Roman" w:hAnsi="Times New Roman"/>
          <w:b w:val="0"/>
          <w:sz w:val="24"/>
        </w:rPr>
        <w:t>图 1 展示了 BALF-Analyzer 的完整流水线，包含六个顺序阶段。</w:t>
      </w:r>
    </w:p>
    <w:p>
      <w:pPr>
        <w:pStyle w:val="Heading3"/>
        <w:jc w:val="left"/>
      </w:pPr>
      <w:r>
        <w:rPr>
          <w:rFonts w:eastAsia="黑体"/>
          <w:rFonts w:ascii="Times New Roman" w:hAnsi="Times New Roman"/>
          <w:sz w:val="26"/>
        </w:rPr>
        <w:t>3.1 阶段一：细胞实例检测（Cellpose）</w:t>
      </w:r>
    </w:p>
    <w:p>
      <w:pPr>
        <w:jc w:val="both"/>
      </w:pPr>
      <w:r>
        <w:rPr>
          <w:rFonts w:eastAsia="宋体"/>
          <w:rFonts w:ascii="Times New Roman" w:hAnsi="Times New Roman"/>
          <w:b w:val="0"/>
          <w:sz w:val="24"/>
        </w:rPr>
        <w:t>对输入的 BALF 视野图像，应用 Cellpose 4.1.1（</w:t>
      </w:r>
      <w:r>
        <w:rPr>
          <w:rFonts w:ascii="Courier New" w:hAnsi="Courier New"/>
          <w:sz w:val="20"/>
        </w:rPr>
        <w:t>cyto3</w:t>
      </w:r>
      <w:r>
        <w:rPr>
          <w:rFonts w:eastAsia="宋体"/>
          <w:rFonts w:ascii="Times New Roman" w:hAnsi="Times New Roman"/>
          <w:b w:val="0"/>
          <w:sz w:val="24"/>
        </w:rPr>
        <w:t xml:space="preserve"> 预训练权重）生成细胞实例 mask。Cellpose 无需任何细胞类型特定训练：其预训练数据覆盖多种显微镜模态的 60 余万个分割细胞 [CITE]。我们使用自动直径估计（</w:t>
      </w:r>
      <w:r>
        <w:rPr>
          <w:rFonts w:ascii="Courier New" w:hAnsi="Courier New"/>
          <w:sz w:val="20"/>
        </w:rPr>
        <w:t>diameter=None</w:t>
      </w:r>
      <w:r>
        <w:rPr>
          <w:rFonts w:eastAsia="宋体"/>
          <w:rFonts w:ascii="Times New Roman" w:hAnsi="Times New Roman"/>
          <w:b w:val="0"/>
          <w:sz w:val="24"/>
        </w:rPr>
        <w:t xml:space="preserve">）并保留所有 </w:t>
      </w:r>
      <w:r>
        <w:rPr>
          <w:rFonts w:ascii="Courier New" w:hAnsi="Courier New"/>
          <w:sz w:val="20"/>
        </w:rPr>
        <w:t>cellprob_threshold=0.0</w:t>
      </w:r>
      <w:r>
        <w:rPr>
          <w:rFonts w:eastAsia="宋体"/>
          <w:rFonts w:ascii="Times New Roman" w:hAnsi="Times New Roman"/>
          <w:b w:val="0"/>
          <w:sz w:val="24"/>
        </w:rPr>
        <w:t xml:space="preserve"> 以上的实例，以最大化召回率，误检通过后续步骤过滤。</w:t>
      </w:r>
    </w:p>
    <w:p>
      <w:pPr>
        <w:pStyle w:val="Heading3"/>
        <w:jc w:val="left"/>
      </w:pPr>
      <w:r>
        <w:rPr>
          <w:rFonts w:eastAsia="黑体"/>
          <w:rFonts w:ascii="Times New Roman" w:hAnsi="Times New Roman"/>
          <w:sz w:val="26"/>
        </w:rPr>
        <w:t>3.2 阶段二：Mask 精修（SAM3）</w:t>
      </w:r>
    </w:p>
    <w:p>
      <w:pPr>
        <w:jc w:val="both"/>
      </w:pPr>
      <w:r>
        <w:rPr>
          <w:rFonts w:eastAsia="宋体"/>
          <w:rFonts w:ascii="Times New Roman" w:hAnsi="Times New Roman"/>
          <w:b w:val="0"/>
          <w:sz w:val="24"/>
        </w:rPr>
        <w:t>将每个 Cellpose 生成的 bbox 转换为 SAM3（</w:t>
      </w:r>
      <w:r>
        <w:rPr>
          <w:rFonts w:ascii="Courier New" w:hAnsi="Courier New"/>
          <w:sz w:val="20"/>
        </w:rPr>
        <w:t>sam3_h</w:t>
      </w:r>
      <w:r>
        <w:rPr>
          <w:rFonts w:eastAsia="宋体"/>
          <w:rFonts w:ascii="Times New Roman" w:hAnsi="Times New Roman"/>
          <w:b w:val="0"/>
          <w:sz w:val="24"/>
        </w:rPr>
        <w:t xml:space="preserve"> checkpoint，约 34 亿参数）的稀疏提示。SAM3 输出精细化边界 mask。当 SAM3 输出与 Cellpose mask 的 IoU 超过 0.5 时采用 SAM3 结果，否则保留原始 Cellpose mask。该混合策略兼顾了 Cellpose 的领域特异性检测能力与 SAM3 的优越边界精度。</w:t>
      </w:r>
    </w:p>
    <w:p>
      <w:pPr>
        <w:pStyle w:val="Heading3"/>
        <w:jc w:val="left"/>
      </w:pPr>
      <w:r>
        <w:rPr>
          <w:rFonts w:eastAsia="黑体"/>
          <w:rFonts w:ascii="Times New Roman" w:hAnsi="Times New Roman"/>
          <w:sz w:val="26"/>
        </w:rPr>
        <w:t>3.3 阶段三：双尺度裁剪</w:t>
      </w:r>
    </w:p>
    <w:p>
      <w:pPr>
        <w:jc w:val="both"/>
      </w:pPr>
      <w:r>
        <w:rPr>
          <w:rFonts w:eastAsia="宋体"/>
          <w:rFonts w:ascii="Times New Roman" w:hAnsi="Times New Roman"/>
          <w:b w:val="0"/>
          <w:sz w:val="24"/>
        </w:rPr>
        <w:t>对每个细胞实例提取两种尺度的裁剪：</w:t>
      </w:r>
    </w:p>
    <w:p>
      <w:pPr>
        <w:pStyle w:val="ListBullet"/>
      </w:pPr>
      <w:r>
        <w:rPr>
          <w:rFonts w:eastAsia="宋体"/>
          <w:rFonts w:ascii="Times New Roman" w:hAnsi="Times New Roman"/>
          <w:b w:val="0"/>
          <w:sz w:val="24"/>
        </w:rPr>
      </w:r>
      <w:r>
        <w:rPr>
          <w:rFonts w:eastAsia="宋体"/>
          <w:rFonts w:ascii="Times New Roman" w:hAnsi="Times New Roman"/>
          <w:b/>
          <w:sz w:val="24"/>
        </w:rPr>
        <w:t>细胞裁剪（cell crop）</w:t>
      </w:r>
      <w:r>
        <w:rPr>
          <w:rFonts w:eastAsia="宋体"/>
          <w:rFonts w:ascii="Times New Roman" w:hAnsi="Times New Roman"/>
          <w:b w:val="0"/>
          <w:sz w:val="24"/>
        </w:rPr>
        <w:t>：bbox 各边扩展 10%，resize 至 224×224</w:t>
      </w:r>
    </w:p>
    <w:p>
      <w:pPr>
        <w:pStyle w:val="ListBullet"/>
      </w:pPr>
      <w:r>
        <w:rPr>
          <w:rFonts w:eastAsia="宋体"/>
          <w:rFonts w:ascii="Times New Roman" w:hAnsi="Times New Roman"/>
          <w:b w:val="0"/>
          <w:sz w:val="24"/>
        </w:rPr>
      </w:r>
      <w:r>
        <w:rPr>
          <w:rFonts w:eastAsia="宋体"/>
          <w:rFonts w:ascii="Times New Roman" w:hAnsi="Times New Roman"/>
          <w:b/>
          <w:sz w:val="24"/>
        </w:rPr>
        <w:t>上下文裁剪（context crop）</w:t>
      </w:r>
      <w:r>
        <w:rPr>
          <w:rFonts w:eastAsia="宋体"/>
          <w:rFonts w:ascii="Times New Roman" w:hAnsi="Times New Roman"/>
          <w:b w:val="0"/>
          <w:sz w:val="24"/>
        </w:rPr>
        <w:t>：bbox 各边扩展 50%，resize 至 224×224</w:t>
      </w:r>
    </w:p>
    <w:p>
      <w:pPr>
        <w:jc w:val="both"/>
      </w:pPr>
      <w:r>
        <w:rPr>
          <w:rFonts w:eastAsia="宋体"/>
          <w:rFonts w:ascii="Times New Roman" w:hAnsi="Times New Roman"/>
          <w:b w:val="0"/>
          <w:sz w:val="24"/>
        </w:rPr>
        <w:t>上下文裁剪捕获核质比关系及邻近细胞背景信息。最终特征按加权求和融合：</w:t>
      </w:r>
      <w:r>
        <w:rPr>
          <w:rFonts w:ascii="Courier New" w:hAnsi="Courier New"/>
          <w:sz w:val="20"/>
        </w:rPr>
        <w:t>f = 0.9 · f_cell + 0.1 · f_context</w:t>
      </w:r>
      <w:r>
        <w:rPr>
          <w:rFonts w:eastAsia="宋体"/>
          <w:rFonts w:ascii="Times New Roman" w:hAnsi="Times New Roman"/>
          <w:b w:val="0"/>
          <w:sz w:val="24"/>
        </w:rPr>
        <w:t>，细胞裁剪主导（权重在 data2 验证集上确定）。</w:t>
      </w:r>
    </w:p>
    <w:p>
      <w:pPr>
        <w:pStyle w:val="Heading3"/>
        <w:jc w:val="left"/>
      </w:pPr>
      <w:r>
        <w:rPr>
          <w:rFonts w:eastAsia="黑体"/>
          <w:rFonts w:ascii="Times New Roman" w:hAnsi="Times New Roman"/>
          <w:sz w:val="26"/>
        </w:rPr>
        <w:t>3.4 阶段四：多骨干 VFM 特征提取</w:t>
      </w:r>
    </w:p>
    <w:p>
      <w:pPr>
        <w:jc w:val="both"/>
      </w:pPr>
      <w:r>
        <w:rPr>
          <w:rFonts w:eastAsia="宋体"/>
          <w:rFonts w:ascii="Times New Roman" w:hAnsi="Times New Roman"/>
          <w:b w:val="0"/>
          <w:sz w:val="24"/>
        </w:rPr>
        <w:t>三个视觉基础模型并行提取每个裁剪的特征：</w:t>
      </w:r>
    </w:p>
    <w:p>
      <w:pPr>
        <w:pStyle w:val="ListBullet"/>
      </w:pPr>
      <w:r>
        <w:rPr>
          <w:rFonts w:eastAsia="宋体"/>
          <w:rFonts w:ascii="Times New Roman" w:hAnsi="Times New Roman"/>
          <w:b w:val="0"/>
          <w:sz w:val="24"/>
        </w:rPr>
      </w:r>
      <w:r>
        <w:rPr>
          <w:rFonts w:eastAsia="宋体"/>
          <w:rFonts w:ascii="Times New Roman" w:hAnsi="Times New Roman"/>
          <w:b/>
          <w:sz w:val="24"/>
        </w:rPr>
        <w:t>BiomedCLIP</w:t>
      </w:r>
      <w:r>
        <w:rPr>
          <w:rFonts w:eastAsia="宋体"/>
          <w:rFonts w:ascii="Times New Roman" w:hAnsi="Times New Roman"/>
          <w:b w:val="0"/>
          <w:sz w:val="24"/>
        </w:rPr>
        <w:t>：512 维特征，来自在 1500 万生物医学图文对上训练的 CLIP 模型，捕获生物医学语义对齐信息。</w:t>
      </w:r>
    </w:p>
    <w:p>
      <w:pPr>
        <w:pStyle w:val="ListBullet"/>
      </w:pPr>
      <w:r>
        <w:rPr>
          <w:rFonts w:eastAsia="宋体"/>
          <w:rFonts w:ascii="Times New Roman" w:hAnsi="Times New Roman"/>
          <w:b w:val="0"/>
          <w:sz w:val="24"/>
        </w:rPr>
      </w:r>
      <w:r>
        <w:rPr>
          <w:rFonts w:eastAsia="宋体"/>
          <w:rFonts w:ascii="Times New Roman" w:hAnsi="Times New Roman"/>
          <w:b/>
          <w:sz w:val="24"/>
        </w:rPr>
        <w:t>Phikon-v2</w:t>
      </w:r>
      <w:r>
        <w:rPr>
          <w:rFonts w:eastAsia="宋体"/>
          <w:rFonts w:ascii="Times New Roman" w:hAnsi="Times New Roman"/>
          <w:b w:val="0"/>
          <w:sz w:val="24"/>
        </w:rPr>
        <w:t>：1024 维特征，来自在 46 万张病理切片上训练的 ViT-L，捕获病理纹理和细胞核形态信息。</w:t>
      </w:r>
    </w:p>
    <w:p>
      <w:pPr>
        <w:pStyle w:val="ListBullet"/>
      </w:pPr>
      <w:r>
        <w:rPr>
          <w:rFonts w:eastAsia="宋体"/>
          <w:rFonts w:ascii="Times New Roman" w:hAnsi="Times New Roman"/>
          <w:b w:val="0"/>
          <w:sz w:val="24"/>
        </w:rPr>
      </w:r>
      <w:r>
        <w:rPr>
          <w:rFonts w:eastAsia="宋体"/>
          <w:rFonts w:ascii="Times New Roman" w:hAnsi="Times New Roman"/>
          <w:b/>
          <w:sz w:val="24"/>
        </w:rPr>
        <w:t>DINOv2-Small</w:t>
      </w:r>
      <w:r>
        <w:rPr>
          <w:rFonts w:eastAsia="宋体"/>
          <w:rFonts w:ascii="Times New Roman" w:hAnsi="Times New Roman"/>
          <w:b w:val="0"/>
          <w:sz w:val="24"/>
        </w:rPr>
        <w:t>：384 维自监督特征，捕获几何结构和形状不变性。</w:t>
      </w:r>
    </w:p>
    <w:p>
      <w:pPr>
        <w:jc w:val="both"/>
      </w:pPr>
      <w:r>
        <w:rPr>
          <w:rFonts w:eastAsia="宋体"/>
          <w:rFonts w:ascii="Times New Roman" w:hAnsi="Times New Roman"/>
          <w:b w:val="0"/>
          <w:sz w:val="24"/>
        </w:rPr>
        <w:t>此外，直接从分割 mask 计算 40 维形态学描述子，包括面积、周长、圆度、长短轴长、偏心率、致密度、RGB 各通道均值/标准差、HSV 各通道均值/标准差及颗粒度指数等。这些特征无需神经网络，提供可解释、计算轻量的描述符。</w:t>
      </w:r>
    </w:p>
    <w:p>
      <w:pPr>
        <w:jc w:val="both"/>
      </w:pPr>
      <w:r>
        <w:rPr>
          <w:rFonts w:eastAsia="宋体"/>
          <w:rFonts w:ascii="Times New Roman" w:hAnsi="Times New Roman"/>
          <w:b w:val="0"/>
          <w:sz w:val="24"/>
        </w:rPr>
        <w:t>所有骨干参数在整个流水线中均保持冻结，不进行任何微调。</w:t>
      </w:r>
    </w:p>
    <w:p>
      <w:pPr>
        <w:pStyle w:val="Heading3"/>
        <w:jc w:val="left"/>
      </w:pPr>
      <w:r>
        <w:rPr>
          <w:rFonts w:eastAsia="黑体"/>
          <w:rFonts w:ascii="Times New Roman" w:hAnsi="Times New Roman"/>
          <w:sz w:val="26"/>
        </w:rPr>
        <w:t>3.5 阶段五：AFP-OD 少样本分类</w:t>
      </w:r>
    </w:p>
    <w:p>
      <w:pPr>
        <w:jc w:val="both"/>
      </w:pPr>
      <w:r>
        <w:rPr>
          <w:rFonts w:eastAsia="宋体"/>
          <w:rFonts w:ascii="Times New Roman" w:hAnsi="Times New Roman"/>
          <w:b w:val="0"/>
          <w:sz w:val="24"/>
        </w:rPr>
        <w:t>给定每类 10 张 support 细胞（共 40 张），AFP-OD 检测哪些类对存在相互混淆，并沿判别方向分离其原型表征。方法详见第 4 节。</w:t>
      </w:r>
    </w:p>
    <w:p>
      <w:pPr>
        <w:pStyle w:val="Heading3"/>
        <w:jc w:val="left"/>
      </w:pPr>
      <w:r>
        <w:rPr>
          <w:rFonts w:eastAsia="黑体"/>
          <w:rFonts w:ascii="Times New Roman" w:hAnsi="Times New Roman"/>
          <w:sz w:val="26"/>
        </w:rPr>
        <w:t>3.6 阶段六：人机协同标注界面</w:t>
      </w:r>
    </w:p>
    <w:p>
      <w:pPr>
        <w:jc w:val="both"/>
      </w:pPr>
      <w:r>
        <w:rPr>
          <w:rFonts w:eastAsia="宋体"/>
          <w:rFonts w:ascii="Times New Roman" w:hAnsi="Times New Roman"/>
          <w:b w:val="0"/>
          <w:sz w:val="24"/>
        </w:rPr>
        <w:t>BALF-Analyzer Web 界面（基于 FastAPI + 原生 JavaScript 构建）将自动预标注结果呈现给操作者进行审核，工作流程如下：</w:t>
      </w:r>
    </w:p>
    <w:p>
      <w:pPr>
        <w:jc w:val="both"/>
      </w:pPr>
      <w:r>
        <w:rPr>
          <w:rFonts w:eastAsia="宋体"/>
          <w:rFonts w:ascii="Times New Roman" w:hAnsi="Times New Roman"/>
          <w:b w:val="0"/>
          <w:sz w:val="24"/>
        </w:rPr>
        <w:t>1. 操作者标注每类 10 个细胞（共 40 个，约 5 分钟）</w:t>
      </w:r>
    </w:p>
    <w:p>
      <w:pPr>
        <w:jc w:val="both"/>
      </w:pPr>
      <w:r>
        <w:rPr>
          <w:rFonts w:eastAsia="宋体"/>
          <w:rFonts w:ascii="Times New Roman" w:hAnsi="Times New Roman"/>
          <w:b w:val="0"/>
          <w:sz w:val="24"/>
        </w:rPr>
        <w:t>2. 系统使用 AFP-OD 对所有剩余细胞进行自动标注</w:t>
      </w:r>
    </w:p>
    <w:p>
      <w:pPr>
        <w:jc w:val="both"/>
      </w:pPr>
      <w:r>
        <w:rPr>
          <w:rFonts w:eastAsia="宋体"/>
          <w:rFonts w:ascii="Times New Roman" w:hAnsi="Times New Roman"/>
          <w:b w:val="0"/>
          <w:sz w:val="24"/>
        </w:rPr>
        <w:t>3. 操作者审核低置信度预测（置信度 &lt; 阈值）并纠正错误</w:t>
      </w:r>
    </w:p>
    <w:p>
      <w:pPr>
        <w:jc w:val="both"/>
      </w:pPr>
      <w:r>
        <w:rPr>
          <w:rFonts w:eastAsia="宋体"/>
          <w:rFonts w:ascii="Times New Roman" w:hAnsi="Times New Roman"/>
          <w:b w:val="0"/>
          <w:sz w:val="24"/>
        </w:rPr>
        <w:t>4. 确认的标注存入 SQLite 数据库，支持 JSON/CSV 导出</w:t>
      </w:r>
    </w:p>
    <w:p>
      <w:pPr>
        <w:jc w:val="both"/>
      </w:pPr>
      <w:r>
        <w:rPr>
          <w:rFonts w:eastAsia="宋体"/>
          <w:rFonts w:ascii="Times New Roman" w:hAnsi="Times New Roman"/>
          <w:b w:val="0"/>
          <w:sz w:val="24"/>
        </w:rPr>
        <w:t>该人机协同设计将专家精力集中于模糊案例，在保证标注质量的同时最大程度压缩总标注时间。</w:t>
      </w:r>
    </w:p>
    <w:p/>
    <w:p>
      <w:pPr>
        <w:pStyle w:val="Heading2"/>
        <w:jc w:val="left"/>
      </w:pPr>
      <w:r>
        <w:rPr>
          <w:rFonts w:eastAsia="黑体"/>
          <w:rFonts w:ascii="Times New Roman" w:hAnsi="Times New Roman"/>
          <w:sz w:val="28"/>
        </w:rPr>
        <w:t>4. AFP-OD：基于自适应 Fisher 判别的原型正交解耦</w:t>
      </w:r>
    </w:p>
    <w:p>
      <w:pPr>
        <w:pStyle w:val="Heading3"/>
        <w:jc w:val="left"/>
      </w:pPr>
      <w:r>
        <w:rPr>
          <w:rFonts w:eastAsia="黑体"/>
          <w:rFonts w:ascii="Times New Roman" w:hAnsi="Times New Roman"/>
          <w:sz w:val="26"/>
        </w:rPr>
        <w:t>4.1 问题形式化</w:t>
      </w:r>
    </w:p>
    <w:p>
      <w:pPr>
        <w:jc w:val="both"/>
      </w:pPr>
      <w:r>
        <w:rPr>
          <w:rFonts w:eastAsia="宋体"/>
          <w:rFonts w:ascii="Times New Roman" w:hAnsi="Times New Roman"/>
          <w:b w:val="0"/>
          <w:sz w:val="24"/>
        </w:rPr>
        <w:t>设 support 集为 $\mathcal{S} = \{(\mathbf{x}_i^{(c)}, c)\}_{c \in \mathcal{C}, i=1}^{N}$，每类 $N=10$ 个标注细胞，其中 $\mathcal{C} = \{\text{Eos, Neu, Lym, Mac}\}$。每个细胞具有来自三个骨干的特征表示 $\mathbf{f}^{BC} \in \mathbb{R}^{512}$、$\mathbf{f}^{PH} \in \mathbb{R}^{1024}$、$\mathbf{f}^{DN} \in \mathbb{R}^{384}$ 以及形态学特征 $\mathbf{m} \in \mathbb{R}^{40}$。</w:t>
      </w:r>
    </w:p>
    <w:p>
      <w:pPr>
        <w:jc w:val="both"/>
      </w:pPr>
      <w:r>
        <w:rPr>
          <w:rFonts w:eastAsia="宋体"/>
          <w:rFonts w:ascii="Times New Roman" w:hAnsi="Times New Roman"/>
          <w:b w:val="0"/>
          <w:sz w:val="24"/>
        </w:rPr>
        <w:t>对 query 样本 $\mathbf{q}$ 和类别 $c$ 的多骨干 kNN 评分函数定义为：</w:t>
      </w:r>
    </w:p>
    <w:p>
      <w:pPr>
        <w:jc w:val="center"/>
      </w:pPr>
      <w:r>
        <w:rPr>
          <w:rFonts w:ascii="Cambria Math" w:hAnsi="Cambria Math"/>
          <w:i/>
          <w:sz w:val="20"/>
        </w:rPr>
        <w:t>$$s(\mathbf{q}, c) = \frac{1}{k} \sum_{j \in \text{top-}k} \Big[ w_{BC} \langle \mathbf{f}^{BC}_j, \mathbf{q}^{BC} \rangle + w_{PH} \langle \mathbf{f}^{PH}_j, \mathbf{q}^{PH} \rangle + w_{DN} \langle \mathbf{f}^{DN}_j, \mathbf{q}^{DN} \rangle + w_m \cdot \frac{1}{1 + \|\mathbf{m}_j^z - \mathbf{q}_m^z\|_2} \Big]$$</w:t>
      </w:r>
    </w:p>
    <w:p>
      <w:pPr>
        <w:jc w:val="both"/>
      </w:pPr>
      <w:r>
        <w:rPr>
          <w:rFonts w:eastAsia="宋体"/>
          <w:rFonts w:ascii="Times New Roman" w:hAnsi="Times New Roman"/>
          <w:b w:val="0"/>
          <w:sz w:val="24"/>
        </w:rPr>
        <w:t xml:space="preserve">其中 $w_{BC}=0.42$，$w_{PH}=0.18$，$w_{DN}=0.07$，$w_m=0.33$，$k=7$，$\mathbf{m}^z$ 表示 z-score 归一化的形态学向量。此基线方法称为 </w:t>
      </w:r>
      <w:r>
        <w:rPr>
          <w:rFonts w:eastAsia="宋体"/>
          <w:rFonts w:ascii="Times New Roman" w:hAnsi="Times New Roman"/>
          <w:b/>
          <w:sz w:val="24"/>
        </w:rPr>
        <w:t>MB-kNN</w:t>
      </w:r>
      <w:r>
        <w:rPr>
          <w:rFonts w:eastAsia="宋体"/>
          <w:rFonts w:ascii="Times New Roman" w:hAnsi="Times New Roman"/>
          <w:b w:val="0"/>
          <w:sz w:val="24"/>
        </w:rPr>
        <w:t>。</w:t>
      </w:r>
    </w:p>
    <w:p>
      <w:pPr>
        <w:jc w:val="both"/>
      </w:pPr>
      <w:r>
        <w:rPr>
          <w:rFonts w:eastAsia="宋体"/>
          <w:rFonts w:ascii="Times New Roman" w:hAnsi="Times New Roman"/>
          <w:b w:val="0"/>
          <w:sz w:val="24"/>
        </w:rPr>
        <w:t>尽管多骨干特征丰富，MB-kNN 仍受到视觉相似类系统性混淆的困扰——尤其是嗜酸性粒细胞（双叶核、颗粒状胞质）与巨噬细胞（圆形核、泡沫状胞质），两者在高维特征空间中存在大量重叠。</w:t>
      </w:r>
    </w:p>
    <w:p>
      <w:pPr>
        <w:pStyle w:val="Heading3"/>
        <w:jc w:val="left"/>
      </w:pPr>
      <w:r>
        <w:rPr>
          <w:rFonts w:eastAsia="黑体"/>
          <w:rFonts w:ascii="Times New Roman" w:hAnsi="Times New Roman"/>
          <w:sz w:val="26"/>
        </w:rPr>
        <w:t>4.2 双视图混淆对检测</w:t>
      </w:r>
    </w:p>
    <w:p>
      <w:pPr>
        <w:jc w:val="both"/>
      </w:pPr>
      <w:r>
        <w:rPr>
          <w:rFonts w:eastAsia="宋体"/>
          <w:rFonts w:ascii="Times New Roman" w:hAnsi="Times New Roman"/>
          <w:b w:val="0"/>
          <w:sz w:val="24"/>
        </w:rPr>
        <w:t>我们对 support 集进行留一法（LOO）k 近邻分类，在两个独立视图中检测混淆类对。</w:t>
      </w:r>
    </w:p>
    <w:p>
      <w:pPr>
        <w:jc w:val="both"/>
      </w:pPr>
      <w:r>
        <w:rPr>
          <w:rFonts w:eastAsia="宋体"/>
          <w:rFonts w:ascii="Times New Roman" w:hAnsi="Times New Roman"/>
          <w:b w:val="0"/>
          <w:sz w:val="24"/>
        </w:rPr>
      </w:r>
      <w:r>
        <w:rPr>
          <w:rFonts w:eastAsia="宋体"/>
          <w:rFonts w:ascii="Times New Roman" w:hAnsi="Times New Roman"/>
          <w:b/>
          <w:sz w:val="24"/>
        </w:rPr>
        <w:t>特征视图混淆率</w:t>
      </w:r>
      <w:r>
        <w:rPr>
          <w:rFonts w:eastAsia="宋体"/>
          <w:rFonts w:ascii="Times New Roman" w:hAnsi="Times New Roman"/>
          <w:b w:val="0"/>
          <w:sz w:val="24"/>
        </w:rPr>
        <w:t>（对 $(c_i, c_j)$）：</w:t>
      </w:r>
    </w:p>
    <w:p>
      <w:pPr>
        <w:jc w:val="center"/>
      </w:pPr>
      <w:r>
        <w:rPr>
          <w:rFonts w:ascii="Cambria Math" w:hAnsi="Cambria Math"/>
          <w:i/>
          <w:sz w:val="20"/>
        </w:rPr>
        <w:t>$$R^{\text{feat}}(c_i, c_j) = \frac{1}{|S_{c_i}|} \sum_{\mathbf{x} \in S_{c_i}} \mathbb{1}[\hat{y}^{\text{LOO}}(\mathbf{x}) = c_j] + \frac{1}{|S_{c_j}|} \sum_{\mathbf{x} \in S_{c_j}} \mathbb{1}[\hat{y}^{\text{LOO}}(\mathbf{x}) = c_i]$$</w:t>
      </w:r>
    </w:p>
    <w:p>
      <w:pPr>
        <w:jc w:val="both"/>
      </w:pPr>
      <w:r>
        <w:rPr>
          <w:rFonts w:eastAsia="宋体"/>
          <w:rFonts w:ascii="Times New Roman" w:hAnsi="Times New Roman"/>
          <w:b w:val="0"/>
          <w:sz w:val="24"/>
        </w:rPr>
        <w:t>采用 BiomedCLIP 特征上的余弦相似度 kNN（$k=5$）。</w:t>
      </w:r>
    </w:p>
    <w:p>
      <w:pPr>
        <w:jc w:val="both"/>
      </w:pPr>
      <w:r>
        <w:rPr>
          <w:rFonts w:eastAsia="宋体"/>
          <w:rFonts w:ascii="Times New Roman" w:hAnsi="Times New Roman"/>
          <w:b w:val="0"/>
          <w:sz w:val="24"/>
        </w:rPr>
      </w:r>
      <w:r>
        <w:rPr>
          <w:rFonts w:eastAsia="宋体"/>
          <w:rFonts w:ascii="Times New Roman" w:hAnsi="Times New Roman"/>
          <w:b/>
          <w:sz w:val="24"/>
        </w:rPr>
        <w:t>形态学视图混淆率</w:t>
      </w:r>
      <w:r>
        <w:rPr>
          <w:rFonts w:eastAsia="宋体"/>
          <w:rFonts w:ascii="Times New Roman" w:hAnsi="Times New Roman"/>
          <w:b w:val="0"/>
          <w:sz w:val="24"/>
        </w:rPr>
        <w:t>采用 z-score 归一化形态学特征上的欧氏距离 kNN（$k=5$）：</w:t>
      </w:r>
    </w:p>
    <w:p>
      <w:pPr>
        <w:jc w:val="center"/>
      </w:pPr>
      <w:r>
        <w:rPr>
          <w:rFonts w:ascii="Cambria Math" w:hAnsi="Cambria Math"/>
          <w:i/>
          <w:sz w:val="20"/>
        </w:rPr>
        <w:t>$$R^{\text{morph}}(c_i, c_j) = \frac{1}{|S_{c_i}|} \sum_{\mathbf{x} \in S_{c_i}} \mathbb{1}[\hat{y}^{\text{LOO,m}}(\mathbf{x}) = c_j] + \frac{1}{|S_{c_j}|} \sum_{\mathbf{x} \in S_{c_j}} \mathbb{1}[\hat{y}^{\text{LOO,m}}(\mathbf{x}) = c_i]$$</w:t>
      </w:r>
    </w:p>
    <w:p>
      <w:pPr>
        <w:jc w:val="both"/>
      </w:pPr>
      <w:r>
        <w:rPr>
          <w:rFonts w:eastAsia="宋体"/>
          <w:rFonts w:ascii="Times New Roman" w:hAnsi="Times New Roman"/>
          <w:b w:val="0"/>
          <w:sz w:val="24"/>
        </w:rPr>
        <w:t>采用</w:t>
      </w:r>
      <w:r>
        <w:rPr>
          <w:rFonts w:eastAsia="宋体"/>
          <w:rFonts w:ascii="Times New Roman" w:hAnsi="Times New Roman"/>
          <w:b/>
          <w:sz w:val="24"/>
        </w:rPr>
        <w:t>并集准则</w:t>
      </w:r>
      <w:r>
        <w:rPr>
          <w:rFonts w:eastAsia="宋体"/>
          <w:rFonts w:ascii="Times New Roman" w:hAnsi="Times New Roman"/>
          <w:b w:val="0"/>
          <w:sz w:val="24"/>
        </w:rPr>
        <w:t>将类对标记为混淆对：</w:t>
      </w:r>
    </w:p>
    <w:p>
      <w:pPr>
        <w:jc w:val="center"/>
      </w:pPr>
      <w:r>
        <w:rPr>
          <w:rFonts w:ascii="Cambria Math" w:hAnsi="Cambria Math"/>
          <w:i/>
          <w:sz w:val="20"/>
        </w:rPr>
        <w:t>$$\mathcal{P} = \left\{(c_i, c_j) \;\middle|\; R^{\text{feat}}(c_i, c_j) \geq \tau \;\text{ 或 }\; R^{\text{morph}}(c_i, c_j) \geq \tau \right\}$$</w:t>
      </w:r>
    </w:p>
    <w:p>
      <w:pPr>
        <w:jc w:val="both"/>
      </w:pPr>
      <w:r>
        <w:rPr>
          <w:rFonts w:eastAsia="宋体"/>
          <w:rFonts w:ascii="Times New Roman" w:hAnsi="Times New Roman"/>
          <w:b w:val="0"/>
          <w:sz w:val="24"/>
        </w:rPr>
        <w:t>阈值 $\tau = 0.15$。并集准则优于交集准则（见消融实验，表 2），原因在于：它能捕获在某一视图中可分、但在另一视图中混淆的类对，提供更多解耦机会。对于真正可分的类对，Fisher 方向幅度趋近于零，不会产生有害扰动，因此并集准则的假阳性几乎无代价。</w:t>
      </w:r>
    </w:p>
    <w:p>
      <w:pPr>
        <w:pStyle w:val="Heading3"/>
        <w:jc w:val="left"/>
      </w:pPr>
      <w:r>
        <w:rPr>
          <w:rFonts w:eastAsia="黑体"/>
          <w:rFonts w:ascii="Times New Roman" w:hAnsi="Times New Roman"/>
          <w:sz w:val="26"/>
        </w:rPr>
        <w:t>4.3 Ledoit-Wolf Fisher 方向</w:t>
      </w:r>
    </w:p>
    <w:p>
      <w:pPr>
        <w:jc w:val="both"/>
      </w:pPr>
      <w:r>
        <w:rPr>
          <w:rFonts w:eastAsia="宋体"/>
          <w:rFonts w:ascii="Times New Roman" w:hAnsi="Times New Roman"/>
          <w:b w:val="0"/>
          <w:sz w:val="24"/>
        </w:rPr>
        <w:t>对每个混淆对 $(c_i, c_j) \in \mathcal{P}$，使用 Ledoit-Wolf 协方差估计计算 Fisher 线性判别方向。</w:t>
      </w:r>
    </w:p>
    <w:p>
      <w:pPr>
        <w:jc w:val="both"/>
      </w:pPr>
      <w:r>
        <w:rPr>
          <w:rFonts w:eastAsia="宋体"/>
          <w:rFonts w:ascii="Times New Roman" w:hAnsi="Times New Roman"/>
          <w:b w:val="0"/>
          <w:sz w:val="24"/>
        </w:rPr>
        <w:t>每类的 Ledoit-Wolf 收缩估计 [CITE: Ledoit &amp; Wolf 2004] 为：</w:t>
      </w:r>
    </w:p>
    <w:p>
      <w:pPr>
        <w:jc w:val="center"/>
      </w:pPr>
      <w:r>
        <w:rPr>
          <w:rFonts w:ascii="Cambria Math" w:hAnsi="Cambria Math"/>
          <w:i/>
          <w:sz w:val="20"/>
        </w:rPr>
        <w:t>$$\hat{\boldsymbol{\Sigma}}_c^{LW} = (1 - \hat{\rho}_c) \mathbf{S}_c + \hat{\rho}_c \cdot \frac{\text{tr}(\mathbf{S}_c)}{D} \mathbf{I}$$</w:t>
      </w:r>
    </w:p>
    <w:p>
      <w:pPr>
        <w:jc w:val="both"/>
      </w:pPr>
      <w:r>
        <w:rPr>
          <w:rFonts w:eastAsia="宋体"/>
          <w:rFonts w:ascii="Times New Roman" w:hAnsi="Times New Roman"/>
          <w:b w:val="0"/>
          <w:sz w:val="24"/>
        </w:rPr>
        <w:t>其中 $\mathbf{S}_c$ 为类 $c$ 的 support 特征样本协方差矩阵，$\hat{\rho}_c$ 为解析最优收缩强度：</w:t>
      </w:r>
    </w:p>
    <w:p>
      <w:pPr>
        <w:jc w:val="center"/>
      </w:pPr>
      <w:r>
        <w:rPr>
          <w:rFonts w:ascii="Cambria Math" w:hAnsi="Cambria Math"/>
          <w:i/>
          <w:sz w:val="20"/>
        </w:rPr>
        <w:t>$$\hat{\rho}_c = \min\!\left(1,\, \max\!\left(0,\, \frac{\hat{\pi}_c}{\hat{\gamma}_c \cdot N}\right)\right)$$</w:t>
      </w:r>
    </w:p>
    <w:p>
      <w:pPr>
        <w:jc w:val="both"/>
      </w:pPr>
      <w:r>
        <w:rPr>
          <w:rFonts w:eastAsia="宋体"/>
          <w:rFonts w:ascii="Times New Roman" w:hAnsi="Times New Roman"/>
          <w:b w:val="0"/>
          <w:sz w:val="24"/>
        </w:rPr>
        <w:t>其中 $\hat{\pi}_c = \sum_{i,j} \text{Var}(S_{c,ij})$ 为协方差元素的方差之和，$\hat{\gamma}_c = \|\mathbf{S}_c - \frac{\text{tr}(\mathbf{S}_c)}{D}\mathbf{I}\|_F^2$ 为与目标矩阵的 Frobenius 距离。</w:t>
      </w:r>
    </w:p>
    <w:p>
      <w:pPr>
        <w:jc w:val="both"/>
      </w:pPr>
      <w:r>
        <w:rPr>
          <w:rFonts w:eastAsia="宋体"/>
          <w:rFonts w:ascii="Times New Roman" w:hAnsi="Times New Roman"/>
          <w:b w:val="0"/>
          <w:sz w:val="24"/>
        </w:rPr>
        <w:t>Fisher 方向随后计算为：</w:t>
      </w:r>
    </w:p>
    <w:p>
      <w:pPr>
        <w:jc w:val="center"/>
      </w:pPr>
      <w:r>
        <w:rPr>
          <w:rFonts w:ascii="Cambria Math" w:hAnsi="Cambria Math"/>
          <w:i/>
          <w:sz w:val="20"/>
        </w:rPr>
        <w:t>$$\mathbf{w}_{ij} = \left(\hat{\boldsymbol{\Sigma}}_{c_i}^{LW} + \hat{\boldsymbol{\Sigma}}_{c_j}^{LW} + \varepsilon \mathbf{I}\right)^{-1} (\boldsymbol{\mu}_{c_i} - \boldsymbol{\mu}_{c_j}), \quad \mathbf{w}_{ij} \leftarrow \frac{\mathbf{w}_{ij}}{\|\mathbf{w}_{ij}\|}$$</w:t>
      </w:r>
    </w:p>
    <w:p>
      <w:pPr>
        <w:jc w:val="both"/>
      </w:pPr>
      <w:r>
        <w:rPr>
          <w:rFonts w:eastAsia="宋体"/>
          <w:rFonts w:ascii="Times New Roman" w:hAnsi="Times New Roman"/>
          <w:b w:val="0"/>
          <w:sz w:val="24"/>
        </w:rPr>
        <w:t>Ledoit-Wolf 收缩在少样本场景（$N=10 \ll D$）中至关重要：样本协方差矩阵严重病态，固定收缩（如 $\rho=0.3$）在不同骨干维度间给出次优正则化。LW 自适应地调整 $\hat{\rho}_c$，提升 Fisher 方向的估计精度（见消融实验，表 2）。</w:t>
      </w:r>
    </w:p>
    <w:p>
      <w:pPr>
        <w:pStyle w:val="Heading3"/>
        <w:jc w:val="left"/>
      </w:pPr>
      <w:r>
        <w:rPr>
          <w:rFonts w:eastAsia="黑体"/>
          <w:rFonts w:ascii="Times New Roman" w:hAnsi="Times New Roman"/>
          <w:sz w:val="26"/>
        </w:rPr>
        <w:t>4.4 Support 原型分离</w:t>
      </w:r>
    </w:p>
    <w:p>
      <w:pPr>
        <w:jc w:val="both"/>
      </w:pPr>
      <w:r>
        <w:rPr>
          <w:rFonts w:eastAsia="宋体"/>
          <w:rFonts w:ascii="Times New Roman" w:hAnsi="Times New Roman"/>
          <w:b w:val="0"/>
          <w:sz w:val="24"/>
        </w:rPr>
        <w:t>对每个混淆对 $(c_i, c_j)$，三个骨干的 support 特征均沿对应 Fisher 方向施加扰动：</w:t>
      </w:r>
    </w:p>
    <w:p>
      <w:pPr>
        <w:jc w:val="center"/>
      </w:pPr>
      <w:r>
        <w:rPr>
          <w:rFonts w:ascii="Cambria Math" w:hAnsi="Cambria Math"/>
          <w:i/>
          <w:sz w:val="20"/>
        </w:rPr>
        <w:t>$$\tilde{\mathbf{f}}^{(c_i)} \leftarrow \mathbf{f}^{(c_i)} + \alpha \cdot \mathbf{w}_{ij}, \quad \tilde{\mathbf{f}}^{(c_j)} \leftarrow \mathbf{f}^{(c_j)} - \alpha \cdot \mathbf{w}_{ij}$$</w:t>
      </w:r>
    </w:p>
    <w:p>
      <w:pPr>
        <w:jc w:val="both"/>
      </w:pPr>
      <w:r>
        <w:rPr>
          <w:rFonts w:eastAsia="宋体"/>
          <w:rFonts w:ascii="Times New Roman" w:hAnsi="Times New Roman"/>
          <w:b w:val="0"/>
          <w:sz w:val="24"/>
        </w:rPr>
        <w:t>其中 $\alpha = 0.10$ 为分离强度（在 $\{0.05, 0.10, 0.20\}$ 上网格搜索确定）。处理所有混淆对后，所有 support 特征重新归一化至单位超球面。每个骨干使用其自身的 support 特征独立计算 Fisher 方向 $\mathbf{w}_{ij}$。随后使用修改后的 support 特征 $\tilde{\mathbf{f}}$ 代入 MB-kNN 评分函数进行分类。</w:t>
      </w:r>
    </w:p>
    <w:p>
      <w:pPr>
        <w:pStyle w:val="Heading3"/>
        <w:jc w:val="left"/>
      </w:pPr>
      <w:r>
        <w:rPr>
          <w:rFonts w:eastAsia="黑体"/>
          <w:rFonts w:ascii="Times New Roman" w:hAnsi="Times New Roman"/>
          <w:sz w:val="26"/>
        </w:rPr>
        <w:t>4.5 算法汇总</w:t>
      </w:r>
    </w:p>
    <w:p>
      <w:pPr>
        <w:ind w:left="576"/>
      </w:pPr>
      <w:r>
        <w:rPr>
          <w:rFonts w:ascii="Courier New" w:hAnsi="Courier New"/>
          <w:sz w:val="18"/>
        </w:rPr>
        <w:t>算法 1：AFP-OD 分类</w:t>
      </w:r>
    </w:p>
    <w:p>
      <w:pPr>
        <w:ind w:left="576"/>
      </w:pPr>
      <w:r>
        <w:rPr>
          <w:rFonts w:ascii="Courier New" w:hAnsi="Courier New"/>
          <w:sz w:val="18"/>
        </w:rPr>
        <w:t>输入：各类 support 集 {S_c^BC, S_c^PH, S_c^DN, S_c^m}（c ∈ C）</w:t>
      </w:r>
    </w:p>
    <w:p>
      <w:pPr>
        <w:ind w:left="576"/>
      </w:pPr>
      <w:r>
        <w:rPr>
          <w:rFonts w:ascii="Courier New" w:hAnsi="Courier New"/>
          <w:sz w:val="18"/>
        </w:rPr>
        <w:t xml:space="preserve">      query 特征 {q^BC, q^PH, q^DN, q^m}</w:t>
      </w:r>
    </w:p>
    <w:p>
      <w:pPr>
        <w:ind w:left="576"/>
      </w:pPr>
      <w:r>
        <w:rPr>
          <w:rFonts w:ascii="Courier New" w:hAnsi="Courier New"/>
          <w:sz w:val="18"/>
        </w:rPr>
        <w:t xml:space="preserve">      参数：τ=0.15, α=0.10, k_det=5, k_cls=7</w:t>
      </w:r>
    </w:p>
    <w:p>
      <w:pPr>
        <w:ind w:left="576"/>
      </w:pPr>
      <w:r>
        <w:rPr>
          <w:rFonts w:ascii="Courier New" w:hAnsi="Courier New"/>
          <w:sz w:val="18"/>
        </w:rPr>
        <w:t>输出：每个 query 的预测类别</w:t>
      </w:r>
    </w:p>
    <w:p>
      <w:pPr>
        <w:ind w:left="576"/>
      </w:pPr>
      <w:r>
        <w:rPr>
          <w:rFonts w:ascii="Courier New" w:hAnsi="Courier New"/>
          <w:sz w:val="18"/>
        </w:rPr>
      </w:r>
    </w:p>
    <w:p>
      <w:pPr>
        <w:ind w:left="576"/>
      </w:pPr>
      <w:r>
        <w:rPr>
          <w:rFonts w:ascii="Courier New" w:hAnsi="Courier New"/>
          <w:sz w:val="18"/>
        </w:rPr>
        <w:t>步骤 1：通过双视图 LOO kNN 检测混淆对集合 P（§4.2）</w:t>
      </w:r>
    </w:p>
    <w:p>
      <w:pPr>
        <w:ind w:left="576"/>
      </w:pPr>
      <w:r>
        <w:rPr>
          <w:rFonts w:ascii="Courier New" w:hAnsi="Courier New"/>
          <w:sz w:val="18"/>
        </w:rPr>
        <w:t>步骤 2：对 P 中每个 (c_i, c_j) 和每个骨干 b ∈ {BC, PH, DN}：</w:t>
      </w:r>
    </w:p>
    <w:p>
      <w:pPr>
        <w:ind w:left="576"/>
      </w:pPr>
      <w:r>
        <w:rPr>
          <w:rFonts w:ascii="Courier New" w:hAnsi="Courier New"/>
          <w:sz w:val="18"/>
        </w:rPr>
        <w:t xml:space="preserve">        a. 计算 LW 协方差 Σ_i^b、Σ_j^b（§4.3）</w:t>
      </w:r>
    </w:p>
    <w:p>
      <w:pPr>
        <w:ind w:left="576"/>
      </w:pPr>
      <w:r>
        <w:rPr>
          <w:rFonts w:ascii="Courier New" w:hAnsi="Courier New"/>
          <w:sz w:val="18"/>
        </w:rPr>
        <w:t xml:space="preserve">        b. 计算 Fisher 方向 w_ij^b（§4.3）</w:t>
      </w:r>
    </w:p>
    <w:p>
      <w:pPr>
        <w:ind w:left="576"/>
      </w:pPr>
      <w:r>
        <w:rPr>
          <w:rFonts w:ascii="Courier New" w:hAnsi="Courier New"/>
          <w:sz w:val="18"/>
        </w:rPr>
        <w:t xml:space="preserve">        c. 扰动：S_{c_i}^b += α·w_ij^b；S_{c_j}^b -= α·w_ij^b</w:t>
      </w:r>
    </w:p>
    <w:p>
      <w:pPr>
        <w:ind w:left="576"/>
      </w:pPr>
      <w:r>
        <w:rPr>
          <w:rFonts w:ascii="Courier New" w:hAnsi="Courier New"/>
          <w:sz w:val="18"/>
        </w:rPr>
        <w:t>步骤 3：所有 support 特征归一化至单位球面</w:t>
      </w:r>
    </w:p>
    <w:p>
      <w:pPr>
        <w:ind w:left="576"/>
      </w:pPr>
      <w:r>
        <w:rPr>
          <w:rFonts w:ascii="Courier New" w:hAnsi="Courier New"/>
          <w:sz w:val="18"/>
        </w:rPr>
        <w:t>步骤 4：使用修改后的 support 通过 MB-kNN 对 query 分类（§4.1）</w:t>
      </w:r>
    </w:p>
    <w:p/>
    <w:p>
      <w:pPr>
        <w:pStyle w:val="Heading2"/>
        <w:jc w:val="left"/>
      </w:pPr>
      <w:r>
        <w:rPr>
          <w:rFonts w:eastAsia="黑体"/>
          <w:rFonts w:ascii="Times New Roman" w:hAnsi="Times New Roman"/>
          <w:sz w:val="28"/>
        </w:rPr>
        <w:t>5. 实验</w:t>
      </w:r>
    </w:p>
    <w:p>
      <w:pPr>
        <w:pStyle w:val="Heading3"/>
        <w:jc w:val="left"/>
      </w:pPr>
      <w:r>
        <w:rPr>
          <w:rFonts w:eastAsia="黑体"/>
          <w:rFonts w:ascii="Times New Roman" w:hAnsi="Times New Roman"/>
          <w:sz w:val="26"/>
        </w:rPr>
        <w:t>5.1 数据集</w:t>
      </w:r>
    </w:p>
    <w:p>
      <w:pPr>
        <w:jc w:val="both"/>
      </w:pPr>
      <w:r>
        <w:rPr>
          <w:rFonts w:eastAsia="宋体"/>
          <w:rFonts w:ascii="Times New Roman" w:hAnsi="Times New Roman"/>
          <w:b w:val="0"/>
          <w:sz w:val="24"/>
        </w:rPr>
      </w:r>
      <w:r>
        <w:rPr>
          <w:rFonts w:eastAsia="宋体"/>
          <w:rFonts w:ascii="Times New Roman" w:hAnsi="Times New Roman"/>
          <w:b/>
          <w:sz w:val="24"/>
        </w:rPr>
        <w:t>data2_organized</w:t>
      </w:r>
      <w:r>
        <w:rPr>
          <w:rFonts w:eastAsia="宋体"/>
          <w:rFonts w:ascii="Times New Roman" w:hAnsi="Times New Roman"/>
          <w:b w:val="0"/>
          <w:sz w:val="24"/>
        </w:rPr>
        <w:t>：本文主要评估数据集，包含 6,631 个细胞实例（训练集 5,315 / 验证集 1,316），来源于 BALF 样本。包含四种临床相关细胞类型：嗜酸性粒细胞（Eos）、中性粒细胞（Neu）、淋巴细胞（Lym）和巨噬细胞（Mac）。类别分布高度不均衡：淋巴细胞占主导（约 55%），其次为巨噬细胞（约 31%）、中性粒细胞（约 10%）和嗜酸性粒细胞（约 4%），与临床 BALF 样本的典型分布一致。细胞实例由 Cellpose 分割、人工核查后经有经验的细胞学医师标注。</w:t>
      </w:r>
    </w:p>
    <w:p>
      <w:pPr>
        <w:pStyle w:val="Heading3"/>
        <w:jc w:val="left"/>
      </w:pPr>
      <w:r>
        <w:rPr>
          <w:rFonts w:eastAsia="黑体"/>
          <w:rFonts w:ascii="Times New Roman" w:hAnsi="Times New Roman"/>
          <w:sz w:val="26"/>
        </w:rPr>
        <w:t>5.2 评估协议</w:t>
      </w:r>
    </w:p>
    <w:p>
      <w:pPr>
        <w:jc w:val="both"/>
      </w:pPr>
      <w:r>
        <w:rPr>
          <w:rFonts w:eastAsia="宋体"/>
          <w:rFonts w:ascii="Times New Roman" w:hAnsi="Times New Roman"/>
          <w:b w:val="0"/>
          <w:sz w:val="24"/>
        </w:rPr>
        <w:t>采用</w:t>
      </w:r>
      <w:r>
        <w:rPr>
          <w:rFonts w:eastAsia="宋体"/>
          <w:rFonts w:ascii="Times New Roman" w:hAnsi="Times New Roman"/>
          <w:b/>
          <w:sz w:val="24"/>
        </w:rPr>
        <w:t>嵌套 5 折交叉验证 × 5 随机种子</w:t>
      </w:r>
      <w:r>
        <w:rPr>
          <w:rFonts w:eastAsia="宋体"/>
          <w:rFonts w:ascii="Times New Roman" w:hAnsi="Times New Roman"/>
          <w:b w:val="0"/>
          <w:sz w:val="24"/>
        </w:rPr>
        <w:t>（共 25 次评估）以获得稳健的性能估计。每次评估中：</w:t>
      </w:r>
    </w:p>
    <w:p>
      <w:pPr>
        <w:pStyle w:val="ListBullet"/>
      </w:pPr>
      <w:r>
        <w:rPr>
          <w:rFonts w:eastAsia="宋体"/>
          <w:rFonts w:ascii="Times New Roman" w:hAnsi="Times New Roman"/>
          <w:b w:val="0"/>
          <w:sz w:val="24"/>
        </w:rPr>
      </w:r>
      <w:r>
        <w:rPr>
          <w:rFonts w:eastAsia="宋体"/>
          <w:rFonts w:ascii="Times New Roman" w:hAnsi="Times New Roman"/>
          <w:b/>
          <w:sz w:val="24"/>
        </w:rPr>
        <w:t>Support 集</w:t>
      </w:r>
      <w:r>
        <w:rPr>
          <w:rFonts w:eastAsia="宋体"/>
          <w:rFonts w:ascii="Times New Roman" w:hAnsi="Times New Roman"/>
          <w:b w:val="0"/>
          <w:sz w:val="24"/>
        </w:rPr>
        <w:t>：从训练集按类随机采样 $N=10$ 个细胞（共 40 个）</w:t>
      </w:r>
    </w:p>
    <w:p>
      <w:pPr>
        <w:pStyle w:val="ListBullet"/>
      </w:pPr>
      <w:r>
        <w:rPr>
          <w:rFonts w:eastAsia="宋体"/>
          <w:rFonts w:ascii="Times New Roman" w:hAnsi="Times New Roman"/>
          <w:b w:val="0"/>
          <w:sz w:val="24"/>
        </w:rPr>
      </w:r>
      <w:r>
        <w:rPr>
          <w:rFonts w:eastAsia="宋体"/>
          <w:rFonts w:ascii="Times New Roman" w:hAnsi="Times New Roman"/>
          <w:b/>
          <w:sz w:val="24"/>
        </w:rPr>
        <w:t>Query 集</w:t>
      </w:r>
      <w:r>
        <w:rPr>
          <w:rFonts w:eastAsia="宋体"/>
          <w:rFonts w:ascii="Times New Roman" w:hAnsi="Times New Roman"/>
          <w:b w:val="0"/>
          <w:sz w:val="24"/>
        </w:rPr>
        <w:t>：一个验证折（约 263 个细胞）</w:t>
      </w:r>
    </w:p>
    <w:p>
      <w:pPr>
        <w:pStyle w:val="ListBullet"/>
      </w:pPr>
      <w:r>
        <w:rPr>
          <w:rFonts w:eastAsia="宋体"/>
          <w:rFonts w:ascii="Times New Roman" w:hAnsi="Times New Roman"/>
          <w:b w:val="0"/>
          <w:sz w:val="24"/>
        </w:rPr>
      </w:r>
      <w:r>
        <w:rPr>
          <w:rFonts w:eastAsia="宋体"/>
          <w:rFonts w:ascii="Times New Roman" w:hAnsi="Times New Roman"/>
          <w:b/>
          <w:sz w:val="24"/>
        </w:rPr>
        <w:t>无测试集超参数调整</w:t>
      </w:r>
      <w:r>
        <w:rPr>
          <w:rFonts w:eastAsia="宋体"/>
          <w:rFonts w:ascii="Times New Roman" w:hAnsi="Times New Roman"/>
          <w:b w:val="0"/>
          <w:sz w:val="24"/>
        </w:rPr>
        <w:t>：所有超参数在训练集上固定，不基于 query/测试集进行调整</w:t>
      </w:r>
    </w:p>
    <w:p>
      <w:pPr>
        <w:jc w:val="both"/>
      </w:pPr>
      <w:r>
        <w:rPr>
          <w:rFonts w:eastAsia="宋体"/>
          <w:rFonts w:ascii="Times New Roman" w:hAnsi="Times New Roman"/>
          <w:b w:val="0"/>
          <w:sz w:val="24"/>
        </w:rPr>
        <w:t>主要指标：</w:t>
      </w:r>
      <w:r>
        <w:rPr>
          <w:rFonts w:eastAsia="宋体"/>
          <w:rFonts w:ascii="Times New Roman" w:hAnsi="Times New Roman"/>
          <w:b/>
          <w:sz w:val="24"/>
        </w:rPr>
        <w:t>宏平均 F1（mF1）</w:t>
      </w:r>
      <w:r>
        <w:rPr>
          <w:rFonts w:eastAsia="宋体"/>
          <w:rFonts w:ascii="Times New Roman" w:hAnsi="Times New Roman"/>
          <w:b w:val="0"/>
          <w:sz w:val="24"/>
        </w:rPr>
        <w:t>和</w:t>
      </w:r>
      <w:r>
        <w:rPr>
          <w:rFonts w:eastAsia="宋体"/>
          <w:rFonts w:ascii="Times New Roman" w:hAnsi="Times New Roman"/>
          <w:b/>
          <w:sz w:val="24"/>
        </w:rPr>
        <w:t>嗜酸性粒细胞 F1（Eos F1）</w:t>
      </w:r>
      <w:r>
        <w:rPr>
          <w:rFonts w:eastAsia="宋体"/>
          <w:rFonts w:ascii="Times New Roman" w:hAnsi="Times New Roman"/>
          <w:b w:val="0"/>
          <w:sz w:val="24"/>
        </w:rPr>
        <w:t>（最具挑战性的类别）。次要指标：各类 F1、准确率。随机种子集合：</w:t>
      </w:r>
      <w:r>
        <w:rPr>
          <w:rFonts w:ascii="Courier New" w:hAnsi="Courier New"/>
          <w:sz w:val="20"/>
        </w:rPr>
        <w:t>{42, 123, 456, 789, 2026}</w:t>
      </w:r>
      <w:r>
        <w:rPr>
          <w:rFonts w:eastAsia="宋体"/>
          <w:rFonts w:ascii="Times New Roman" w:hAnsi="Times New Roman"/>
          <w:b w:val="0"/>
          <w:sz w:val="24"/>
        </w:rPr>
        <w:t>。</w:t>
      </w:r>
    </w:p>
    <w:p>
      <w:pPr>
        <w:pStyle w:val="Heading3"/>
        <w:jc w:val="left"/>
      </w:pPr>
      <w:r>
        <w:rPr>
          <w:rFonts w:eastAsia="黑体"/>
          <w:rFonts w:ascii="Times New Roman" w:hAnsi="Times New Roman"/>
          <w:sz w:val="26"/>
        </w:rPr>
        <w:t>5.3 主要结果</w:t>
      </w:r>
    </w:p>
    <w:p>
      <w:pPr>
        <w:jc w:val="both"/>
      </w:pPr>
      <w:r>
        <w:rPr>
          <w:rFonts w:eastAsia="宋体"/>
          <w:rFonts w:ascii="Times New Roman" w:hAnsi="Times New Roman"/>
          <w:b w:val="0"/>
          <w:sz w:val="24"/>
        </w:rPr>
        <w:t>表 1 汇报了 data2_organized 数据集上 25 次评估的平均结果。</w:t>
      </w:r>
    </w:p>
    <w:p>
      <w:pPr>
        <w:jc w:val="both"/>
      </w:pPr>
      <w:r>
        <w:rPr>
          <w:rFonts w:eastAsia="宋体"/>
          <w:rFonts w:ascii="Times New Roman" w:hAnsi="Times New Roman"/>
          <w:b w:val="0"/>
          <w:sz w:val="24"/>
        </w:rPr>
      </w:r>
      <w:r>
        <w:rPr>
          <w:rFonts w:eastAsia="宋体"/>
          <w:rFonts w:ascii="Times New Roman" w:hAnsi="Times New Roman"/>
          <w:b/>
          <w:sz w:val="24"/>
        </w:rPr>
        <w:t>表 1：主要结果 — data2_organized，10-shot，嵌套 5 折 CV × 5 种子</w:t>
      </w:r>
      <w:r>
        <w:rPr>
          <w:rFonts w:eastAsia="宋体"/>
          <w:rFonts w:ascii="Times New Roman" w:hAnsi="Times New Roman"/>
          <w:b w:val="0"/>
          <w:sz w:val="24"/>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方法</w:t>
            </w:r>
          </w:p>
        </w:tc>
        <w:tc>
          <w:tcPr>
            <w:tcW w:type="dxa" w:w="1234"/>
          </w:tcPr>
          <w:p>
            <w:r>
              <w:rPr>
                <w:rFonts w:ascii="Times New Roman" w:hAnsi="Times New Roman"/>
                <w:b/>
                <w:sz w:val="20"/>
              </w:rPr>
              <w:t>准确率</w:t>
            </w:r>
          </w:p>
        </w:tc>
        <w:tc>
          <w:tcPr>
            <w:tcW w:type="dxa" w:w="1234"/>
          </w:tcPr>
          <w:p>
            <w:r>
              <w:rPr>
                <w:rFonts w:ascii="Times New Roman" w:hAnsi="Times New Roman"/>
                <w:b/>
                <w:sz w:val="20"/>
              </w:rPr>
              <w:t>mF1</w:t>
            </w:r>
          </w:p>
        </w:tc>
        <w:tc>
          <w:tcPr>
            <w:tcW w:type="dxa" w:w="1234"/>
          </w:tcPr>
          <w:p>
            <w:r>
              <w:rPr>
                <w:rFonts w:ascii="Times New Roman" w:hAnsi="Times New Roman"/>
                <w:b/>
                <w:sz w:val="20"/>
              </w:rPr>
              <w:t>Eos F1</w:t>
            </w:r>
          </w:p>
        </w:tc>
        <w:tc>
          <w:tcPr>
            <w:tcW w:type="dxa" w:w="1234"/>
          </w:tcPr>
          <w:p>
            <w:r>
              <w:rPr>
                <w:rFonts w:ascii="Times New Roman" w:hAnsi="Times New Roman"/>
                <w:b/>
                <w:sz w:val="20"/>
              </w:rPr>
              <w:t>Neu F1</w:t>
            </w:r>
          </w:p>
        </w:tc>
        <w:tc>
          <w:tcPr>
            <w:tcW w:type="dxa" w:w="1234"/>
          </w:tcPr>
          <w:p>
            <w:r>
              <w:rPr>
                <w:rFonts w:ascii="Times New Roman" w:hAnsi="Times New Roman"/>
                <w:b/>
                <w:sz w:val="20"/>
              </w:rPr>
              <w:t>Lym F1</w:t>
            </w:r>
          </w:p>
        </w:tc>
        <w:tc>
          <w:tcPr>
            <w:tcW w:type="dxa" w:w="1234"/>
          </w:tcPr>
          <w:p>
            <w:r>
              <w:rPr>
                <w:rFonts w:ascii="Times New Roman" w:hAnsi="Times New Roman"/>
                <w:b/>
                <w:sz w:val="20"/>
              </w:rPr>
              <w:t>Mac F1</w:t>
            </w:r>
          </w:p>
        </w:tc>
      </w:tr>
      <w:tr>
        <w:tc>
          <w:tcPr>
            <w:tcW w:type="dxa" w:w="1234"/>
          </w:tcPr>
          <w:p>
            <w:r>
              <w:rPr>
                <w:rFonts w:ascii="Times New Roman" w:hAnsi="Times New Roman"/>
                <w:sz w:val="20"/>
              </w:rPr>
              <w:t>**MB-kNN（基线）**</w:t>
            </w:r>
          </w:p>
        </w:tc>
        <w:tc>
          <w:tcPr>
            <w:tcW w:type="dxa" w:w="1234"/>
          </w:tcPr>
          <w:p>
            <w:r>
              <w:rPr>
                <w:rFonts w:ascii="Times New Roman" w:hAnsi="Times New Roman"/>
                <w:sz w:val="20"/>
              </w:rPr>
              <w:t>0.848</w:t>
            </w:r>
          </w:p>
        </w:tc>
        <w:tc>
          <w:tcPr>
            <w:tcW w:type="dxa" w:w="1234"/>
          </w:tcPr>
          <w:p>
            <w:r>
              <w:rPr>
                <w:rFonts w:ascii="Times New Roman" w:hAnsi="Times New Roman"/>
                <w:sz w:val="20"/>
              </w:rPr>
              <w:t>0.725</w:t>
            </w:r>
          </w:p>
        </w:tc>
        <w:tc>
          <w:tcPr>
            <w:tcW w:type="dxa" w:w="1234"/>
          </w:tcPr>
          <w:p>
            <w:r>
              <w:rPr>
                <w:rFonts w:ascii="Times New Roman" w:hAnsi="Times New Roman"/>
                <w:sz w:val="20"/>
              </w:rPr>
              <w:t>0.447</w:t>
            </w:r>
          </w:p>
        </w:tc>
        <w:tc>
          <w:tcPr>
            <w:tcW w:type="dxa" w:w="1234"/>
          </w:tcPr>
          <w:p>
            <w:r>
              <w:rPr>
                <w:rFonts w:ascii="Times New Roman" w:hAnsi="Times New Roman"/>
                <w:sz w:val="20"/>
              </w:rPr>
              <w:t>0.678</w:t>
            </w:r>
          </w:p>
        </w:tc>
        <w:tc>
          <w:tcPr>
            <w:tcW w:type="dxa" w:w="1234"/>
          </w:tcPr>
          <w:p>
            <w:r>
              <w:rPr>
                <w:rFonts w:ascii="Times New Roman" w:hAnsi="Times New Roman"/>
                <w:sz w:val="20"/>
              </w:rPr>
              <w:t>0.931</w:t>
            </w:r>
          </w:p>
        </w:tc>
        <w:tc>
          <w:tcPr>
            <w:tcW w:type="dxa" w:w="1234"/>
          </w:tcPr>
          <w:p>
            <w:r>
              <w:rPr>
                <w:rFonts w:ascii="Times New Roman" w:hAnsi="Times New Roman"/>
                <w:sz w:val="20"/>
              </w:rPr>
              <w:t>0.845</w:t>
            </w:r>
          </w:p>
        </w:tc>
      </w:tr>
      <w:tr>
        <w:tc>
          <w:tcPr>
            <w:tcW w:type="dxa" w:w="1234"/>
          </w:tcPr>
          <w:p>
            <w:r>
              <w:rPr>
                <w:rFonts w:ascii="Times New Roman" w:hAnsi="Times New Roman"/>
                <w:sz w:val="20"/>
              </w:rPr>
              <w:t>AFP-OD P1（trace 收缩，α=0.10）</w:t>
            </w:r>
          </w:p>
        </w:tc>
        <w:tc>
          <w:tcPr>
            <w:tcW w:type="dxa" w:w="1234"/>
          </w:tcPr>
          <w:p>
            <w:r>
              <w:rPr>
                <w:rFonts w:ascii="Times New Roman" w:hAnsi="Times New Roman"/>
                <w:sz w:val="20"/>
              </w:rPr>
              <w:t>0.859</w:t>
            </w:r>
          </w:p>
        </w:tc>
        <w:tc>
          <w:tcPr>
            <w:tcW w:type="dxa" w:w="1234"/>
          </w:tcPr>
          <w:p>
            <w:r>
              <w:rPr>
                <w:rFonts w:ascii="Times New Roman" w:hAnsi="Times New Roman"/>
                <w:sz w:val="20"/>
              </w:rPr>
              <w:t>0.748</w:t>
            </w:r>
          </w:p>
        </w:tc>
        <w:tc>
          <w:tcPr>
            <w:tcW w:type="dxa" w:w="1234"/>
          </w:tcPr>
          <w:p>
            <w:r>
              <w:rPr>
                <w:rFonts w:ascii="Times New Roman" w:hAnsi="Times New Roman"/>
                <w:sz w:val="20"/>
              </w:rPr>
              <w:t>0.492</w:t>
            </w:r>
          </w:p>
        </w:tc>
        <w:tc>
          <w:tcPr>
            <w:tcW w:type="dxa" w:w="1234"/>
          </w:tcPr>
          <w:p>
            <w:r>
              <w:rPr>
                <w:rFonts w:ascii="Times New Roman" w:hAnsi="Times New Roman"/>
                <w:sz w:val="20"/>
              </w:rPr>
              <w:t>0.714</w:t>
            </w:r>
          </w:p>
        </w:tc>
        <w:tc>
          <w:tcPr>
            <w:tcW w:type="dxa" w:w="1234"/>
          </w:tcPr>
          <w:p>
            <w:r>
              <w:rPr>
                <w:rFonts w:ascii="Times New Roman" w:hAnsi="Times New Roman"/>
                <w:sz w:val="20"/>
              </w:rPr>
              <w:t>0.928</w:t>
            </w:r>
          </w:p>
        </w:tc>
        <w:tc>
          <w:tcPr>
            <w:tcW w:type="dxa" w:w="1234"/>
          </w:tcPr>
          <w:p>
            <w:r>
              <w:rPr>
                <w:rFonts w:ascii="Times New Roman" w:hAnsi="Times New Roman"/>
                <w:sz w:val="20"/>
              </w:rPr>
              <w:t>0.857</w:t>
            </w:r>
          </w:p>
        </w:tc>
      </w:tr>
      <w:tr>
        <w:tc>
          <w:tcPr>
            <w:tcW w:type="dxa" w:w="1234"/>
          </w:tcPr>
          <w:p>
            <w:r>
              <w:rPr>
                <w:rFonts w:ascii="Times New Roman" w:hAnsi="Times New Roman"/>
                <w:sz w:val="20"/>
              </w:rPr>
              <w:t>AFP-OD P2（LW 收缩，α=0.10）</w:t>
            </w:r>
          </w:p>
        </w:tc>
        <w:tc>
          <w:tcPr>
            <w:tcW w:type="dxa" w:w="1234"/>
          </w:tcPr>
          <w:p>
            <w:r>
              <w:rPr>
                <w:rFonts w:ascii="Times New Roman" w:hAnsi="Times New Roman"/>
                <w:sz w:val="20"/>
              </w:rPr>
              <w:t>0.860</w:t>
            </w:r>
          </w:p>
        </w:tc>
        <w:tc>
          <w:tcPr>
            <w:tcW w:type="dxa" w:w="1234"/>
          </w:tcPr>
          <w:p>
            <w:r>
              <w:rPr>
                <w:rFonts w:ascii="Times New Roman" w:hAnsi="Times New Roman"/>
                <w:sz w:val="20"/>
              </w:rPr>
              <w:t>0.749</w:t>
            </w:r>
          </w:p>
        </w:tc>
        <w:tc>
          <w:tcPr>
            <w:tcW w:type="dxa" w:w="1234"/>
          </w:tcPr>
          <w:p>
            <w:r>
              <w:rPr>
                <w:rFonts w:ascii="Times New Roman" w:hAnsi="Times New Roman"/>
                <w:sz w:val="20"/>
              </w:rPr>
              <w:t>0.493</w:t>
            </w:r>
          </w:p>
        </w:tc>
        <w:tc>
          <w:tcPr>
            <w:tcW w:type="dxa" w:w="1234"/>
          </w:tcPr>
          <w:p>
            <w:r>
              <w:rPr>
                <w:rFonts w:ascii="Times New Roman" w:hAnsi="Times New Roman"/>
                <w:sz w:val="20"/>
              </w:rPr>
              <w:t>0.716</w:t>
            </w:r>
          </w:p>
        </w:tc>
        <w:tc>
          <w:tcPr>
            <w:tcW w:type="dxa" w:w="1234"/>
          </w:tcPr>
          <w:p>
            <w:r>
              <w:rPr>
                <w:rFonts w:ascii="Times New Roman" w:hAnsi="Times New Roman"/>
                <w:sz w:val="20"/>
              </w:rPr>
              <w:t>0.928</w:t>
            </w:r>
          </w:p>
        </w:tc>
        <w:tc>
          <w:tcPr>
            <w:tcW w:type="dxa" w:w="1234"/>
          </w:tcPr>
          <w:p>
            <w:r>
              <w:rPr>
                <w:rFonts w:ascii="Times New Roman" w:hAnsi="Times New Roman"/>
                <w:sz w:val="20"/>
              </w:rPr>
              <w:t>0.857</w:t>
            </w:r>
          </w:p>
        </w:tc>
      </w:tr>
      <w:tr>
        <w:tc>
          <w:tcPr>
            <w:tcW w:type="dxa" w:w="1234"/>
          </w:tcPr>
          <w:p>
            <w:r>
              <w:rPr>
                <w:rFonts w:ascii="Times New Roman" w:hAnsi="Times New Roman"/>
                <w:sz w:val="20"/>
              </w:rPr>
              <w:t>AFP-OD P3b（LW + 双视图交集）</w:t>
            </w:r>
          </w:p>
        </w:tc>
        <w:tc>
          <w:tcPr>
            <w:tcW w:type="dxa" w:w="1234"/>
          </w:tcPr>
          <w:p>
            <w:r>
              <w:rPr>
                <w:rFonts w:ascii="Times New Roman" w:hAnsi="Times New Roman"/>
                <w:sz w:val="20"/>
              </w:rPr>
              <w:t>0.864</w:t>
            </w:r>
          </w:p>
        </w:tc>
        <w:tc>
          <w:tcPr>
            <w:tcW w:type="dxa" w:w="1234"/>
          </w:tcPr>
          <w:p>
            <w:r>
              <w:rPr>
                <w:rFonts w:ascii="Times New Roman" w:hAnsi="Times New Roman"/>
                <w:sz w:val="20"/>
              </w:rPr>
              <w:t>0.749</w:t>
            </w:r>
          </w:p>
        </w:tc>
        <w:tc>
          <w:tcPr>
            <w:tcW w:type="dxa" w:w="1234"/>
          </w:tcPr>
          <w:p>
            <w:r>
              <w:rPr>
                <w:rFonts w:ascii="Times New Roman" w:hAnsi="Times New Roman"/>
                <w:sz w:val="20"/>
              </w:rPr>
              <w:t>0.490</w:t>
            </w:r>
          </w:p>
        </w:tc>
        <w:tc>
          <w:tcPr>
            <w:tcW w:type="dxa" w:w="1234"/>
          </w:tcPr>
          <w:p>
            <w:r>
              <w:rPr>
                <w:rFonts w:ascii="Times New Roman" w:hAnsi="Times New Roman"/>
                <w:sz w:val="20"/>
              </w:rPr>
              <w:t>0.712</w:t>
            </w:r>
          </w:p>
        </w:tc>
        <w:tc>
          <w:tcPr>
            <w:tcW w:type="dxa" w:w="1234"/>
          </w:tcPr>
          <w:p>
            <w:r>
              <w:rPr>
                <w:rFonts w:ascii="Times New Roman" w:hAnsi="Times New Roman"/>
                <w:sz w:val="20"/>
              </w:rPr>
              <w:t>0.931</w:t>
            </w:r>
          </w:p>
        </w:tc>
        <w:tc>
          <w:tcPr>
            <w:tcW w:type="dxa" w:w="1234"/>
          </w:tcPr>
          <w:p>
            <w:r>
              <w:rPr>
                <w:rFonts w:ascii="Times New Roman" w:hAnsi="Times New Roman"/>
                <w:sz w:val="20"/>
              </w:rPr>
              <w:t>0.859</w:t>
            </w:r>
          </w:p>
        </w:tc>
      </w:tr>
      <w:tr>
        <w:tc>
          <w:tcPr>
            <w:tcW w:type="dxa" w:w="1234"/>
          </w:tcPr>
          <w:p>
            <w:r>
              <w:rPr>
                <w:rFonts w:ascii="Times New Roman" w:hAnsi="Times New Roman"/>
                <w:sz w:val="20"/>
              </w:rPr>
              <w:t>**AFP-OD P3c（LW + 双视图并集，α=0.10）**</w:t>
            </w:r>
          </w:p>
        </w:tc>
        <w:tc>
          <w:tcPr>
            <w:tcW w:type="dxa" w:w="1234"/>
          </w:tcPr>
          <w:p>
            <w:r>
              <w:rPr>
                <w:rFonts w:ascii="Times New Roman" w:hAnsi="Times New Roman"/>
                <w:sz w:val="20"/>
              </w:rPr>
              <w:t>**0.863**</w:t>
            </w:r>
          </w:p>
        </w:tc>
        <w:tc>
          <w:tcPr>
            <w:tcW w:type="dxa" w:w="1234"/>
          </w:tcPr>
          <w:p>
            <w:r>
              <w:rPr>
                <w:rFonts w:ascii="Times New Roman" w:hAnsi="Times New Roman"/>
                <w:sz w:val="20"/>
              </w:rPr>
              <w:t>**0.756**</w:t>
            </w:r>
          </w:p>
        </w:tc>
        <w:tc>
          <w:tcPr>
            <w:tcW w:type="dxa" w:w="1234"/>
          </w:tcPr>
          <w:p>
            <w:r>
              <w:rPr>
                <w:rFonts w:ascii="Times New Roman" w:hAnsi="Times New Roman"/>
                <w:sz w:val="20"/>
              </w:rPr>
              <w:t>**0.502**</w:t>
            </w:r>
          </w:p>
        </w:tc>
        <w:tc>
          <w:tcPr>
            <w:tcW w:type="dxa" w:w="1234"/>
          </w:tcPr>
          <w:p>
            <w:r>
              <w:rPr>
                <w:rFonts w:ascii="Times New Roman" w:hAnsi="Times New Roman"/>
                <w:sz w:val="20"/>
              </w:rPr>
              <w:t>**0.734**</w:t>
            </w:r>
          </w:p>
        </w:tc>
        <w:tc>
          <w:tcPr>
            <w:tcW w:type="dxa" w:w="1234"/>
          </w:tcPr>
          <w:p>
            <w:r>
              <w:rPr>
                <w:rFonts w:ascii="Times New Roman" w:hAnsi="Times New Roman"/>
                <w:sz w:val="20"/>
              </w:rPr>
              <w:t>0.931</w:t>
            </w:r>
          </w:p>
        </w:tc>
        <w:tc>
          <w:tcPr>
            <w:tcW w:type="dxa" w:w="1234"/>
          </w:tcPr>
          <w:p>
            <w:r>
              <w:rPr>
                <w:rFonts w:ascii="Times New Roman" w:hAnsi="Times New Roman"/>
                <w:sz w:val="20"/>
              </w:rPr>
              <w:t>**0.859**</w:t>
            </w:r>
          </w:p>
        </w:tc>
      </w:tr>
      <w:tr>
        <w:tc>
          <w:tcPr>
            <w:tcW w:type="dxa" w:w="1234"/>
          </w:tcPr>
          <w:p>
            <w:r>
              <w:rPr>
                <w:rFonts w:ascii="Times New Roman" w:hAnsi="Times New Roman"/>
                <w:sz w:val="20"/>
              </w:rPr>
              <w:t>相比 MB-kNN 提升</w:t>
            </w:r>
          </w:p>
        </w:tc>
        <w:tc>
          <w:tcPr>
            <w:tcW w:type="dxa" w:w="1234"/>
          </w:tcPr>
          <w:p>
            <w:r>
              <w:rPr>
                <w:rFonts w:ascii="Times New Roman" w:hAnsi="Times New Roman"/>
                <w:sz w:val="20"/>
              </w:rPr>
              <w:t>+1.5%</w:t>
            </w:r>
          </w:p>
        </w:tc>
        <w:tc>
          <w:tcPr>
            <w:tcW w:type="dxa" w:w="1234"/>
          </w:tcPr>
          <w:p>
            <w:r>
              <w:rPr>
                <w:rFonts w:ascii="Times New Roman" w:hAnsi="Times New Roman"/>
                <w:sz w:val="20"/>
              </w:rPr>
              <w:t>**+3.1%**</w:t>
            </w:r>
          </w:p>
        </w:tc>
        <w:tc>
          <w:tcPr>
            <w:tcW w:type="dxa" w:w="1234"/>
          </w:tcPr>
          <w:p>
            <w:r>
              <w:rPr>
                <w:rFonts w:ascii="Times New Roman" w:hAnsi="Times New Roman"/>
                <w:sz w:val="20"/>
              </w:rPr>
              <w:t>**+5.5%**</w:t>
            </w:r>
          </w:p>
        </w:tc>
        <w:tc>
          <w:tcPr>
            <w:tcW w:type="dxa" w:w="1234"/>
          </w:tcPr>
          <w:p>
            <w:r>
              <w:rPr>
                <w:rFonts w:ascii="Times New Roman" w:hAnsi="Times New Roman"/>
                <w:sz w:val="20"/>
              </w:rPr>
              <w:t>+5.6%</w:t>
            </w:r>
          </w:p>
        </w:tc>
        <w:tc>
          <w:tcPr>
            <w:tcW w:type="dxa" w:w="1234"/>
          </w:tcPr>
          <w:p>
            <w:r>
              <w:rPr>
                <w:rFonts w:ascii="Times New Roman" w:hAnsi="Times New Roman"/>
                <w:sz w:val="20"/>
              </w:rPr>
              <w:t>+0.1%</w:t>
            </w:r>
          </w:p>
        </w:tc>
        <w:tc>
          <w:tcPr>
            <w:tcW w:type="dxa" w:w="1234"/>
          </w:tcPr>
          <w:p>
            <w:r>
              <w:rPr>
                <w:rFonts w:ascii="Times New Roman" w:hAnsi="Times New Roman"/>
                <w:sz w:val="20"/>
              </w:rPr>
              <w:t>+1.4%</w:t>
            </w:r>
          </w:p>
        </w:tc>
      </w:tr>
    </w:tbl>
    <w:p>
      <w:pPr>
        <w:jc w:val="both"/>
      </w:pPr>
      <w:r>
        <w:rPr>
          <w:rFonts w:eastAsia="宋体"/>
          <w:rFonts w:ascii="Times New Roman" w:hAnsi="Times New Roman"/>
          <w:b w:val="0"/>
          <w:sz w:val="24"/>
        </w:rPr>
        <w:t>*25 次评估的均值；标准差见补充表 S1。*</w:t>
      </w:r>
    </w:p>
    <w:p>
      <w:pPr>
        <w:jc w:val="both"/>
      </w:pPr>
      <w:r>
        <w:rPr>
          <w:rFonts w:eastAsia="宋体"/>
          <w:rFonts w:ascii="Times New Roman" w:hAnsi="Times New Roman"/>
          <w:b w:val="0"/>
          <w:sz w:val="24"/>
        </w:rPr>
      </w:r>
      <w:r>
        <w:rPr>
          <w:rFonts w:eastAsia="宋体"/>
          <w:rFonts w:ascii="Times New Roman" w:hAnsi="Times New Roman"/>
          <w:b/>
          <w:sz w:val="24"/>
        </w:rPr>
        <w:t>核心观察</w:t>
      </w:r>
      <w:r>
        <w:rPr>
          <w:rFonts w:eastAsia="宋体"/>
          <w:rFonts w:ascii="Times New Roman" w:hAnsi="Times New Roman"/>
          <w:b w:val="0"/>
          <w:sz w:val="24"/>
        </w:rPr>
        <w:t>：</w:t>
      </w:r>
    </w:p>
    <w:p>
      <w:pPr>
        <w:pStyle w:val="ListBullet"/>
      </w:pPr>
      <w:r>
        <w:rPr>
          <w:rFonts w:eastAsia="宋体"/>
          <w:rFonts w:ascii="Times New Roman" w:hAnsi="Times New Roman"/>
          <w:b w:val="0"/>
          <w:sz w:val="24"/>
        </w:rPr>
        <w:t>AFP-OD 各变体均稳定优于 MB-kNN 基线</w:t>
      </w:r>
    </w:p>
    <w:p>
      <w:pPr>
        <w:pStyle w:val="ListBullet"/>
      </w:pPr>
      <w:r>
        <w:rPr>
          <w:rFonts w:eastAsia="宋体"/>
          <w:rFonts w:ascii="Times New Roman" w:hAnsi="Times New Roman"/>
          <w:b w:val="0"/>
          <w:sz w:val="24"/>
        </w:rPr>
        <w:t>最大增益出现在嗜酸性粒细胞（+5.5% F1）和中性粒细胞（+5.6%），这两类与巨噬细胞/淋巴细胞最易混淆</w:t>
      </w:r>
    </w:p>
    <w:p>
      <w:pPr>
        <w:pStyle w:val="ListBullet"/>
      </w:pPr>
      <w:r>
        <w:rPr>
          <w:rFonts w:eastAsia="宋体"/>
          <w:rFonts w:ascii="Times New Roman" w:hAnsi="Times New Roman"/>
          <w:b w:val="0"/>
          <w:sz w:val="24"/>
        </w:rPr>
        <w:t>淋巴细胞 F1 保持稳定（已达 0.931），证明 AFP-OD 不损害已可分类的类别</w:t>
      </w:r>
    </w:p>
    <w:p>
      <w:pPr>
        <w:pStyle w:val="ListBullet"/>
      </w:pPr>
      <w:r>
        <w:rPr>
          <w:rFonts w:eastAsia="宋体"/>
          <w:rFonts w:ascii="Times New Roman" w:hAnsi="Times New Roman"/>
          <w:b w:val="0"/>
          <w:sz w:val="24"/>
        </w:rPr>
        <w:t>双视图并集检测（P3c）优于交集（P3b）和仅特征视图（P1/P2），验证了形态学混淆检测的价值</w:t>
      </w:r>
    </w:p>
    <w:p>
      <w:pPr>
        <w:pStyle w:val="Heading3"/>
        <w:jc w:val="left"/>
      </w:pPr>
      <w:r>
        <w:rPr>
          <w:rFonts w:eastAsia="黑体"/>
          <w:rFonts w:ascii="Times New Roman" w:hAnsi="Times New Roman"/>
          <w:sz w:val="26"/>
        </w:rPr>
        <w:t>5.4 消融实验</w:t>
      </w:r>
    </w:p>
    <w:p>
      <w:pPr>
        <w:jc w:val="both"/>
      </w:pPr>
      <w:r>
        <w:rPr>
          <w:rFonts w:eastAsia="宋体"/>
          <w:rFonts w:ascii="Times New Roman" w:hAnsi="Times New Roman"/>
          <w:b w:val="0"/>
          <w:sz w:val="24"/>
        </w:rPr>
        <w:t>表 2 展示了 AFP-OD 各组件的消融结果。</w:t>
      </w:r>
    </w:p>
    <w:p>
      <w:pPr>
        <w:jc w:val="both"/>
      </w:pPr>
      <w:r>
        <w:rPr>
          <w:rFonts w:eastAsia="宋体"/>
          <w:rFonts w:ascii="Times New Roman" w:hAnsi="Times New Roman"/>
          <w:b w:val="0"/>
          <w:sz w:val="24"/>
        </w:rPr>
      </w:r>
      <w:r>
        <w:rPr>
          <w:rFonts w:eastAsia="宋体"/>
          <w:rFonts w:ascii="Times New Roman" w:hAnsi="Times New Roman"/>
          <w:b/>
          <w:sz w:val="24"/>
        </w:rPr>
        <w:t>表 2：消融实验 — data2_organized，10-shot，嵌套 5 折 CV × 5 种子</w:t>
      </w:r>
      <w:r>
        <w:rPr>
          <w:rFonts w:eastAsia="宋体"/>
          <w:rFonts w:ascii="Times New Roman" w:hAnsi="Times New Roman"/>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配置</w:t>
            </w:r>
          </w:p>
        </w:tc>
        <w:tc>
          <w:tcPr>
            <w:tcW w:type="dxa" w:w="2160"/>
          </w:tcPr>
          <w:p>
            <w:r>
              <w:rPr>
                <w:rFonts w:ascii="Times New Roman" w:hAnsi="Times New Roman"/>
                <w:b/>
                <w:sz w:val="20"/>
              </w:rPr>
              <w:t>mF1</w:t>
            </w:r>
          </w:p>
        </w:tc>
        <w:tc>
          <w:tcPr>
            <w:tcW w:type="dxa" w:w="2160"/>
          </w:tcPr>
          <w:p>
            <w:r>
              <w:rPr>
                <w:rFonts w:ascii="Times New Roman" w:hAnsi="Times New Roman"/>
                <w:b/>
                <w:sz w:val="20"/>
              </w:rPr>
              <w:t>Eos F1</w:t>
            </w:r>
          </w:p>
        </w:tc>
        <w:tc>
          <w:tcPr>
            <w:tcW w:type="dxa" w:w="2160"/>
          </w:tcPr>
          <w:p>
            <w:r>
              <w:rPr>
                <w:rFonts w:ascii="Times New Roman" w:hAnsi="Times New Roman"/>
                <w:b/>
                <w:sz w:val="20"/>
              </w:rPr>
              <w:t>ΔmF1</w:t>
            </w:r>
          </w:p>
        </w:tc>
      </w:tr>
      <w:tr>
        <w:tc>
          <w:tcPr>
            <w:tcW w:type="dxa" w:w="2160"/>
          </w:tcPr>
          <w:p>
            <w:r>
              <w:rPr>
                <w:rFonts w:ascii="Times New Roman" w:hAnsi="Times New Roman"/>
                <w:sz w:val="20"/>
              </w:rPr>
              <w:t>MB-kNN（基线）</w:t>
            </w:r>
          </w:p>
        </w:tc>
        <w:tc>
          <w:tcPr>
            <w:tcW w:type="dxa" w:w="2160"/>
          </w:tcPr>
          <w:p>
            <w:r>
              <w:rPr>
                <w:rFonts w:ascii="Times New Roman" w:hAnsi="Times New Roman"/>
                <w:sz w:val="20"/>
              </w:rPr>
              <w:t>0.7252</w:t>
            </w:r>
          </w:p>
        </w:tc>
        <w:tc>
          <w:tcPr>
            <w:tcW w:type="dxa" w:w="2160"/>
          </w:tcPr>
          <w:p>
            <w:r>
              <w:rPr>
                <w:rFonts w:ascii="Times New Roman" w:hAnsi="Times New Roman"/>
                <w:sz w:val="20"/>
              </w:rPr>
              <w:t>0.4465</w:t>
            </w:r>
          </w:p>
        </w:tc>
        <w:tc>
          <w:tcPr>
            <w:tcW w:type="dxa" w:w="2160"/>
          </w:tcPr>
          <w:p>
            <w:r>
              <w:rPr>
                <w:rFonts w:ascii="Times New Roman" w:hAnsi="Times New Roman"/>
                <w:sz w:val="20"/>
              </w:rPr>
              <w:t>—</w:t>
            </w:r>
          </w:p>
        </w:tc>
      </w:tr>
      <w:tr>
        <w:tc>
          <w:tcPr>
            <w:tcW w:type="dxa" w:w="2160"/>
          </w:tcPr>
          <w:p>
            <w:r>
              <w:rPr>
                <w:rFonts w:ascii="Times New Roman" w:hAnsi="Times New Roman"/>
                <w:sz w:val="20"/>
              </w:rPr>
              <w:t>+ Fisher 分离（trace 收缩 λ=0.3，α=0.10）</w:t>
            </w:r>
          </w:p>
        </w:tc>
        <w:tc>
          <w:tcPr>
            <w:tcW w:type="dxa" w:w="2160"/>
          </w:tcPr>
          <w:p>
            <w:r>
              <w:rPr>
                <w:rFonts w:ascii="Times New Roman" w:hAnsi="Times New Roman"/>
                <w:sz w:val="20"/>
              </w:rPr>
              <w:t>0.7477</w:t>
            </w:r>
          </w:p>
        </w:tc>
        <w:tc>
          <w:tcPr>
            <w:tcW w:type="dxa" w:w="2160"/>
          </w:tcPr>
          <w:p>
            <w:r>
              <w:rPr>
                <w:rFonts w:ascii="Times New Roman" w:hAnsi="Times New Roman"/>
                <w:sz w:val="20"/>
              </w:rPr>
              <w:t>0.4920</w:t>
            </w:r>
          </w:p>
        </w:tc>
        <w:tc>
          <w:tcPr>
            <w:tcW w:type="dxa" w:w="2160"/>
          </w:tcPr>
          <w:p>
            <w:r>
              <w:rPr>
                <w:rFonts w:ascii="Times New Roman" w:hAnsi="Times New Roman"/>
                <w:sz w:val="20"/>
              </w:rPr>
              <w:t>+2.25%</w:t>
            </w:r>
          </w:p>
        </w:tc>
      </w:tr>
      <w:tr>
        <w:tc>
          <w:tcPr>
            <w:tcW w:type="dxa" w:w="2160"/>
          </w:tcPr>
          <w:p>
            <w:r>
              <w:rPr>
                <w:rFonts w:ascii="Times New Roman" w:hAnsi="Times New Roman"/>
                <w:sz w:val="20"/>
              </w:rPr>
              <w:t>+ Ledoit-Wolf 收缩（替换 trace）</w:t>
            </w:r>
          </w:p>
        </w:tc>
        <w:tc>
          <w:tcPr>
            <w:tcW w:type="dxa" w:w="2160"/>
          </w:tcPr>
          <w:p>
            <w:r>
              <w:rPr>
                <w:rFonts w:ascii="Times New Roman" w:hAnsi="Times New Roman"/>
                <w:sz w:val="20"/>
              </w:rPr>
              <w:t>0.7485</w:t>
            </w:r>
          </w:p>
        </w:tc>
        <w:tc>
          <w:tcPr>
            <w:tcW w:type="dxa" w:w="2160"/>
          </w:tcPr>
          <w:p>
            <w:r>
              <w:rPr>
                <w:rFonts w:ascii="Times New Roman" w:hAnsi="Times New Roman"/>
                <w:sz w:val="20"/>
              </w:rPr>
              <w:t>0.4933</w:t>
            </w:r>
          </w:p>
        </w:tc>
        <w:tc>
          <w:tcPr>
            <w:tcW w:type="dxa" w:w="2160"/>
          </w:tcPr>
          <w:p>
            <w:r>
              <w:rPr>
                <w:rFonts w:ascii="Times New Roman" w:hAnsi="Times New Roman"/>
                <w:sz w:val="20"/>
              </w:rPr>
              <w:t>+2.34%</w:t>
            </w:r>
          </w:p>
        </w:tc>
      </w:tr>
      <w:tr>
        <w:tc>
          <w:tcPr>
            <w:tcW w:type="dxa" w:w="2160"/>
          </w:tcPr>
          <w:p>
            <w:r>
              <w:rPr>
                <w:rFonts w:ascii="Times New Roman" w:hAnsi="Times New Roman"/>
                <w:sz w:val="20"/>
              </w:rPr>
              <w:t>+ 形态学锚定 PLS 方向（blend=0.3，**负面结果**）</w:t>
            </w:r>
          </w:p>
        </w:tc>
        <w:tc>
          <w:tcPr>
            <w:tcW w:type="dxa" w:w="2160"/>
          </w:tcPr>
          <w:p>
            <w:r>
              <w:rPr>
                <w:rFonts w:ascii="Times New Roman" w:hAnsi="Times New Roman"/>
                <w:sz w:val="20"/>
              </w:rPr>
              <w:t>0.7425</w:t>
            </w:r>
          </w:p>
        </w:tc>
        <w:tc>
          <w:tcPr>
            <w:tcW w:type="dxa" w:w="2160"/>
          </w:tcPr>
          <w:p>
            <w:r>
              <w:rPr>
                <w:rFonts w:ascii="Times New Roman" w:hAnsi="Times New Roman"/>
                <w:sz w:val="20"/>
              </w:rPr>
              <w:t>0.4789</w:t>
            </w:r>
          </w:p>
        </w:tc>
        <w:tc>
          <w:tcPr>
            <w:tcW w:type="dxa" w:w="2160"/>
          </w:tcPr>
          <w:p>
            <w:r>
              <w:rPr>
                <w:rFonts w:ascii="Times New Roman" w:hAnsi="Times New Roman"/>
                <w:sz w:val="20"/>
              </w:rPr>
              <w:t>+1.74%</w:t>
            </w:r>
          </w:p>
        </w:tc>
      </w:tr>
      <w:tr>
        <w:tc>
          <w:tcPr>
            <w:tcW w:type="dxa" w:w="2160"/>
          </w:tcPr>
          <w:p>
            <w:r>
              <w:rPr>
                <w:rFonts w:ascii="Times New Roman" w:hAnsi="Times New Roman"/>
                <w:sz w:val="20"/>
              </w:rPr>
              <w:t>+ 双视图交集检测</w:t>
            </w:r>
          </w:p>
        </w:tc>
        <w:tc>
          <w:tcPr>
            <w:tcW w:type="dxa" w:w="2160"/>
          </w:tcPr>
          <w:p>
            <w:r>
              <w:rPr>
                <w:rFonts w:ascii="Times New Roman" w:hAnsi="Times New Roman"/>
                <w:sz w:val="20"/>
              </w:rPr>
              <w:t>0.7491</w:t>
            </w:r>
          </w:p>
        </w:tc>
        <w:tc>
          <w:tcPr>
            <w:tcW w:type="dxa" w:w="2160"/>
          </w:tcPr>
          <w:p>
            <w:r>
              <w:rPr>
                <w:rFonts w:ascii="Times New Roman" w:hAnsi="Times New Roman"/>
                <w:sz w:val="20"/>
              </w:rPr>
              <w:t>0.4903</w:t>
            </w:r>
          </w:p>
        </w:tc>
        <w:tc>
          <w:tcPr>
            <w:tcW w:type="dxa" w:w="2160"/>
          </w:tcPr>
          <w:p>
            <w:r>
              <w:rPr>
                <w:rFonts w:ascii="Times New Roman" w:hAnsi="Times New Roman"/>
                <w:sz w:val="20"/>
              </w:rPr>
              <w:t>+2.39%</w:t>
            </w:r>
          </w:p>
        </w:tc>
      </w:tr>
      <w:tr>
        <w:tc>
          <w:tcPr>
            <w:tcW w:type="dxa" w:w="2160"/>
          </w:tcPr>
          <w:p>
            <w:r>
              <w:rPr>
                <w:rFonts w:ascii="Times New Roman" w:hAnsi="Times New Roman"/>
                <w:sz w:val="20"/>
              </w:rPr>
              <w:t>**+ 双视图并集检测（AFP-OD P3c，最终方法）**</w:t>
            </w:r>
          </w:p>
        </w:tc>
        <w:tc>
          <w:tcPr>
            <w:tcW w:type="dxa" w:w="2160"/>
          </w:tcPr>
          <w:p>
            <w:r>
              <w:rPr>
                <w:rFonts w:ascii="Times New Roman" w:hAnsi="Times New Roman"/>
                <w:sz w:val="20"/>
              </w:rPr>
              <w:t>**0.7563**</w:t>
            </w:r>
          </w:p>
        </w:tc>
        <w:tc>
          <w:tcPr>
            <w:tcW w:type="dxa" w:w="2160"/>
          </w:tcPr>
          <w:p>
            <w:r>
              <w:rPr>
                <w:rFonts w:ascii="Times New Roman" w:hAnsi="Times New Roman"/>
                <w:sz w:val="20"/>
              </w:rPr>
              <w:t>**0.5018**</w:t>
            </w:r>
          </w:p>
        </w:tc>
        <w:tc>
          <w:tcPr>
            <w:tcW w:type="dxa" w:w="2160"/>
          </w:tcPr>
          <w:p>
            <w:r>
              <w:rPr>
                <w:rFonts w:ascii="Times New Roman" w:hAnsi="Times New Roman"/>
                <w:sz w:val="20"/>
              </w:rPr>
              <w:t>**+3.12%**</w:t>
            </w:r>
          </w:p>
        </w:tc>
      </w:tr>
    </w:tbl>
    <w:p>
      <w:pPr>
        <w:jc w:val="both"/>
      </w:pPr>
      <w:r>
        <w:rPr>
          <w:rFonts w:eastAsia="宋体"/>
          <w:rFonts w:ascii="Times New Roman" w:hAnsi="Times New Roman"/>
          <w:b w:val="0"/>
          <w:sz w:val="24"/>
        </w:rPr>
        <w:t>*形态学锚定 PLS 方向（第 4 行）降低了性能，说明在高维特征空间中直接使用形态学 PLS 方向会引入噪声；AFP-OD 仅将形态学用于混淆检测（§4.2），而非方向计算。*</w:t>
      </w:r>
    </w:p>
    <w:p>
      <w:pPr>
        <w:jc w:val="both"/>
      </w:pPr>
      <w:r>
        <w:rPr>
          <w:rFonts w:eastAsia="宋体"/>
          <w:rFonts w:ascii="Times New Roman" w:hAnsi="Times New Roman"/>
          <w:b w:val="0"/>
          <w:sz w:val="24"/>
        </w:rPr>
      </w:r>
      <w:r>
        <w:rPr>
          <w:rFonts w:eastAsia="宋体"/>
          <w:rFonts w:ascii="Times New Roman" w:hAnsi="Times New Roman"/>
          <w:b/>
          <w:sz w:val="24"/>
        </w:rPr>
        <w:t>分离强度 α 的影响</w:t>
      </w:r>
      <w:r>
        <w:rPr>
          <w:rFonts w:eastAsia="宋体"/>
          <w:rFonts w:ascii="Times New Roman" w:hAnsi="Times New Roman"/>
          <w:b w:val="0"/>
          <w:sz w:val="24"/>
        </w:rPr>
        <w:t>（表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α</w:t>
            </w:r>
          </w:p>
        </w:tc>
        <w:tc>
          <w:tcPr>
            <w:tcW w:type="dxa" w:w="2160"/>
          </w:tcPr>
          <w:p>
            <w:r>
              <w:rPr>
                <w:rFonts w:ascii="Times New Roman" w:hAnsi="Times New Roman"/>
                <w:b/>
                <w:sz w:val="20"/>
              </w:rPr>
              <w:t>0.05</w:t>
            </w:r>
          </w:p>
        </w:tc>
        <w:tc>
          <w:tcPr>
            <w:tcW w:type="dxa" w:w="2160"/>
          </w:tcPr>
          <w:p>
            <w:r>
              <w:rPr>
                <w:rFonts w:ascii="Times New Roman" w:hAnsi="Times New Roman"/>
                <w:b/>
                <w:sz w:val="20"/>
              </w:rPr>
              <w:t>**0.10**</w:t>
            </w:r>
          </w:p>
        </w:tc>
        <w:tc>
          <w:tcPr>
            <w:tcW w:type="dxa" w:w="2160"/>
          </w:tcPr>
          <w:p>
            <w:r>
              <w:rPr>
                <w:rFonts w:ascii="Times New Roman" w:hAnsi="Times New Roman"/>
                <w:b/>
                <w:sz w:val="20"/>
              </w:rPr>
              <w:t>0.20</w:t>
            </w:r>
          </w:p>
        </w:tc>
      </w:tr>
      <w:tr>
        <w:tc>
          <w:tcPr>
            <w:tcW w:type="dxa" w:w="2160"/>
          </w:tcPr>
          <w:p>
            <w:r>
              <w:rPr>
                <w:rFonts w:ascii="Times New Roman" w:hAnsi="Times New Roman"/>
                <w:sz w:val="20"/>
              </w:rPr>
              <w:t>mF1</w:t>
            </w:r>
          </w:p>
        </w:tc>
        <w:tc>
          <w:tcPr>
            <w:tcW w:type="dxa" w:w="2160"/>
          </w:tcPr>
          <w:p>
            <w:r>
              <w:rPr>
                <w:rFonts w:ascii="Times New Roman" w:hAnsi="Times New Roman"/>
                <w:sz w:val="20"/>
              </w:rPr>
              <w:t>0.745</w:t>
            </w:r>
          </w:p>
        </w:tc>
        <w:tc>
          <w:tcPr>
            <w:tcW w:type="dxa" w:w="2160"/>
          </w:tcPr>
          <w:p>
            <w:r>
              <w:rPr>
                <w:rFonts w:ascii="Times New Roman" w:hAnsi="Times New Roman"/>
                <w:sz w:val="20"/>
              </w:rPr>
              <w:t>**0.756**</w:t>
            </w:r>
          </w:p>
        </w:tc>
        <w:tc>
          <w:tcPr>
            <w:tcW w:type="dxa" w:w="2160"/>
          </w:tcPr>
          <w:p>
            <w:r>
              <w:rPr>
                <w:rFonts w:ascii="Times New Roman" w:hAnsi="Times New Roman"/>
                <w:sz w:val="20"/>
              </w:rPr>
              <w:t>0.748</w:t>
            </w:r>
          </w:p>
        </w:tc>
      </w:tr>
      <w:tr>
        <w:tc>
          <w:tcPr>
            <w:tcW w:type="dxa" w:w="2160"/>
          </w:tcPr>
          <w:p>
            <w:r>
              <w:rPr>
                <w:rFonts w:ascii="Times New Roman" w:hAnsi="Times New Roman"/>
                <w:sz w:val="20"/>
              </w:rPr>
              <w:t>Eos F1</w:t>
            </w:r>
          </w:p>
        </w:tc>
        <w:tc>
          <w:tcPr>
            <w:tcW w:type="dxa" w:w="2160"/>
          </w:tcPr>
          <w:p>
            <w:r>
              <w:rPr>
                <w:rFonts w:ascii="Times New Roman" w:hAnsi="Times New Roman"/>
                <w:sz w:val="20"/>
              </w:rPr>
              <w:t>0.484</w:t>
            </w:r>
          </w:p>
        </w:tc>
        <w:tc>
          <w:tcPr>
            <w:tcW w:type="dxa" w:w="2160"/>
          </w:tcPr>
          <w:p>
            <w:r>
              <w:rPr>
                <w:rFonts w:ascii="Times New Roman" w:hAnsi="Times New Roman"/>
                <w:sz w:val="20"/>
              </w:rPr>
              <w:t>**0.502**</w:t>
            </w:r>
          </w:p>
        </w:tc>
        <w:tc>
          <w:tcPr>
            <w:tcW w:type="dxa" w:w="2160"/>
          </w:tcPr>
          <w:p>
            <w:r>
              <w:rPr>
                <w:rFonts w:ascii="Times New Roman" w:hAnsi="Times New Roman"/>
                <w:sz w:val="20"/>
              </w:rPr>
              <w:t>0.483</w:t>
            </w:r>
          </w:p>
        </w:tc>
      </w:tr>
    </w:tbl>
    <w:p>
      <w:pPr>
        <w:jc w:val="both"/>
      </w:pPr>
      <w:r>
        <w:rPr>
          <w:rFonts w:eastAsia="宋体"/>
          <w:rFonts w:ascii="Times New Roman" w:hAnsi="Times New Roman"/>
          <w:b w:val="0"/>
          <w:sz w:val="24"/>
        </w:rPr>
        <w:t>适中的 α=0.10 取得最佳平衡。较大的 α=0.20 对部分类对过度分离，略微降低巨噬细胞 F1。</w:t>
      </w:r>
    </w:p>
    <w:p>
      <w:pPr>
        <w:pStyle w:val="Heading3"/>
        <w:jc w:val="left"/>
      </w:pPr>
      <w:r>
        <w:rPr>
          <w:rFonts w:eastAsia="黑体"/>
          <w:rFonts w:ascii="Times New Roman" w:hAnsi="Times New Roman"/>
          <w:sz w:val="26"/>
        </w:rPr>
        <w:t>5.5 多骨干消融</w:t>
      </w:r>
    </w:p>
    <w:p>
      <w:pPr>
        <w:jc w:val="both"/>
      </w:pPr>
      <w:r>
        <w:rPr>
          <w:rFonts w:eastAsia="宋体"/>
          <w:rFonts w:ascii="Times New Roman" w:hAnsi="Times New Roman"/>
          <w:b w:val="0"/>
          <w:sz w:val="24"/>
        </w:rPr>
      </w:r>
      <w:r>
        <w:rPr>
          <w:rFonts w:eastAsia="宋体"/>
          <w:rFonts w:ascii="Times New Roman" w:hAnsi="Times New Roman"/>
          <w:b/>
          <w:sz w:val="24"/>
        </w:rPr>
        <w:t>表 4：骨干消融（AFP-OD P3c，10-shot）</w:t>
      </w:r>
      <w:r>
        <w:rPr>
          <w:rFonts w:eastAsia="宋体"/>
          <w:rFonts w:ascii="Times New Roman" w:hAnsi="Times New Roman"/>
          <w:b w:val="0"/>
          <w:sz w:val="24"/>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特征配置</w:t>
            </w:r>
          </w:p>
        </w:tc>
        <w:tc>
          <w:tcPr>
            <w:tcW w:type="dxa" w:w="2880"/>
          </w:tcPr>
          <w:p>
            <w:r>
              <w:rPr>
                <w:rFonts w:ascii="Times New Roman" w:hAnsi="Times New Roman"/>
                <w:b/>
                <w:sz w:val="20"/>
              </w:rPr>
              <w:t>mF1</w:t>
            </w:r>
          </w:p>
        </w:tc>
        <w:tc>
          <w:tcPr>
            <w:tcW w:type="dxa" w:w="2880"/>
          </w:tcPr>
          <w:p>
            <w:r>
              <w:rPr>
                <w:rFonts w:ascii="Times New Roman" w:hAnsi="Times New Roman"/>
                <w:b/>
                <w:sz w:val="20"/>
              </w:rPr>
              <w:t>Eos F1</w:t>
            </w:r>
          </w:p>
        </w:tc>
      </w:tr>
      <w:tr>
        <w:tc>
          <w:tcPr>
            <w:tcW w:type="dxa" w:w="2880"/>
          </w:tcPr>
          <w:p>
            <w:r>
              <w:rPr>
                <w:rFonts w:ascii="Times New Roman" w:hAnsi="Times New Roman"/>
                <w:sz w:val="20"/>
              </w:rPr>
              <w:t>仅 BiomedCLIP</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仅 Phikon-v2</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仅 DINOv2-S</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BC + PH</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BC + DN</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PH + DN</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**BC + PH + DN + 形态学（完整配置）**</w:t>
            </w:r>
          </w:p>
        </w:tc>
        <w:tc>
          <w:tcPr>
            <w:tcW w:type="dxa" w:w="2880"/>
          </w:tcPr>
          <w:p>
            <w:r>
              <w:rPr>
                <w:rFonts w:ascii="Times New Roman" w:hAnsi="Times New Roman"/>
                <w:sz w:val="20"/>
              </w:rPr>
              <w:t>**0.756**</w:t>
            </w:r>
          </w:p>
        </w:tc>
        <w:tc>
          <w:tcPr>
            <w:tcW w:type="dxa" w:w="2880"/>
          </w:tcPr>
          <w:p>
            <w:r>
              <w:rPr>
                <w:rFonts w:ascii="Times New Roman" w:hAnsi="Times New Roman"/>
                <w:sz w:val="20"/>
              </w:rPr>
              <w:t>**0.502**</w:t>
            </w:r>
          </w:p>
        </w:tc>
      </w:tr>
    </w:tbl>
    <w:p>
      <w:pPr>
        <w:pStyle w:val="Heading3"/>
        <w:jc w:val="left"/>
      </w:pPr>
      <w:r>
        <w:rPr>
          <w:rFonts w:eastAsia="黑体"/>
          <w:rFonts w:ascii="Times New Roman" w:hAnsi="Times New Roman"/>
          <w:sz w:val="26"/>
        </w:rPr>
        <w:t>5.6 分割流水线消融</w:t>
      </w:r>
    </w:p>
    <w:p>
      <w:pPr>
        <w:jc w:val="both"/>
      </w:pPr>
      <w:r>
        <w:rPr>
          <w:rFonts w:eastAsia="宋体"/>
          <w:rFonts w:ascii="Times New Roman" w:hAnsi="Times New Roman"/>
          <w:b w:val="0"/>
          <w:sz w:val="24"/>
        </w:rPr>
      </w:r>
      <w:r>
        <w:rPr>
          <w:rFonts w:eastAsia="宋体"/>
          <w:rFonts w:ascii="Times New Roman" w:hAnsi="Times New Roman"/>
          <w:b/>
          <w:sz w:val="24"/>
        </w:rPr>
        <w:t>表 5：分割流水线消融</w:t>
      </w:r>
      <w:r>
        <w:rPr>
          <w:rFonts w:eastAsia="宋体"/>
          <w:rFonts w:ascii="Times New Roman" w:hAnsi="Times New Roman"/>
          <w:b w:val="0"/>
          <w:sz w:val="24"/>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配置</w:t>
            </w:r>
          </w:p>
        </w:tc>
        <w:tc>
          <w:tcPr>
            <w:tcW w:type="dxa" w:w="2880"/>
          </w:tcPr>
          <w:p>
            <w:r>
              <w:rPr>
                <w:rFonts w:ascii="Times New Roman" w:hAnsi="Times New Roman"/>
                <w:b/>
                <w:sz w:val="20"/>
              </w:rPr>
              <w:t>平均 IoU</w:t>
            </w:r>
          </w:p>
        </w:tc>
        <w:tc>
          <w:tcPr>
            <w:tcW w:type="dxa" w:w="2880"/>
          </w:tcPr>
          <w:p>
            <w:r>
              <w:rPr>
                <w:rFonts w:ascii="Times New Roman" w:hAnsi="Times New Roman"/>
                <w:b/>
                <w:sz w:val="20"/>
              </w:rPr>
              <w:t>mAP@50</w:t>
            </w:r>
          </w:p>
        </w:tc>
      </w:tr>
      <w:tr>
        <w:tc>
          <w:tcPr>
            <w:tcW w:type="dxa" w:w="2880"/>
          </w:tcPr>
          <w:p>
            <w:r>
              <w:rPr>
                <w:rFonts w:ascii="Times New Roman" w:hAnsi="Times New Roman"/>
                <w:sz w:val="20"/>
              </w:rPr>
              <w:t>仅 Cellpose</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仅 SAM3（bbox 提示）</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r>
        <w:tc>
          <w:tcPr>
            <w:tcW w:type="dxa" w:w="2880"/>
          </w:tcPr>
          <w:p>
            <w:r>
              <w:rPr>
                <w:rFonts w:ascii="Times New Roman" w:hAnsi="Times New Roman"/>
                <w:sz w:val="20"/>
              </w:rPr>
              <w:t>**Cellpose + SAM3 级联（本文）**</w:t>
            </w:r>
          </w:p>
        </w:tc>
        <w:tc>
          <w:tcPr>
            <w:tcW w:type="dxa" w:w="2880"/>
          </w:tcPr>
          <w:p>
            <w:r>
              <w:rPr>
                <w:rFonts w:ascii="Times New Roman" w:hAnsi="Times New Roman"/>
                <w:sz w:val="20"/>
              </w:rPr>
              <w:t>[待补]</w:t>
            </w:r>
          </w:p>
        </w:tc>
        <w:tc>
          <w:tcPr>
            <w:tcW w:type="dxa" w:w="2880"/>
          </w:tcPr>
          <w:p>
            <w:r>
              <w:rPr>
                <w:rFonts w:ascii="Times New Roman" w:hAnsi="Times New Roman"/>
                <w:sz w:val="20"/>
              </w:rPr>
              <w:t>[待补]</w:t>
            </w:r>
          </w:p>
        </w:tc>
      </w:tr>
    </w:tbl>
    <w:p>
      <w:pPr>
        <w:pStyle w:val="Heading3"/>
        <w:jc w:val="left"/>
      </w:pPr>
      <w:r>
        <w:rPr>
          <w:rFonts w:eastAsia="黑体"/>
          <w:rFonts w:ascii="Times New Roman" w:hAnsi="Times New Roman"/>
          <w:sz w:val="26"/>
        </w:rPr>
        <w:t>5.7 标注效率分析</w:t>
      </w:r>
    </w:p>
    <w:p>
      <w:pPr>
        <w:jc w:val="both"/>
      </w:pPr>
      <w:r>
        <w:rPr>
          <w:rFonts w:eastAsia="宋体"/>
          <w:rFonts w:ascii="Times New Roman" w:hAnsi="Times New Roman"/>
          <w:b w:val="0"/>
          <w:sz w:val="24"/>
        </w:rPr>
        <w:t>图 [待补] 展示了 MB-kNN 和 AFP-OD P3c 在不同 shot 数（1/3/5/10/20/50-shot）下的 mF1 曲线。[待补：shot 扫描实验]</w:t>
      </w:r>
    </w:p>
    <w:p>
      <w:pPr>
        <w:jc w:val="both"/>
      </w:pPr>
      <w:r>
        <w:rPr>
          <w:rFonts w:eastAsia="宋体"/>
          <w:rFonts w:ascii="Times New Roman" w:hAnsi="Times New Roman"/>
          <w:b w:val="0"/>
          <w:sz w:val="24"/>
        </w:rPr>
      </w:r>
      <w:r>
        <w:rPr>
          <w:rFonts w:eastAsia="宋体"/>
          <w:rFonts w:ascii="Times New Roman" w:hAnsi="Times New Roman"/>
          <w:b/>
          <w:sz w:val="24"/>
        </w:rPr>
        <w:t>标注等效性</w:t>
      </w:r>
      <w:r>
        <w:rPr>
          <w:rFonts w:eastAsia="宋体"/>
          <w:rFonts w:ascii="Times New Roman" w:hAnsi="Times New Roman"/>
          <w:b w:val="0"/>
          <w:sz w:val="24"/>
        </w:rPr>
        <w:t>：标准 Logistic Regression 分类器（基于 BiomedCLIP 特征，全监督训练）需要约 [待补] 张标注样本才能达到 AFP-OD 10-shot 的性能，说明本方法将每数据集的标注工作量从约 [待补] 小时压缩至 5 分钟内的 support 选择。</w:t>
      </w:r>
    </w:p>
    <w:p/>
    <w:p>
      <w:pPr>
        <w:pStyle w:val="Heading2"/>
        <w:jc w:val="left"/>
      </w:pPr>
      <w:r>
        <w:rPr>
          <w:rFonts w:eastAsia="黑体"/>
          <w:rFonts w:ascii="Times New Roman" w:hAnsi="Times New Roman"/>
          <w:sz w:val="28"/>
        </w:rPr>
        <w:t>6. 讨论</w:t>
      </w:r>
    </w:p>
    <w:p>
      <w:pPr>
        <w:pStyle w:val="Heading3"/>
        <w:jc w:val="left"/>
      </w:pPr>
      <w:r>
        <w:rPr>
          <w:rFonts w:eastAsia="黑体"/>
          <w:rFonts w:ascii="Times New Roman" w:hAnsi="Times New Roman"/>
          <w:sz w:val="26"/>
        </w:rPr>
        <w:t>6.1 双视图并集优于交集的原因</w:t>
      </w:r>
    </w:p>
    <w:p>
      <w:pPr>
        <w:jc w:val="both"/>
      </w:pPr>
      <w:r>
        <w:rPr>
          <w:rFonts w:eastAsia="宋体"/>
          <w:rFonts w:ascii="Times New Roman" w:hAnsi="Times New Roman"/>
          <w:b w:val="0"/>
          <w:sz w:val="24"/>
        </w:rPr>
        <w:t>并集准则比交集检测更多的混淆类对，为 AFP-OD 提供更多解耦机会。关键在于，混淆检测的"假阳性"（将非混淆类对误标为混淆）代价极低：对真正可分的类对施加 Fisher 分离时，Fisher 方向幅度趋近于零（类均值已充分分离），扰动量可忽略不计。这种不对称性——真混淆类对高收益、非混淆类对近零代价——解释了并集准则的优势所在。</w:t>
      </w:r>
    </w:p>
    <w:p>
      <w:pPr>
        <w:pStyle w:val="Heading3"/>
        <w:jc w:val="left"/>
      </w:pPr>
      <w:r>
        <w:rPr>
          <w:rFonts w:eastAsia="黑体"/>
          <w:rFonts w:ascii="Times New Roman" w:hAnsi="Times New Roman"/>
          <w:sz w:val="26"/>
        </w:rPr>
        <w:t>6.2 形态学锚定 PLS 方向失效原因分析</w:t>
      </w:r>
    </w:p>
    <w:p>
      <w:pPr>
        <w:jc w:val="both"/>
      </w:pPr>
      <w:r>
        <w:rPr>
          <w:rFonts w:eastAsia="宋体"/>
          <w:rFonts w:ascii="Times New Roman" w:hAnsi="Times New Roman"/>
          <w:b w:val="0"/>
          <w:sz w:val="24"/>
        </w:rPr>
        <w:t>将形态学 PLS 方向融入 Fisher 方向（Phase 3a）反而降低性能，尽管直觉上形态学先验应有帮助。我们推断有两点原因：（1）40 维形态学空间维度过低，无法完整捕捉混淆类对的复杂可分结构，导致 PLS 方向成为噪声锚点；（2）在 10-shot 场景下，用 20 个样本在 40 维空间中估计 PLS 已存在过拟合。相反，仅将形态学用于混淆</w:t>
      </w:r>
      <w:r>
        <w:rPr>
          <w:rFonts w:eastAsia="宋体"/>
          <w:rFonts w:ascii="Times New Roman" w:hAnsi="Times New Roman"/>
          <w:b/>
          <w:sz w:val="24"/>
        </w:rPr>
        <w:t>检测</w:t>
      </w:r>
      <w:r>
        <w:rPr>
          <w:rFonts w:eastAsia="宋体"/>
          <w:rFonts w:ascii="Times New Roman" w:hAnsi="Times New Roman"/>
          <w:b w:val="0"/>
          <w:sz w:val="24"/>
        </w:rPr>
        <w:t>（标量置信度而非方向）是对低维形态学信号更鲁棒的利用方式。</w:t>
      </w:r>
    </w:p>
    <w:p>
      <w:pPr>
        <w:pStyle w:val="Heading3"/>
        <w:jc w:val="left"/>
      </w:pPr>
      <w:r>
        <w:rPr>
          <w:rFonts w:eastAsia="黑体"/>
          <w:rFonts w:ascii="Times New Roman" w:hAnsi="Times New Roman"/>
          <w:sz w:val="26"/>
        </w:rPr>
        <w:t>6.3 临床意义</w:t>
      </w:r>
    </w:p>
    <w:p>
      <w:pPr>
        <w:jc w:val="both"/>
      </w:pPr>
      <w:r>
        <w:rPr>
          <w:rFonts w:eastAsia="宋体"/>
          <w:rFonts w:ascii="Times New Roman" w:hAnsi="Times New Roman"/>
          <w:b w:val="0"/>
          <w:sz w:val="24"/>
        </w:rPr>
        <w:t>最具临床价值的结果是嗜酸性粒细胞 F1 提升（+5.53%）。BALF 嗜酸性粒细胞增多（&gt;25%）是嗜酸性粒细胞性肺炎的诊断依据，若漏诊将直接延误治疗。我们的方法在不增加任何额外标注负担的前提下提升了该关键诊断指标的识别率，具有直接的临床应用价值。</w:t>
      </w:r>
    </w:p>
    <w:p>
      <w:pPr>
        <w:pStyle w:val="Heading3"/>
        <w:jc w:val="left"/>
      </w:pPr>
      <w:r>
        <w:rPr>
          <w:rFonts w:eastAsia="黑体"/>
          <w:rFonts w:ascii="Times New Roman" w:hAnsi="Times New Roman"/>
          <w:sz w:val="26"/>
        </w:rPr>
        <w:t>6.4 局限性与未来工作</w:t>
      </w:r>
    </w:p>
    <w:p>
      <w:pPr>
        <w:jc w:val="both"/>
      </w:pPr>
      <w:r>
        <w:rPr>
          <w:rFonts w:eastAsia="宋体"/>
          <w:rFonts w:ascii="Times New Roman" w:hAnsi="Times New Roman"/>
          <w:b w:val="0"/>
          <w:sz w:val="24"/>
        </w:rPr>
      </w:r>
      <w:r>
        <w:rPr>
          <w:rFonts w:eastAsia="宋体"/>
          <w:rFonts w:ascii="Times New Roman" w:hAnsi="Times New Roman"/>
          <w:b/>
          <w:sz w:val="24"/>
        </w:rPr>
        <w:t>当前局限</w:t>
      </w:r>
      <w:r>
        <w:rPr>
          <w:rFonts w:eastAsia="宋体"/>
          <w:rFonts w:ascii="Times New Roman" w:hAnsi="Times New Roman"/>
          <w:b w:val="0"/>
          <w:sz w:val="24"/>
        </w:rPr>
        <w:t>：</w:t>
      </w:r>
    </w:p>
    <w:p>
      <w:pPr>
        <w:pStyle w:val="ListBullet"/>
      </w:pPr>
      <w:r>
        <w:rPr>
          <w:rFonts w:eastAsia="宋体"/>
          <w:rFonts w:ascii="Times New Roman" w:hAnsi="Times New Roman"/>
          <w:b w:val="0"/>
          <w:sz w:val="24"/>
        </w:rPr>
        <w:t>方法在 10-shot 下性能最优；极低 shot 数（1/3-shot）下的行为有待进一步验证（shot 扫描实验进行中）</w:t>
      </w:r>
    </w:p>
    <w:p>
      <w:pPr>
        <w:pStyle w:val="ListBullet"/>
      </w:pPr>
      <w:r>
        <w:rPr>
          <w:rFonts w:eastAsia="宋体"/>
          <w:rFonts w:ascii="Times New Roman" w:hAnsi="Times New Roman"/>
          <w:b w:val="0"/>
          <w:sz w:val="24"/>
        </w:rPr>
        <w:t>嗜酸性粒细胞 F1 绝对值（0.502）仍有提升空间，主要受限于 support 集的极少样本</w:t>
      </w:r>
    </w:p>
    <w:p>
      <w:pPr>
        <w:pStyle w:val="ListBullet"/>
      </w:pPr>
      <w:r>
        <w:rPr>
          <w:rFonts w:eastAsia="宋体"/>
          <w:rFonts w:ascii="Times New Roman" w:hAnsi="Times New Roman"/>
          <w:b w:val="0"/>
          <w:sz w:val="24"/>
        </w:rPr>
        <w:t>跨数据集泛化性（MultiCenter、data1）有待进一步确认</w:t>
      </w:r>
    </w:p>
    <w:p>
      <w:pPr>
        <w:pStyle w:val="ListBullet"/>
      </w:pPr>
      <w:r>
        <w:rPr>
          <w:rFonts w:eastAsia="宋体"/>
          <w:rFonts w:ascii="Times New Roman" w:hAnsi="Times New Roman"/>
          <w:b w:val="0"/>
          <w:sz w:val="24"/>
        </w:rPr>
        <w:t>尚未在非 BALF 细胞类型上验证方法的通用性</w:t>
      </w:r>
    </w:p>
    <w:p>
      <w:pPr>
        <w:jc w:val="both"/>
      </w:pPr>
      <w:r>
        <w:rPr>
          <w:rFonts w:eastAsia="宋体"/>
          <w:rFonts w:ascii="Times New Roman" w:hAnsi="Times New Roman"/>
          <w:b w:val="0"/>
          <w:sz w:val="24"/>
        </w:rPr>
      </w:r>
      <w:r>
        <w:rPr>
          <w:rFonts w:eastAsia="宋体"/>
          <w:rFonts w:ascii="Times New Roman" w:hAnsi="Times New Roman"/>
          <w:b/>
          <w:sz w:val="24"/>
        </w:rPr>
        <w:t>未来工作</w:t>
      </w:r>
      <w:r>
        <w:rPr>
          <w:rFonts w:eastAsia="宋体"/>
          <w:rFonts w:ascii="Times New Roman" w:hAnsi="Times New Roman"/>
          <w:b w:val="0"/>
          <w:sz w:val="24"/>
        </w:rPr>
        <w:t>：</w:t>
      </w:r>
    </w:p>
    <w:p>
      <w:pPr>
        <w:pStyle w:val="ListBullet"/>
      </w:pPr>
      <w:r>
        <w:rPr>
          <w:rFonts w:eastAsia="宋体"/>
          <w:rFonts w:ascii="Times New Roman" w:hAnsi="Times New Roman"/>
          <w:b w:val="0"/>
          <w:sz w:val="24"/>
        </w:rPr>
        <w:t>在 MultiCenter（6,591 张，多中心）和 data1（2,698 张）数据集上验证泛化性</w:t>
      </w:r>
    </w:p>
    <w:p>
      <w:pPr>
        <w:pStyle w:val="ListBullet"/>
      </w:pPr>
      <w:r>
        <w:rPr>
          <w:rFonts w:eastAsia="宋体"/>
          <w:rFonts w:ascii="Times New Roman" w:hAnsi="Times New Roman"/>
          <w:b w:val="0"/>
          <w:sz w:val="24"/>
        </w:rPr>
        <w:t>扩展至非 BALF 细胞分类场景（血液细胞、痰液细胞等）</w:t>
      </w:r>
    </w:p>
    <w:p>
      <w:pPr>
        <w:pStyle w:val="ListBullet"/>
      </w:pPr>
      <w:r>
        <w:rPr>
          <w:rFonts w:eastAsia="宋体"/>
          <w:rFonts w:ascii="Times New Roman" w:hAnsi="Times New Roman"/>
          <w:b w:val="0"/>
          <w:sz w:val="24"/>
        </w:rPr>
        <w:t>在实际临床工作流中开展用户研究，量化标注时间节省</w:t>
      </w:r>
    </w:p>
    <w:p>
      <w:pPr>
        <w:pStyle w:val="ListBullet"/>
      </w:pPr>
      <w:r>
        <w:rPr>
          <w:rFonts w:eastAsia="宋体"/>
          <w:rFonts w:ascii="Times New Roman" w:hAnsi="Times New Roman"/>
          <w:b w:val="0"/>
          <w:sz w:val="24"/>
        </w:rPr>
        <w:t>探索自适应 α（按类对可分性动态调整分离强度）</w:t>
      </w:r>
    </w:p>
    <w:p/>
    <w:p>
      <w:pPr>
        <w:pStyle w:val="Heading2"/>
        <w:jc w:val="left"/>
      </w:pPr>
      <w:r>
        <w:rPr>
          <w:rFonts w:eastAsia="黑体"/>
          <w:rFonts w:ascii="Times New Roman" w:hAnsi="Times New Roman"/>
          <w:sz w:val="28"/>
        </w:rPr>
        <w:t>7. 结论</w:t>
      </w:r>
    </w:p>
    <w:p>
      <w:pPr>
        <w:jc w:val="both"/>
      </w:pPr>
      <w:r>
        <w:rPr>
          <w:rFonts w:eastAsia="宋体"/>
          <w:rFonts w:ascii="Times New Roman" w:hAnsi="Times New Roman"/>
          <w:b w:val="0"/>
          <w:sz w:val="24"/>
        </w:rPr>
        <w:t>本文提出 BALF-Analyzer，一种训练自由的端到端 BALF 细胞少样本分类系统。通过将 Cellpose + SAM3 级联分割、多骨干 VFM 特征集成（BiomedCLIP + Phikon-v2 + DINOv2 + 40 维形态学）以及新型 AFP-OD 自适应 Fisher 原型解耦方法相结合，系统仅需 40 张标注细胞（每类 10 张）即可在 BALF data2 数据集上实现 mF1 0.756、嗜酸性粒细胞 F1 0.502，相比多骨干 kNN 基线分别提升 +3.12% 和 +5.53%。AFP-OD 的核心创新在于将形态学知识融入混淆对检测，并通过 Ledoit-Wolf 正则化的 Fisher 方向实现自适应原型分离——在不引入任何参数训练的前提下，针对性地解决 BALF 细胞学中最具挑战性的混淆问题。配套的 FastAPI 标注工具将上述方法集成于完整工作流，为细胞学实验室提供切实可用的标注效率提升方案。</w:t>
      </w:r>
    </w:p>
    <w:p/>
    <w:p>
      <w:pPr>
        <w:pStyle w:val="Heading2"/>
        <w:jc w:val="left"/>
      </w:pPr>
      <w:r>
        <w:rPr>
          <w:rFonts w:eastAsia="黑体"/>
          <w:rFonts w:ascii="Times New Roman" w:hAnsi="Times New Roman"/>
          <w:sz w:val="28"/>
        </w:rPr>
        <w:t>参考文献</w:t>
      </w:r>
    </w:p>
    <w:p>
      <w:pPr>
        <w:jc w:val="both"/>
      </w:pPr>
      <w:r>
        <w:rPr>
          <w:rFonts w:eastAsia="宋体"/>
          <w:rFonts w:ascii="Times New Roman" w:hAnsi="Times New Roman"/>
          <w:b w:val="0"/>
          <w:sz w:val="24"/>
        </w:rPr>
        <w:t>[CITE: 待整理，投稿前补齐以下文献]</w:t>
      </w:r>
    </w:p>
    <w:p>
      <w:pPr>
        <w:pStyle w:val="ListBullet"/>
      </w:pPr>
      <w:r>
        <w:rPr>
          <w:rFonts w:eastAsia="宋体"/>
          <w:rFonts w:ascii="Times New Roman" w:hAnsi="Times New Roman"/>
          <w:b w:val="0"/>
          <w:sz w:val="24"/>
        </w:rPr>
        <w:t>Stringer et al., Nat. Methods 2021 (Cellpose)</w:t>
      </w:r>
    </w:p>
    <w:p>
      <w:pPr>
        <w:pStyle w:val="ListBullet"/>
      </w:pPr>
      <w:r>
        <w:rPr>
          <w:rFonts w:eastAsia="宋体"/>
          <w:rFonts w:ascii="Times New Roman" w:hAnsi="Times New Roman"/>
          <w:b w:val="0"/>
          <w:sz w:val="24"/>
        </w:rPr>
        <w:t>Pachitariu &amp; Stringer, Nat. Methods 2022 (Cellpose 2)</w:t>
      </w:r>
    </w:p>
    <w:p>
      <w:pPr>
        <w:pStyle w:val="ListBullet"/>
      </w:pPr>
      <w:r>
        <w:rPr>
          <w:rFonts w:eastAsia="宋体"/>
          <w:rFonts w:ascii="Times New Roman" w:hAnsi="Times New Roman"/>
          <w:b w:val="0"/>
          <w:sz w:val="24"/>
        </w:rPr>
        <w:t>Kirillov et al., ICCV 2023 (SAM)</w:t>
      </w:r>
    </w:p>
    <w:p>
      <w:pPr>
        <w:pStyle w:val="ListBullet"/>
      </w:pPr>
      <w:r>
        <w:rPr>
          <w:rFonts w:eastAsia="宋体"/>
          <w:rFonts w:ascii="Times New Roman" w:hAnsi="Times New Roman"/>
          <w:b w:val="0"/>
          <w:sz w:val="24"/>
        </w:rPr>
        <w:t>Ravi et al., 2024 (SAM2)</w:t>
      </w:r>
    </w:p>
    <w:p>
      <w:pPr>
        <w:pStyle w:val="ListBullet"/>
      </w:pPr>
      <w:r>
        <w:rPr>
          <w:rFonts w:eastAsia="宋体"/>
          <w:rFonts w:ascii="Times New Roman" w:hAnsi="Times New Roman"/>
          <w:b w:val="0"/>
          <w:sz w:val="24"/>
        </w:rPr>
        <w:t>Zhang et al., 2023 (BiomedCLIP)</w:t>
      </w:r>
    </w:p>
    <w:p>
      <w:pPr>
        <w:pStyle w:val="ListBullet"/>
      </w:pPr>
      <w:r>
        <w:rPr>
          <w:rFonts w:eastAsia="宋体"/>
          <w:rFonts w:ascii="Times New Roman" w:hAnsi="Times New Roman"/>
          <w:b w:val="0"/>
          <w:sz w:val="24"/>
        </w:rPr>
        <w:t>Filiot et al., 2024 (Phikon-v2)</w:t>
      </w:r>
    </w:p>
    <w:p>
      <w:pPr>
        <w:pStyle w:val="ListBullet"/>
      </w:pPr>
      <w:r>
        <w:rPr>
          <w:rFonts w:eastAsia="宋体"/>
          <w:rFonts w:ascii="Times New Roman" w:hAnsi="Times New Roman"/>
          <w:b w:val="0"/>
          <w:sz w:val="24"/>
        </w:rPr>
        <w:t>Oquab et al., 2024 (DINOv2)</w:t>
      </w:r>
    </w:p>
    <w:p>
      <w:pPr>
        <w:pStyle w:val="ListBullet"/>
      </w:pPr>
      <w:r>
        <w:rPr>
          <w:rFonts w:eastAsia="宋体"/>
          <w:rFonts w:ascii="Times New Roman" w:hAnsi="Times New Roman"/>
          <w:b w:val="0"/>
          <w:sz w:val="24"/>
        </w:rPr>
        <w:t>Snell et al., NeurIPS 2017 (ProtoNet)</w:t>
      </w:r>
    </w:p>
    <w:p>
      <w:pPr>
        <w:pStyle w:val="ListBullet"/>
      </w:pPr>
      <w:r>
        <w:rPr>
          <w:rFonts w:eastAsia="宋体"/>
          <w:rFonts w:ascii="Times New Roman" w:hAnsi="Times New Roman"/>
          <w:b w:val="0"/>
          <w:sz w:val="24"/>
        </w:rPr>
        <w:t>Zhang et al., ECCV 2022 (Tip-Adapter)</w:t>
      </w:r>
    </w:p>
    <w:p>
      <w:pPr>
        <w:pStyle w:val="ListBullet"/>
      </w:pPr>
      <w:r>
        <w:rPr>
          <w:rFonts w:eastAsia="宋体"/>
          <w:rFonts w:ascii="Times New Roman" w:hAnsi="Times New Roman"/>
          <w:b w:val="0"/>
          <w:sz w:val="24"/>
        </w:rPr>
        <w:t>Ledoit &amp; Wolf, JMVA 2004</w:t>
      </w:r>
    </w:p>
    <w:p>
      <w:pPr>
        <w:pStyle w:val="ListBullet"/>
      </w:pPr>
      <w:r>
        <w:rPr>
          <w:rFonts w:eastAsia="宋体"/>
          <w:rFonts w:ascii="Times New Roman" w:hAnsi="Times New Roman"/>
          <w:b w:val="0"/>
          <w:sz w:val="24"/>
        </w:rPr>
        <w:t>Fisher, Ann. Eugenics 1936</w:t>
      </w:r>
    </w:p>
    <w:p/>
    <w:p>
      <w:pPr>
        <w:pStyle w:val="Heading2"/>
        <w:jc w:val="left"/>
      </w:pPr>
      <w:r>
        <w:rPr>
          <w:rFonts w:eastAsia="黑体"/>
          <w:rFonts w:ascii="Times New Roman" w:hAnsi="Times New Roman"/>
          <w:sz w:val="28"/>
        </w:rPr>
        <w:t>补充材料</w:t>
      </w:r>
    </w:p>
    <w:p>
      <w:pPr>
        <w:pStyle w:val="Heading3"/>
        <w:jc w:val="left"/>
      </w:pPr>
      <w:r>
        <w:rPr>
          <w:rFonts w:eastAsia="黑体"/>
          <w:rFonts w:ascii="Times New Roman" w:hAnsi="Times New Roman"/>
          <w:sz w:val="26"/>
        </w:rPr>
        <w:t>补充表 S1：25 次评估的均值 ± 标准差</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方法</w:t>
            </w:r>
          </w:p>
        </w:tc>
        <w:tc>
          <w:tcPr>
            <w:tcW w:type="dxa" w:w="2880"/>
          </w:tcPr>
          <w:p>
            <w:r>
              <w:rPr>
                <w:rFonts w:ascii="Times New Roman" w:hAnsi="Times New Roman"/>
                <w:b/>
                <w:sz w:val="20"/>
              </w:rPr>
              <w:t>mF1（均值±标准差）</w:t>
            </w:r>
          </w:p>
        </w:tc>
        <w:tc>
          <w:tcPr>
            <w:tcW w:type="dxa" w:w="2880"/>
          </w:tcPr>
          <w:p>
            <w:r>
              <w:rPr>
                <w:rFonts w:ascii="Times New Roman" w:hAnsi="Times New Roman"/>
                <w:b/>
                <w:sz w:val="20"/>
              </w:rPr>
              <w:t>Eos F1（均值±标准差）</w:t>
            </w:r>
          </w:p>
        </w:tc>
      </w:tr>
      <w:tr>
        <w:tc>
          <w:tcPr>
            <w:tcW w:type="dxa" w:w="2880"/>
          </w:tcPr>
          <w:p>
            <w:r>
              <w:rPr>
                <w:rFonts w:ascii="Times New Roman" w:hAnsi="Times New Roman"/>
                <w:sz w:val="20"/>
              </w:rPr>
              <w:t>MB-kNN</w:t>
            </w:r>
          </w:p>
        </w:tc>
        <w:tc>
          <w:tcPr>
            <w:tcW w:type="dxa" w:w="2880"/>
          </w:tcPr>
          <w:p>
            <w:r>
              <w:rPr>
                <w:rFonts w:ascii="Times New Roman" w:hAnsi="Times New Roman"/>
                <w:sz w:val="20"/>
              </w:rPr>
              <w:t>0.7252 ± 0.0068</w:t>
            </w:r>
          </w:p>
        </w:tc>
        <w:tc>
          <w:tcPr>
            <w:tcW w:type="dxa" w:w="2880"/>
          </w:tcPr>
          <w:p>
            <w:r>
              <w:rPr>
                <w:rFonts w:ascii="Times New Roman" w:hAnsi="Times New Roman"/>
                <w:sz w:val="20"/>
              </w:rPr>
              <w:t>0.4465 ± 0.0226</w:t>
            </w:r>
          </w:p>
        </w:tc>
      </w:tr>
      <w:tr>
        <w:tc>
          <w:tcPr>
            <w:tcW w:type="dxa" w:w="2880"/>
          </w:tcPr>
          <w:p>
            <w:r>
              <w:rPr>
                <w:rFonts w:ascii="Times New Roman" w:hAnsi="Times New Roman"/>
                <w:sz w:val="20"/>
              </w:rPr>
              <w:t>AFP-OD P3c</w:t>
            </w:r>
          </w:p>
        </w:tc>
        <w:tc>
          <w:tcPr>
            <w:tcW w:type="dxa" w:w="2880"/>
          </w:tcPr>
          <w:p>
            <w:r>
              <w:rPr>
                <w:rFonts w:ascii="Times New Roman" w:hAnsi="Times New Roman"/>
                <w:sz w:val="20"/>
              </w:rPr>
              <w:t>0.7563 ± 0.0071</w:t>
            </w:r>
          </w:p>
        </w:tc>
        <w:tc>
          <w:tcPr>
            <w:tcW w:type="dxa" w:w="2880"/>
          </w:tcPr>
          <w:p>
            <w:r>
              <w:rPr>
                <w:rFonts w:ascii="Times New Roman" w:hAnsi="Times New Roman"/>
                <w:sz w:val="20"/>
              </w:rPr>
              <w:t>0.5018 ± 0.0230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