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eastAsia="黑体"/>
          <w:rFonts w:ascii="Times New Roman" w:hAnsi="Times New Roman"/>
          <w:b/>
          <w:i w:val="0"/>
          <w:color w:val="000000"/>
          <w:sz w:val="36"/>
        </w:rPr>
        <w:t>发明专利申请文件</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发明名称</w:t>
      </w:r>
      <w:r>
        <w:rPr>
          <w:rFonts w:eastAsia="宋体"/>
          <w:rFonts w:ascii="Times New Roman" w:hAnsi="Times New Roman"/>
          <w:b w:val="0"/>
          <w:i w:val="0"/>
          <w:sz w:val="24"/>
        </w:rPr>
        <w:t>：基于多视觉基础模型与自适应 Fisher 原型解耦的支气管肺泡灌洗液细胞少样本分类方法及系统</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申请人</w:t>
      </w:r>
      <w:r>
        <w:rPr>
          <w:rFonts w:eastAsia="宋体"/>
          <w:rFonts w:ascii="Times New Roman" w:hAnsi="Times New Roman"/>
          <w:b w:val="0"/>
          <w:i w:val="0"/>
          <w:sz w:val="24"/>
        </w:rPr>
        <w:t>：[待补]</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发明人</w:t>
      </w:r>
      <w:r>
        <w:rPr>
          <w:rFonts w:eastAsia="宋体"/>
          <w:rFonts w:ascii="Times New Roman" w:hAnsi="Times New Roman"/>
          <w:b w:val="0"/>
          <w:i w:val="0"/>
          <w:sz w:val="24"/>
        </w:rPr>
        <w:t>：[待补]</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申请日</w:t>
      </w:r>
      <w:r>
        <w:rPr>
          <w:rFonts w:eastAsia="宋体"/>
          <w:rFonts w:ascii="Times New Roman" w:hAnsi="Times New Roman"/>
          <w:b w:val="0"/>
          <w:i w:val="0"/>
          <w:sz w:val="24"/>
        </w:rPr>
        <w:t>：[待补]</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文件版本</w:t>
      </w:r>
      <w:r>
        <w:rPr>
          <w:rFonts w:eastAsia="宋体"/>
          <w:rFonts w:ascii="Times New Roman" w:hAnsi="Times New Roman"/>
          <w:b w:val="0"/>
          <w:i w:val="0"/>
          <w:sz w:val="24"/>
        </w:rPr>
        <w:t>：v1.0（2026-04-18）</w:t>
      </w:r>
    </w:p>
    <w:p/>
    <w:p>
      <w:pPr>
        <w:pStyle w:val="Heading2"/>
        <w:jc w:val="left"/>
      </w:pPr>
      <w:r>
        <w:rPr>
          <w:rFonts w:eastAsia="黑体"/>
          <w:rFonts w:ascii="Times New Roman" w:hAnsi="Times New Roman"/>
          <w:b/>
          <w:i w:val="0"/>
          <w:color w:val="000000"/>
          <w:sz w:val="30"/>
        </w:rPr>
        <w:t>一、说明书摘要</w:t>
      </w:r>
    </w:p>
    <w:p>
      <w:pPr>
        <w:ind w:firstLine="480"/>
        <w:jc w:val="both"/>
      </w:pPr>
      <w:r>
        <w:rPr>
          <w:rFonts w:eastAsia="宋体"/>
          <w:rFonts w:ascii="Times New Roman" w:hAnsi="Times New Roman"/>
          <w:b w:val="0"/>
          <w:i w:val="0"/>
          <w:sz w:val="24"/>
        </w:rPr>
        <w:t>本发明公开一种基于多视觉基础模型与自适应 Fisher 原型解耦的支气管肺泡灌洗液（BALF）细胞少样本分类方法及系统。该方法包括：（1）使用 Cellpose 和 SAM3 级联对 BALF 图像进行细胞实例分割；（2）并行调用 BiomedCLIP、Phikon-v2 和 DINOv2 三种视觉基础模型提取细胞图像特征，并计算 40 维形态学特征；（3）以每类 10 张标注细胞作为 support 集，在特征空间和形态学空间分别进行留一法 k 近邻混淆检测，取并集得到混淆类对集合；（4）对每个混淆类对，使用 Ledoit-Wolf 自适应协方差收缩计算 Fisher 判别方向，沿该方向对两类 support 原型施加反向定向扰动，实现原型解耦；（5）使用解耦后的 support 原型进行多骨干加权 kNN 分类。本发明无需任何参数训练，仅需每类 10 张标注即可实现对 BALF 细胞的准确分类，在嗜酸性粒细胞等易混淆类别上实现显著性能提升，大幅降低人工标注负担。</w:t>
      </w:r>
    </w:p>
    <w:p/>
    <w:p>
      <w:pPr>
        <w:pStyle w:val="Heading2"/>
        <w:jc w:val="left"/>
      </w:pPr>
      <w:r>
        <w:rPr>
          <w:rFonts w:eastAsia="黑体"/>
          <w:rFonts w:ascii="Times New Roman" w:hAnsi="Times New Roman"/>
          <w:b/>
          <w:i w:val="0"/>
          <w:color w:val="000000"/>
          <w:sz w:val="30"/>
        </w:rPr>
        <w:t>二、权利要求书</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1.</w:t>
      </w:r>
      <w:r>
        <w:rPr>
          <w:rFonts w:eastAsia="宋体"/>
          <w:rFonts w:ascii="Times New Roman" w:hAnsi="Times New Roman"/>
          <w:b w:val="0"/>
          <w:i w:val="0"/>
          <w:sz w:val="24"/>
        </w:rPr>
        <w:t xml:space="preserve"> 一种基于多视觉基础模型的支气管肺泡灌洗液细胞少样本分类方法，其特征在于，所述方法包括以下步骤：</w:t>
      </w:r>
    </w:p>
    <w:p>
      <w:pPr>
        <w:ind w:firstLine="480"/>
        <w:jc w:val="both"/>
      </w:pPr>
      <w:r>
        <w:rPr>
          <w:rFonts w:eastAsia="宋体"/>
          <w:rFonts w:ascii="Times New Roman" w:hAnsi="Times New Roman"/>
          <w:b w:val="0"/>
          <w:i w:val="0"/>
          <w:sz w:val="24"/>
        </w:rPr>
        <w:t>步骤 S1，对输入的支气管肺泡灌洗液视野图像进行细胞实例分割，获得每个细胞实例的分割掩码；</w:t>
      </w:r>
    </w:p>
    <w:p>
      <w:pPr>
        <w:ind w:firstLine="480"/>
        <w:jc w:val="both"/>
      </w:pPr>
      <w:r>
        <w:rPr>
          <w:rFonts w:eastAsia="宋体"/>
          <w:rFonts w:ascii="Times New Roman" w:hAnsi="Times New Roman"/>
          <w:b w:val="0"/>
          <w:i w:val="0"/>
          <w:sz w:val="24"/>
        </w:rPr>
        <w:t>步骤 S2，对每个细胞实例进行双尺度裁剪，得到细胞裁剪图与上下文裁剪图；</w:t>
      </w:r>
    </w:p>
    <w:p>
      <w:pPr>
        <w:ind w:firstLine="480"/>
        <w:jc w:val="both"/>
      </w:pPr>
      <w:r>
        <w:rPr>
          <w:rFonts w:eastAsia="宋体"/>
          <w:rFonts w:ascii="Times New Roman" w:hAnsi="Times New Roman"/>
          <w:b w:val="0"/>
          <w:i w:val="0"/>
          <w:sz w:val="24"/>
        </w:rPr>
        <w:t>步骤 S3，将所述双尺度裁剪图分别输入多个视觉基础模型，并行提取得到多个骨干特征向量；同时基于所述分割掩码计算得到形态学特征向量；</w:t>
      </w:r>
    </w:p>
    <w:p>
      <w:pPr>
        <w:ind w:firstLine="480"/>
        <w:jc w:val="both"/>
      </w:pPr>
      <w:r>
        <w:rPr>
          <w:rFonts w:eastAsia="宋体"/>
          <w:rFonts w:ascii="Times New Roman" w:hAnsi="Times New Roman"/>
          <w:b w:val="0"/>
          <w:i w:val="0"/>
          <w:sz w:val="24"/>
        </w:rPr>
        <w:t>步骤 S4，构建 support 集：每个待分类类别选取 N 张标注细胞图像作为 support，其中 N 取值为 5 至 20 的整数；</w:t>
      </w:r>
    </w:p>
    <w:p>
      <w:pPr>
        <w:ind w:firstLine="480"/>
        <w:jc w:val="both"/>
      </w:pPr>
      <w:r>
        <w:rPr>
          <w:rFonts w:eastAsia="宋体"/>
          <w:rFonts w:ascii="Times New Roman" w:hAnsi="Times New Roman"/>
          <w:b w:val="0"/>
          <w:i w:val="0"/>
          <w:sz w:val="24"/>
        </w:rPr>
        <w:t>步骤 S5，在所述骨干特征向量构成的特征空间和所述形态学特征向量构成的形态学空间中，分别对 support 集进行留一法 k 近邻分类，计算每两个类别之间的混淆率；</w:t>
      </w:r>
    </w:p>
    <w:p>
      <w:pPr>
        <w:ind w:firstLine="480"/>
        <w:jc w:val="both"/>
      </w:pPr>
      <w:r>
        <w:rPr>
          <w:rFonts w:eastAsia="宋体"/>
          <w:rFonts w:ascii="Times New Roman" w:hAnsi="Times New Roman"/>
          <w:b w:val="0"/>
          <w:i w:val="0"/>
          <w:sz w:val="24"/>
        </w:rPr>
        <w:t>步骤 S6，对两个空间中的混淆率取并集，以预设混淆阈值筛选出混淆类对集合；</w:t>
      </w:r>
    </w:p>
    <w:p>
      <w:pPr>
        <w:ind w:firstLine="480"/>
        <w:jc w:val="both"/>
      </w:pPr>
      <w:r>
        <w:rPr>
          <w:rFonts w:eastAsia="宋体"/>
          <w:rFonts w:ascii="Times New Roman" w:hAnsi="Times New Roman"/>
          <w:b w:val="0"/>
          <w:i w:val="0"/>
          <w:sz w:val="24"/>
        </w:rPr>
        <w:t>步骤 S7，对所述混淆类对集合中的每一个类对，使用 Ledoit-Wolf 自适应协方差收缩估计协方差矩阵，并据此计算两类之间的 Fisher 判别方向；</w:t>
      </w:r>
    </w:p>
    <w:p>
      <w:pPr>
        <w:ind w:firstLine="480"/>
        <w:jc w:val="both"/>
      </w:pPr>
      <w:r>
        <w:rPr>
          <w:rFonts w:eastAsia="宋体"/>
          <w:rFonts w:ascii="Times New Roman" w:hAnsi="Times New Roman"/>
          <w:b w:val="0"/>
          <w:i w:val="0"/>
          <w:sz w:val="24"/>
        </w:rPr>
        <w:t>步骤 S8，沿所述 Fisher 判别方向，对两类的 support 特征分别施加方向相反、幅度为 α 的扰动，得到解耦后的 support 特征；其中 α 取值范围为 0.05 至 0.20；</w:t>
      </w:r>
    </w:p>
    <w:p>
      <w:pPr>
        <w:ind w:firstLine="480"/>
        <w:jc w:val="both"/>
      </w:pPr>
      <w:r>
        <w:rPr>
          <w:rFonts w:eastAsia="宋体"/>
          <w:rFonts w:ascii="Times New Roman" w:hAnsi="Times New Roman"/>
          <w:b w:val="0"/>
          <w:i w:val="0"/>
          <w:sz w:val="24"/>
        </w:rPr>
        <w:t>步骤 S9，使用所述解耦后的 support 特征，通过多骨干加权 k 近邻分类器对待分类的查询细胞进行类别预测。</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2.</w:t>
      </w:r>
      <w:r>
        <w:rPr>
          <w:rFonts w:eastAsia="宋体"/>
          <w:rFonts w:ascii="Times New Roman" w:hAnsi="Times New Roman"/>
          <w:b w:val="0"/>
          <w:i w:val="0"/>
          <w:sz w:val="24"/>
        </w:rPr>
        <w:t xml:space="preserve"> 根据权利要求 1 所述的方法，其特征在于，步骤 S1 中所述的细胞实例分割采用以下级联分割方式：</w:t>
      </w:r>
    </w:p>
    <w:p>
      <w:pPr>
        <w:ind w:firstLine="480"/>
        <w:jc w:val="both"/>
      </w:pPr>
      <w:r>
        <w:rPr>
          <w:rFonts w:eastAsia="宋体"/>
          <w:rFonts w:ascii="Times New Roman" w:hAnsi="Times New Roman"/>
          <w:b w:val="0"/>
          <w:i w:val="0"/>
          <w:sz w:val="24"/>
        </w:rPr>
        <w:t>先使用 Cellpose 模型对视野图像进行自动细胞检测，得到每个细胞实例的初始掩码和包围盒；</w:t>
      </w:r>
    </w:p>
    <w:p>
      <w:pPr>
        <w:ind w:firstLine="480"/>
        <w:jc w:val="both"/>
      </w:pPr>
      <w:r>
        <w:rPr>
          <w:rFonts w:eastAsia="宋体"/>
          <w:rFonts w:ascii="Times New Roman" w:hAnsi="Times New Roman"/>
          <w:b w:val="0"/>
          <w:i w:val="0"/>
          <w:sz w:val="24"/>
        </w:rPr>
        <w:t>再将所述包围盒作为提示输入 SAM3 模型，得到精修掩码；</w:t>
      </w:r>
    </w:p>
    <w:p>
      <w:pPr>
        <w:ind w:firstLine="480"/>
        <w:jc w:val="both"/>
      </w:pPr>
      <w:r>
        <w:rPr>
          <w:rFonts w:eastAsia="宋体"/>
          <w:rFonts w:ascii="Times New Roman" w:hAnsi="Times New Roman"/>
          <w:b w:val="0"/>
          <w:i w:val="0"/>
          <w:sz w:val="24"/>
        </w:rPr>
        <w:t>当所述精修掩码与所述初始掩码的交并比大于 0.5 时，采用所述精修掩码作为最终分割结果，否则保留所述初始掩码。</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3.</w:t>
      </w:r>
      <w:r>
        <w:rPr>
          <w:rFonts w:eastAsia="宋体"/>
          <w:rFonts w:ascii="Times New Roman" w:hAnsi="Times New Roman"/>
          <w:b w:val="0"/>
          <w:i w:val="0"/>
          <w:sz w:val="24"/>
        </w:rPr>
        <w:t xml:space="preserve"> 根据权利要求 1 所述的方法，其特征在于，步骤 S2 中所述的双尺度裁剪具体为：</w:t>
      </w:r>
    </w:p>
    <w:p>
      <w:pPr>
        <w:ind w:firstLine="480"/>
        <w:jc w:val="both"/>
      </w:pPr>
      <w:r>
        <w:rPr>
          <w:rFonts w:eastAsia="宋体"/>
          <w:rFonts w:ascii="Times New Roman" w:hAnsi="Times New Roman"/>
          <w:b w:val="0"/>
          <w:i w:val="0"/>
          <w:sz w:val="24"/>
        </w:rPr>
        <w:t>细胞裁剪图：以细胞包围盒为基准，向外扩展 10% 后裁剪并缩放至 224×224 像素；</w:t>
      </w:r>
    </w:p>
    <w:p>
      <w:pPr>
        <w:ind w:firstLine="480"/>
        <w:jc w:val="both"/>
      </w:pPr>
      <w:r>
        <w:rPr>
          <w:rFonts w:eastAsia="宋体"/>
          <w:rFonts w:ascii="Times New Roman" w:hAnsi="Times New Roman"/>
          <w:b w:val="0"/>
          <w:i w:val="0"/>
          <w:sz w:val="24"/>
        </w:rPr>
        <w:t>上下文裁剪图：以细胞包围盒为基准，向外扩展 50% 后裁剪并缩放至 224×224 像素；</w:t>
      </w:r>
    </w:p>
    <w:p>
      <w:pPr>
        <w:ind w:firstLine="480"/>
        <w:jc w:val="both"/>
      </w:pPr>
      <w:r>
        <w:rPr>
          <w:rFonts w:eastAsia="宋体"/>
          <w:rFonts w:ascii="Times New Roman" w:hAnsi="Times New Roman"/>
          <w:b w:val="0"/>
          <w:i w:val="0"/>
          <w:sz w:val="24"/>
        </w:rPr>
        <w:t>最终特征向量 f 通过加权融合两个裁剪图的特征：f = 0.9 × f_细胞 + 0.1 × f_上下文。</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4.</w:t>
      </w:r>
      <w:r>
        <w:rPr>
          <w:rFonts w:eastAsia="宋体"/>
          <w:rFonts w:ascii="Times New Roman" w:hAnsi="Times New Roman"/>
          <w:b w:val="0"/>
          <w:i w:val="0"/>
          <w:sz w:val="24"/>
        </w:rPr>
        <w:t xml:space="preserve"> 根据权利要求 1 所述的方法，其特征在于，步骤 S3 中所述的视觉基础模型包括：</w:t>
      </w:r>
    </w:p>
    <w:p>
      <w:pPr>
        <w:ind w:firstLine="480"/>
        <w:jc w:val="both"/>
      </w:pPr>
      <w:r>
        <w:rPr>
          <w:rFonts w:eastAsia="宋体"/>
          <w:rFonts w:ascii="Times New Roman" w:hAnsi="Times New Roman"/>
          <w:b w:val="0"/>
          <w:i w:val="0"/>
          <w:sz w:val="24"/>
        </w:rPr>
        <w:t>BiomedCLIP 模型，输出 512 维语义特征；</w:t>
      </w:r>
    </w:p>
    <w:p>
      <w:pPr>
        <w:ind w:firstLine="480"/>
        <w:jc w:val="both"/>
      </w:pPr>
      <w:r>
        <w:rPr>
          <w:rFonts w:eastAsia="宋体"/>
          <w:rFonts w:ascii="Times New Roman" w:hAnsi="Times New Roman"/>
          <w:b w:val="0"/>
          <w:i w:val="0"/>
          <w:sz w:val="24"/>
        </w:rPr>
        <w:t>Phikon-v2 模型，输出 1024 维病理纹理特征；</w:t>
      </w:r>
    </w:p>
    <w:p>
      <w:pPr>
        <w:ind w:firstLine="480"/>
        <w:jc w:val="both"/>
      </w:pPr>
      <w:r>
        <w:rPr>
          <w:rFonts w:eastAsia="宋体"/>
          <w:rFonts w:ascii="Times New Roman" w:hAnsi="Times New Roman"/>
          <w:b w:val="0"/>
          <w:i w:val="0"/>
          <w:sz w:val="24"/>
        </w:rPr>
        <w:t>DINOv2-Small 模型，输出 384 维自监督几何特征；</w:t>
      </w:r>
    </w:p>
    <w:p>
      <w:pPr>
        <w:ind w:firstLine="480"/>
        <w:jc w:val="both"/>
      </w:pPr>
      <w:r>
        <w:rPr>
          <w:rFonts w:eastAsia="宋体"/>
          <w:rFonts w:ascii="Times New Roman" w:hAnsi="Times New Roman"/>
          <w:b w:val="0"/>
          <w:i w:val="0"/>
          <w:sz w:val="24"/>
        </w:rPr>
        <w:t>所有视觉基础模型参数在整个分类过程中保持冻结，不进行任何微调。</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5.</w:t>
      </w:r>
      <w:r>
        <w:rPr>
          <w:rFonts w:eastAsia="宋体"/>
          <w:rFonts w:ascii="Times New Roman" w:hAnsi="Times New Roman"/>
          <w:b w:val="0"/>
          <w:i w:val="0"/>
          <w:sz w:val="24"/>
        </w:rPr>
        <w:t xml:space="preserve"> 根据权利要求 1 所述的方法，其特征在于，步骤 S3 中所述的形态学特征向量为 40 维，包含但不限于：面积、周长、圆度、长轴长度、短轴长度、偏心率、致密度、RGB 三通道的均值和标准差、HSV 三通道的均值和标准差、颗粒度指数。</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6.</w:t>
      </w:r>
      <w:r>
        <w:rPr>
          <w:rFonts w:eastAsia="宋体"/>
          <w:rFonts w:ascii="Times New Roman" w:hAnsi="Times New Roman"/>
          <w:b w:val="0"/>
          <w:i w:val="0"/>
          <w:sz w:val="24"/>
        </w:rPr>
        <w:t xml:space="preserve"> 根据权利要求 1 所述的方法，其特征在于，步骤 S5 所述的混淆率计算方法为：</w:t>
      </w:r>
    </w:p>
    <w:p>
      <w:pPr>
        <w:ind w:firstLine="480"/>
        <w:jc w:val="both"/>
      </w:pPr>
      <w:r>
        <w:rPr>
          <w:rFonts w:eastAsia="宋体"/>
          <w:rFonts w:ascii="Times New Roman" w:hAnsi="Times New Roman"/>
          <w:b w:val="0"/>
          <w:i w:val="0"/>
          <w:sz w:val="24"/>
        </w:rPr>
        <w:t>在特征空间中，使用余弦相似度度量，取 k = 5 的 k 近邻分类器，计算第 i 类与第 j 类之间的特征空间混淆率 R_feat(i, j)：</w:t>
      </w:r>
    </w:p>
    <w:p>
      <w:pPr>
        <w:jc w:val="center"/>
      </w:pPr>
      <w:r>
        <w:rPr>
          <w:rFonts w:eastAsia="宋体"/>
          <w:rFonts w:ascii="Cambria Math" w:hAnsi="Cambria Math"/>
          <w:i/>
          <w:sz w:val="22"/>
        </w:rPr>
        <w:t>R_feat(i, j) = (1/|S_i|) × Σ_{x ∈ S_i} 𝟙[ŷ_LOO(x) = j] + (1/|S_j|) × Σ_{x ∈ S_j} 𝟙[ŷ_LOO(x) = i]</w:t>
      </w:r>
    </w:p>
    <w:p>
      <w:pPr>
        <w:ind w:firstLine="480"/>
        <w:jc w:val="both"/>
      </w:pPr>
      <w:r>
        <w:rPr>
          <w:rFonts w:eastAsia="宋体"/>
          <w:rFonts w:ascii="Times New Roman" w:hAnsi="Times New Roman"/>
          <w:b w:val="0"/>
          <w:i w:val="0"/>
          <w:sz w:val="24"/>
        </w:rPr>
        <w:t>其中 S_i、S_j 为第 i 类、第 j 类的 support 集，ŷ_LOO(x) 表示在 support 集中去除 x 后使用余弦 kNN 对 x 的预测类别，𝟙[·] 为指示函数；</w:t>
      </w:r>
    </w:p>
    <w:p>
      <w:pPr>
        <w:ind w:firstLine="480"/>
        <w:jc w:val="both"/>
      </w:pPr>
      <w:r>
        <w:rPr>
          <w:rFonts w:eastAsia="宋体"/>
          <w:rFonts w:ascii="Times New Roman" w:hAnsi="Times New Roman"/>
          <w:b w:val="0"/>
          <w:i w:val="0"/>
          <w:sz w:val="24"/>
        </w:rPr>
        <w:t>在形态学空间中，对形态学特征进行 z-score 归一化后，使用欧氏距离度量，取 k = 5 的 k 近邻分类器，按相同公式计算形态学混淆率 R_morph(i, j)。</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7.</w:t>
      </w:r>
      <w:r>
        <w:rPr>
          <w:rFonts w:eastAsia="宋体"/>
          <w:rFonts w:ascii="Times New Roman" w:hAnsi="Times New Roman"/>
          <w:b w:val="0"/>
          <w:i w:val="0"/>
          <w:sz w:val="24"/>
        </w:rPr>
        <w:t xml:space="preserve"> 根据权利要求 1 所述的方法，其特征在于，步骤 S6 所述的并集筛选具体为：</w:t>
      </w:r>
    </w:p>
    <w:p>
      <w:pPr>
        <w:ind w:firstLine="480"/>
        <w:jc w:val="both"/>
      </w:pPr>
      <w:r>
        <w:rPr>
          <w:rFonts w:eastAsia="宋体"/>
          <w:rFonts w:ascii="Times New Roman" w:hAnsi="Times New Roman"/>
          <w:b w:val="0"/>
          <w:i w:val="0"/>
          <w:sz w:val="24"/>
        </w:rPr>
        <w:t>当 R_feat(i, j) ≥ τ 或 R_morph(i, j) ≥ τ 时，将类对 (i, j) 加入混淆类对集合 P；</w:t>
      </w:r>
    </w:p>
    <w:p>
      <w:pPr>
        <w:ind w:firstLine="480"/>
        <w:jc w:val="both"/>
      </w:pPr>
      <w:r>
        <w:rPr>
          <w:rFonts w:eastAsia="宋体"/>
          <w:rFonts w:ascii="Times New Roman" w:hAnsi="Times New Roman"/>
          <w:b w:val="0"/>
          <w:i w:val="0"/>
          <w:sz w:val="24"/>
        </w:rPr>
        <w:t>其中阈值 τ 取值范围为 0.10 至 0.20，优选 τ = 0.15。</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8.</w:t>
      </w:r>
      <w:r>
        <w:rPr>
          <w:rFonts w:eastAsia="宋体"/>
          <w:rFonts w:ascii="Times New Roman" w:hAnsi="Times New Roman"/>
          <w:b w:val="0"/>
          <w:i w:val="0"/>
          <w:sz w:val="24"/>
        </w:rPr>
        <w:t xml:space="preserve"> 根据权利要求 1 所述的方法，其特征在于，步骤 S7 所述的 Ledoit-Wolf 协方差收缩估计公式为：</w:t>
      </w:r>
    </w:p>
    <w:p>
      <w:pPr>
        <w:jc w:val="center"/>
      </w:pPr>
      <w:r>
        <w:rPr>
          <w:rFonts w:eastAsia="宋体"/>
          <w:rFonts w:ascii="Cambria Math" w:hAnsi="Cambria Math"/>
          <w:i/>
          <w:sz w:val="22"/>
        </w:rPr>
        <w:t>Σ_c^LW = (1 − ρ_c) × S_c + ρ_c × (tr(S_c) / D) × I</w:t>
      </w:r>
    </w:p>
    <w:p>
      <w:pPr>
        <w:ind w:firstLine="480"/>
        <w:jc w:val="both"/>
      </w:pPr>
      <w:r>
        <w:rPr>
          <w:rFonts w:eastAsia="宋体"/>
          <w:rFonts w:ascii="Times New Roman" w:hAnsi="Times New Roman"/>
          <w:b w:val="0"/>
          <w:i w:val="0"/>
          <w:sz w:val="24"/>
        </w:rPr>
        <w:t>其中 S_c 为第 c 类 support 特征的样本协方差矩阵，D 为特征维度，I 为 D 维单位矩阵，tr(·) 为矩阵的迹，ρ_c 为第 c 类的最优收缩强度，其解析表达式为：</w:t>
      </w:r>
    </w:p>
    <w:p>
      <w:pPr>
        <w:jc w:val="center"/>
      </w:pPr>
      <w:r>
        <w:rPr>
          <w:rFonts w:eastAsia="宋体"/>
          <w:rFonts w:ascii="Cambria Math" w:hAnsi="Cambria Math"/>
          <w:i/>
          <w:sz w:val="22"/>
        </w:rPr>
        <w:t>ρ_c = min(1, max(0, π_c / (γ_c × N)))</w:t>
      </w:r>
    </w:p>
    <w:p>
      <w:pPr>
        <w:ind w:firstLine="480"/>
        <w:jc w:val="both"/>
      </w:pPr>
      <w:r>
        <w:rPr>
          <w:rFonts w:eastAsia="宋体"/>
          <w:rFonts w:ascii="Times New Roman" w:hAnsi="Times New Roman"/>
          <w:b w:val="0"/>
          <w:i w:val="0"/>
          <w:sz w:val="24"/>
        </w:rPr>
        <w:t>其中 π_c = Σ_{i,j} Var(S_c,ij)，γ_c = ‖S_c − (tr(S_c)/D) × I‖_F²，N 为 support 样本数，‖·‖_F 为 Frobenius 范数；</w:t>
      </w:r>
    </w:p>
    <w:p>
      <w:pPr>
        <w:ind w:firstLine="480"/>
        <w:jc w:val="both"/>
      </w:pPr>
      <w:r>
        <w:rPr>
          <w:rFonts w:eastAsia="宋体"/>
          <w:rFonts w:ascii="Times New Roman" w:hAnsi="Times New Roman"/>
          <w:b w:val="0"/>
          <w:i w:val="0"/>
          <w:sz w:val="24"/>
        </w:rPr>
        <w:t>所述 Fisher 判别方向的计算公式为：</w:t>
      </w:r>
    </w:p>
    <w:p>
      <w:pPr>
        <w:jc w:val="center"/>
      </w:pPr>
      <w:r>
        <w:rPr>
          <w:rFonts w:eastAsia="宋体"/>
          <w:rFonts w:ascii="Cambria Math" w:hAnsi="Cambria Math"/>
          <w:i/>
          <w:sz w:val="22"/>
        </w:rPr>
        <w:t>w_ij = (Σ_i^LW + Σ_j^LW + ε × I)^(−1) × (μ_i − μ_j)</w:t>
      </w:r>
    </w:p>
    <w:p>
      <w:pPr>
        <w:ind w:firstLine="480"/>
        <w:jc w:val="both"/>
      </w:pPr>
      <w:r>
        <w:rPr>
          <w:rFonts w:eastAsia="宋体"/>
          <w:rFonts w:ascii="Times New Roman" w:hAnsi="Times New Roman"/>
          <w:b w:val="0"/>
          <w:i w:val="0"/>
          <w:sz w:val="24"/>
        </w:rPr>
        <w:t>随后对 w_ij 进行单位化：w_ij ← w_ij / ‖w_ij‖₂；</w:t>
      </w:r>
    </w:p>
    <w:p>
      <w:pPr>
        <w:ind w:firstLine="480"/>
        <w:jc w:val="both"/>
      </w:pPr>
      <w:r>
        <w:rPr>
          <w:rFonts w:eastAsia="宋体"/>
          <w:rFonts w:ascii="Times New Roman" w:hAnsi="Times New Roman"/>
          <w:b w:val="0"/>
          <w:i w:val="0"/>
          <w:sz w:val="24"/>
        </w:rPr>
        <w:t>其中 μ_i、μ_j 分别为第 i 类、第 j 类 support 特征的均值向量，ε 为防止矩阵奇异的小正常数，取值 1e-6 至 1e-3。</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9.</w:t>
      </w:r>
      <w:r>
        <w:rPr>
          <w:rFonts w:eastAsia="宋体"/>
          <w:rFonts w:ascii="Times New Roman" w:hAnsi="Times New Roman"/>
          <w:b w:val="0"/>
          <w:i w:val="0"/>
          <w:sz w:val="24"/>
        </w:rPr>
        <w:t xml:space="preserve"> 根据权利要求 1 所述的方法，其特征在于，步骤 S8 所述的定向扰动规则为：</w:t>
      </w:r>
    </w:p>
    <w:p>
      <w:pPr>
        <w:ind w:firstLine="480"/>
        <w:jc w:val="both"/>
      </w:pPr>
      <w:r>
        <w:rPr>
          <w:rFonts w:eastAsia="宋体"/>
          <w:rFonts w:ascii="Times New Roman" w:hAnsi="Times New Roman"/>
          <w:b w:val="0"/>
          <w:i w:val="0"/>
          <w:sz w:val="24"/>
        </w:rPr>
        <w:t>对第 i 类 support 集中的每个特征 f^(i)：f̃^(i) ← f^(i) + α × w_ij</w:t>
      </w:r>
    </w:p>
    <w:p>
      <w:pPr>
        <w:ind w:firstLine="480"/>
        <w:jc w:val="both"/>
      </w:pPr>
      <w:r>
        <w:rPr>
          <w:rFonts w:eastAsia="宋体"/>
          <w:rFonts w:ascii="Times New Roman" w:hAnsi="Times New Roman"/>
          <w:b w:val="0"/>
          <w:i w:val="0"/>
          <w:sz w:val="24"/>
        </w:rPr>
        <w:t>对第 j 类 support 集中的每个特征 f^(j)：f̃^(j) ← f^(j) − α × w_ij</w:t>
      </w:r>
    </w:p>
    <w:p>
      <w:pPr>
        <w:ind w:firstLine="480"/>
        <w:jc w:val="both"/>
      </w:pPr>
      <w:r>
        <w:rPr>
          <w:rFonts w:eastAsia="宋体"/>
          <w:rFonts w:ascii="Times New Roman" w:hAnsi="Times New Roman"/>
          <w:b w:val="0"/>
          <w:i w:val="0"/>
          <w:sz w:val="24"/>
        </w:rPr>
        <w:t>当一个类同时参与多个混淆对时，按混淆对顺序依次累加所有扰动；完成所有混淆对处理后，将所有 support 特征重新归一化至单位超球面；</w:t>
      </w:r>
    </w:p>
    <w:p>
      <w:pPr>
        <w:ind w:firstLine="480"/>
        <w:jc w:val="both"/>
      </w:pPr>
      <w:r>
        <w:rPr>
          <w:rFonts w:eastAsia="宋体"/>
          <w:rFonts w:ascii="Times New Roman" w:hAnsi="Times New Roman"/>
          <w:b w:val="0"/>
          <w:i w:val="0"/>
          <w:sz w:val="24"/>
        </w:rPr>
        <w:t>所述扰动强度 α 优选值为 0.10；每个骨干独立计算其自身的 Fisher 方向并独立施加扰动。</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10.</w:t>
      </w:r>
      <w:r>
        <w:rPr>
          <w:rFonts w:eastAsia="宋体"/>
          <w:rFonts w:ascii="Times New Roman" w:hAnsi="Times New Roman"/>
          <w:b w:val="0"/>
          <w:i w:val="0"/>
          <w:sz w:val="24"/>
        </w:rPr>
        <w:t xml:space="preserve"> 根据权利要求 1 所述的方法，其特征在于，步骤 S9 所述的多骨干加权 k 近邻分类器的评分函数为：</w:t>
      </w:r>
    </w:p>
    <w:p>
      <w:pPr>
        <w:jc w:val="center"/>
      </w:pPr>
      <w:r>
        <w:rPr>
          <w:rFonts w:eastAsia="宋体"/>
          <w:rFonts w:ascii="Cambria Math" w:hAnsi="Cambria Math"/>
          <w:i/>
          <w:sz w:val="22"/>
        </w:rPr>
        <w:t>s(q, c) = (1/k) × Σ_{j ∈ top-k} [ w_BC × ⟨f_j^BC, q^BC⟩ + w_PH × ⟨f_j^PH, q^PH⟩ + w_DN × ⟨f_j^DN, q^DN⟩ + w_m × 1 / (1 + ‖m_j^z − q_m^z‖₂) ]</w:t>
      </w:r>
    </w:p>
    <w:p>
      <w:pPr>
        <w:ind w:firstLine="480"/>
        <w:jc w:val="both"/>
      </w:pPr>
      <w:r>
        <w:rPr>
          <w:rFonts w:eastAsia="宋体"/>
          <w:rFonts w:ascii="Times New Roman" w:hAnsi="Times New Roman"/>
          <w:b w:val="0"/>
          <w:i w:val="0"/>
          <w:sz w:val="24"/>
        </w:rPr>
        <w:t>其中 q 为查询样本，c 为类别，f_j^BC、f_j^PH、f_j^DN 为第 j 个 support 的三个骨干特征，m_j^z 为 z-score 归一化后的形态学特征，⟨·,·⟩ 为余弦相似度，k 取值 5 至 10，优选 k = 7；</w:t>
      </w:r>
    </w:p>
    <w:p>
      <w:pPr>
        <w:ind w:firstLine="480"/>
        <w:jc w:val="both"/>
      </w:pPr>
      <w:r>
        <w:rPr>
          <w:rFonts w:eastAsia="宋体"/>
          <w:rFonts w:ascii="Times New Roman" w:hAnsi="Times New Roman"/>
          <w:b w:val="0"/>
          <w:i w:val="0"/>
          <w:sz w:val="24"/>
        </w:rPr>
        <w:t>权重 w_BC、w_PH、w_DN、w_m 为非负实数且之和为 1，优选值为 w_BC = 0.42，w_PH = 0.18，w_DN = 0.07，w_m = 0.33；</w:t>
      </w:r>
    </w:p>
    <w:p>
      <w:pPr>
        <w:ind w:firstLine="480"/>
        <w:jc w:val="both"/>
      </w:pPr>
      <w:r>
        <w:rPr>
          <w:rFonts w:eastAsia="宋体"/>
          <w:rFonts w:ascii="Times New Roman" w:hAnsi="Times New Roman"/>
          <w:b w:val="0"/>
          <w:i w:val="0"/>
          <w:sz w:val="24"/>
        </w:rPr>
        <w:t>最终预测类别为 arg max_c s(q, c)。</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11.</w:t>
      </w:r>
      <w:r>
        <w:rPr>
          <w:rFonts w:eastAsia="宋体"/>
          <w:rFonts w:ascii="Times New Roman" w:hAnsi="Times New Roman"/>
          <w:b w:val="0"/>
          <w:i w:val="0"/>
          <w:sz w:val="24"/>
        </w:rPr>
        <w:t xml:space="preserve"> 一种基于多视觉基础模型的支气管肺泡灌洗液细胞少样本分类系统，其特征在于，所述系统包括：</w:t>
      </w:r>
    </w:p>
    <w:p>
      <w:pPr>
        <w:ind w:firstLine="480"/>
        <w:jc w:val="both"/>
      </w:pPr>
      <w:r>
        <w:rPr>
          <w:rFonts w:eastAsia="宋体"/>
          <w:rFonts w:ascii="Times New Roman" w:hAnsi="Times New Roman"/>
          <w:b w:val="0"/>
          <w:i w:val="0"/>
          <w:sz w:val="24"/>
        </w:rPr>
        <w:t>分割模块，用于执行权利要求 1 所述的步骤 S1；</w:t>
      </w:r>
    </w:p>
    <w:p>
      <w:pPr>
        <w:ind w:firstLine="480"/>
        <w:jc w:val="both"/>
      </w:pPr>
      <w:r>
        <w:rPr>
          <w:rFonts w:eastAsia="宋体"/>
          <w:rFonts w:ascii="Times New Roman" w:hAnsi="Times New Roman"/>
          <w:b w:val="0"/>
          <w:i w:val="0"/>
          <w:sz w:val="24"/>
        </w:rPr>
        <w:t>特征提取模块，用于执行权利要求 1 所述的步骤 S2 和 S3；</w:t>
      </w:r>
    </w:p>
    <w:p>
      <w:pPr>
        <w:ind w:firstLine="480"/>
        <w:jc w:val="both"/>
      </w:pPr>
      <w:r>
        <w:rPr>
          <w:rFonts w:eastAsia="宋体"/>
          <w:rFonts w:ascii="Times New Roman" w:hAnsi="Times New Roman"/>
          <w:b w:val="0"/>
          <w:i w:val="0"/>
          <w:sz w:val="24"/>
        </w:rPr>
        <w:t>Support 集管理模块，用于执行权利要求 1 所述的步骤 S4；</w:t>
      </w:r>
    </w:p>
    <w:p>
      <w:pPr>
        <w:ind w:firstLine="480"/>
        <w:jc w:val="both"/>
      </w:pPr>
      <w:r>
        <w:rPr>
          <w:rFonts w:eastAsia="宋体"/>
          <w:rFonts w:ascii="Times New Roman" w:hAnsi="Times New Roman"/>
          <w:b w:val="0"/>
          <w:i w:val="0"/>
          <w:sz w:val="24"/>
        </w:rPr>
        <w:t>混淆检测模块，用于执行权利要求 1 所述的步骤 S5 和 S6；</w:t>
      </w:r>
    </w:p>
    <w:p>
      <w:pPr>
        <w:ind w:firstLine="480"/>
        <w:jc w:val="both"/>
      </w:pPr>
      <w:r>
        <w:rPr>
          <w:rFonts w:eastAsia="宋体"/>
          <w:rFonts w:ascii="Times New Roman" w:hAnsi="Times New Roman"/>
          <w:b w:val="0"/>
          <w:i w:val="0"/>
          <w:sz w:val="24"/>
        </w:rPr>
        <w:t>原型解耦模块，用于执行权利要求 1 所述的步骤 S7 和 S8；</w:t>
      </w:r>
    </w:p>
    <w:p>
      <w:pPr>
        <w:ind w:firstLine="480"/>
        <w:jc w:val="both"/>
      </w:pPr>
      <w:r>
        <w:rPr>
          <w:rFonts w:eastAsia="宋体"/>
          <w:rFonts w:ascii="Times New Roman" w:hAnsi="Times New Roman"/>
          <w:b w:val="0"/>
          <w:i w:val="0"/>
          <w:sz w:val="24"/>
        </w:rPr>
        <w:t>分类决策模块，用于执行权利要求 1 所述的步骤 S9；</w:t>
      </w:r>
    </w:p>
    <w:p>
      <w:pPr>
        <w:ind w:firstLine="480"/>
        <w:jc w:val="both"/>
      </w:pPr>
      <w:r>
        <w:rPr>
          <w:rFonts w:eastAsia="宋体"/>
          <w:rFonts w:ascii="Times New Roman" w:hAnsi="Times New Roman"/>
          <w:b w:val="0"/>
          <w:i w:val="0"/>
          <w:sz w:val="24"/>
        </w:rPr>
        <w:t>人机交互模块，用于将分类结果可视化展示给操作者并接收操作者的审核与修正。</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12.</w:t>
      </w:r>
      <w:r>
        <w:rPr>
          <w:rFonts w:eastAsia="宋体"/>
          <w:rFonts w:ascii="Times New Roman" w:hAnsi="Times New Roman"/>
          <w:b w:val="0"/>
          <w:i w:val="0"/>
          <w:sz w:val="24"/>
        </w:rPr>
        <w:t xml:space="preserve"> 根据权利要求 11 所述的系统，其特征在于，所述人机交互模块基于 FastAPI 后端框架构建，支持如下操作：</w:t>
      </w:r>
    </w:p>
    <w:p>
      <w:pPr>
        <w:ind w:firstLine="480"/>
        <w:jc w:val="both"/>
      </w:pPr>
      <w:r>
        <w:rPr>
          <w:rFonts w:eastAsia="宋体"/>
          <w:rFonts w:ascii="Times New Roman" w:hAnsi="Times New Roman"/>
          <w:b w:val="0"/>
          <w:i w:val="0"/>
          <w:sz w:val="24"/>
        </w:rPr>
        <w:t>标注任务创建与样本导入；</w:t>
      </w:r>
    </w:p>
    <w:p>
      <w:pPr>
        <w:ind w:firstLine="480"/>
        <w:jc w:val="both"/>
      </w:pPr>
      <w:r>
        <w:rPr>
          <w:rFonts w:eastAsia="宋体"/>
          <w:rFonts w:ascii="Times New Roman" w:hAnsi="Times New Roman"/>
          <w:b w:val="0"/>
          <w:i w:val="0"/>
          <w:sz w:val="24"/>
        </w:rPr>
        <w:t>每类 10 张 support 细胞的人工选择与标注；</w:t>
      </w:r>
    </w:p>
    <w:p>
      <w:pPr>
        <w:ind w:firstLine="480"/>
        <w:jc w:val="both"/>
      </w:pPr>
      <w:r>
        <w:rPr>
          <w:rFonts w:eastAsia="宋体"/>
          <w:rFonts w:ascii="Times New Roman" w:hAnsi="Times New Roman"/>
          <w:b w:val="0"/>
          <w:i w:val="0"/>
          <w:sz w:val="24"/>
        </w:rPr>
        <w:t>对剩余未标注细胞进行一键批量自动预标注；</w:t>
      </w:r>
    </w:p>
    <w:p>
      <w:pPr>
        <w:ind w:firstLine="480"/>
        <w:jc w:val="both"/>
      </w:pPr>
      <w:r>
        <w:rPr>
          <w:rFonts w:eastAsia="宋体"/>
          <w:rFonts w:ascii="Times New Roman" w:hAnsi="Times New Roman"/>
          <w:b w:val="0"/>
          <w:i w:val="0"/>
          <w:sz w:val="24"/>
        </w:rPr>
        <w:t>对低置信度预测进行人工审核与修正；</w:t>
      </w:r>
    </w:p>
    <w:p>
      <w:pPr>
        <w:ind w:firstLine="480"/>
        <w:jc w:val="both"/>
      </w:pPr>
      <w:r>
        <w:rPr>
          <w:rFonts w:eastAsia="宋体"/>
          <w:rFonts w:ascii="Times New Roman" w:hAnsi="Times New Roman"/>
          <w:b w:val="0"/>
          <w:i w:val="0"/>
          <w:sz w:val="24"/>
        </w:rPr>
        <w:t>标注结果以 JSON 或 CSV 格式导出。</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13.</w:t>
      </w:r>
      <w:r>
        <w:rPr>
          <w:rFonts w:eastAsia="宋体"/>
          <w:rFonts w:ascii="Times New Roman" w:hAnsi="Times New Roman"/>
          <w:b w:val="0"/>
          <w:i w:val="0"/>
          <w:sz w:val="24"/>
        </w:rPr>
        <w:t xml:space="preserve"> 一种计算机可读存储介质，其特征在于，其上存储有计算机程序，该程序被处理器执行时实现权利要求 1 至 10 中任一项所述的方法。</w:t>
      </w:r>
    </w:p>
    <w:p/>
    <w:p>
      <w:pPr>
        <w:pStyle w:val="Heading2"/>
        <w:jc w:val="left"/>
      </w:pPr>
      <w:r>
        <w:rPr>
          <w:rFonts w:eastAsia="黑体"/>
          <w:rFonts w:ascii="Times New Roman" w:hAnsi="Times New Roman"/>
          <w:b/>
          <w:i w:val="0"/>
          <w:color w:val="000000"/>
          <w:sz w:val="30"/>
        </w:rPr>
        <w:t>三、说明书</w:t>
      </w:r>
    </w:p>
    <w:p>
      <w:pPr>
        <w:pStyle w:val="Heading3"/>
        <w:jc w:val="left"/>
      </w:pPr>
      <w:r>
        <w:rPr>
          <w:rFonts w:eastAsia="黑体"/>
          <w:rFonts w:ascii="Times New Roman" w:hAnsi="Times New Roman"/>
          <w:b/>
          <w:i w:val="0"/>
          <w:color w:val="000000"/>
          <w:sz w:val="26"/>
        </w:rPr>
        <w:t>1. 技术领域</w:t>
      </w:r>
    </w:p>
    <w:p>
      <w:pPr>
        <w:ind w:firstLine="480"/>
        <w:jc w:val="both"/>
      </w:pPr>
      <w:r>
        <w:rPr>
          <w:rFonts w:eastAsia="宋体"/>
          <w:rFonts w:ascii="Times New Roman" w:hAnsi="Times New Roman"/>
          <w:b w:val="0"/>
          <w:i w:val="0"/>
          <w:sz w:val="24"/>
        </w:rPr>
        <w:t>本发明涉及医学图像分析技术领域，具体涉及一种基于多视觉基础模型与自适应 Fisher 原型解耦的支气管肺泡灌洗液细胞少样本分类方法及系统。</w:t>
      </w:r>
    </w:p>
    <w:p>
      <w:pPr>
        <w:pStyle w:val="Heading3"/>
        <w:jc w:val="left"/>
      </w:pPr>
      <w:r>
        <w:rPr>
          <w:rFonts w:eastAsia="黑体"/>
          <w:rFonts w:ascii="Times New Roman" w:hAnsi="Times New Roman"/>
          <w:b/>
          <w:i w:val="0"/>
          <w:color w:val="000000"/>
          <w:sz w:val="26"/>
        </w:rPr>
        <w:t>2. 背景技术</w:t>
      </w:r>
    </w:p>
    <w:p>
      <w:pPr>
        <w:ind w:firstLine="480"/>
        <w:jc w:val="both"/>
      </w:pPr>
      <w:r>
        <w:rPr>
          <w:rFonts w:eastAsia="宋体"/>
          <w:rFonts w:ascii="Times New Roman" w:hAnsi="Times New Roman"/>
          <w:b w:val="0"/>
          <w:i w:val="0"/>
          <w:sz w:val="24"/>
        </w:rPr>
        <w:t>支气管肺泡灌洗液（BALF）细胞学检查是间质性肺疾病、过敏性肺炎、肺部恶性肿瘤等疾病诊断的重要辅助手段。BALF 细胞分类计数主要涉及嗜酸性粒细胞、中性粒细胞、淋巴细胞和巨噬细胞四种类型，其各自所占比例直接影响临床诊断决策。例如，嗜酸性粒细胞比例大于 25% 通常提示嗜酸性粒细胞性肺炎。</w:t>
      </w:r>
    </w:p>
    <w:p>
      <w:pPr>
        <w:ind w:firstLine="480"/>
        <w:jc w:val="both"/>
      </w:pPr>
      <w:r>
        <w:rPr>
          <w:rFonts w:eastAsia="宋体"/>
          <w:rFonts w:ascii="Times New Roman" w:hAnsi="Times New Roman"/>
          <w:b w:val="0"/>
          <w:i w:val="0"/>
          <w:sz w:val="24"/>
        </w:rPr>
        <w:t>当前临床工作中，BALF 细胞分类主要依赖病理医师人工显微镜下观察计数，每份样本通常需要 30 至 60 分钟，且不同医师之间存在一致性差异问题。随着深度学习技术的发展，基于卷积神经网络的自动化 BALF 细胞分类方法相继被提出，但现有方法普遍存在以下缺陷：</w:t>
      </w:r>
    </w:p>
    <w:p>
      <w:pPr>
        <w:ind w:firstLine="480"/>
        <w:jc w:val="both"/>
      </w:pPr>
      <w:r>
        <w:rPr>
          <w:rFonts w:eastAsia="宋体"/>
          <w:rFonts w:ascii="Times New Roman" w:hAnsi="Times New Roman"/>
          <w:b w:val="0"/>
          <w:i w:val="0"/>
          <w:sz w:val="24"/>
        </w:rPr>
        <w:t>（1）</w:t>
      </w:r>
      <w:r>
        <w:rPr>
          <w:rFonts w:eastAsia="宋体"/>
          <w:rFonts w:ascii="Times New Roman" w:hAnsi="Times New Roman"/>
          <w:b/>
          <w:i w:val="0"/>
          <w:sz w:val="24"/>
        </w:rPr>
        <w:t>依赖大规模标注数据</w:t>
      </w:r>
      <w:r>
        <w:rPr>
          <w:rFonts w:eastAsia="宋体"/>
          <w:rFonts w:ascii="Times New Roman" w:hAnsi="Times New Roman"/>
          <w:b w:val="0"/>
          <w:i w:val="0"/>
          <w:sz w:val="24"/>
        </w:rPr>
        <w:t>：现有方法通常需要数千至数万张带标注细胞图像才能训练出可用的分类器，而 BALF 标注数据的积累速度受限于临床样本采集周期及专家标注工作量，数据瓶颈显著。</w:t>
      </w:r>
    </w:p>
    <w:p>
      <w:pPr>
        <w:ind w:firstLine="480"/>
        <w:jc w:val="both"/>
      </w:pPr>
      <w:r>
        <w:rPr>
          <w:rFonts w:eastAsia="宋体"/>
          <w:rFonts w:ascii="Times New Roman" w:hAnsi="Times New Roman"/>
          <w:b w:val="0"/>
          <w:i w:val="0"/>
          <w:sz w:val="24"/>
        </w:rPr>
        <w:t>（2）</w:t>
      </w:r>
      <w:r>
        <w:rPr>
          <w:rFonts w:eastAsia="宋体"/>
          <w:rFonts w:ascii="Times New Roman" w:hAnsi="Times New Roman"/>
          <w:b/>
          <w:i w:val="0"/>
          <w:sz w:val="24"/>
        </w:rPr>
        <w:t>跨中心泛化性差</w:t>
      </w:r>
      <w:r>
        <w:rPr>
          <w:rFonts w:eastAsia="宋体"/>
          <w:rFonts w:ascii="Times New Roman" w:hAnsi="Times New Roman"/>
          <w:b w:val="0"/>
          <w:i w:val="0"/>
          <w:sz w:val="24"/>
        </w:rPr>
        <w:t>：在单一中心数据上训练的分类器迁移至其他中心时性能下降明显，需要针对新中心重新标注和训练。</w:t>
      </w:r>
    </w:p>
    <w:p>
      <w:pPr>
        <w:ind w:firstLine="480"/>
        <w:jc w:val="both"/>
      </w:pPr>
      <w:r>
        <w:rPr>
          <w:rFonts w:eastAsia="宋体"/>
          <w:rFonts w:ascii="Times New Roman" w:hAnsi="Times New Roman"/>
          <w:b w:val="0"/>
          <w:i w:val="0"/>
          <w:sz w:val="24"/>
        </w:rPr>
        <w:t>（3）</w:t>
      </w:r>
      <w:r>
        <w:rPr>
          <w:rFonts w:eastAsia="宋体"/>
          <w:rFonts w:ascii="Times New Roman" w:hAnsi="Times New Roman"/>
          <w:b/>
          <w:i w:val="0"/>
          <w:sz w:val="24"/>
        </w:rPr>
        <w:t>对稀有类别识别能力不足</w:t>
      </w:r>
      <w:r>
        <w:rPr>
          <w:rFonts w:eastAsia="宋体"/>
          <w:rFonts w:ascii="Times New Roman" w:hAnsi="Times New Roman"/>
          <w:b w:val="0"/>
          <w:i w:val="0"/>
          <w:sz w:val="24"/>
        </w:rPr>
        <w:t>：嗜酸性粒细胞等稀有但临床意义重大的细胞类别样本数极少，现有方法在此类细胞上的识别准确率普遍偏低。</w:t>
      </w:r>
    </w:p>
    <w:p>
      <w:pPr>
        <w:ind w:firstLine="480"/>
        <w:jc w:val="both"/>
      </w:pPr>
      <w:r>
        <w:rPr>
          <w:rFonts w:eastAsia="宋体"/>
          <w:rFonts w:ascii="Times New Roman" w:hAnsi="Times New Roman"/>
          <w:b w:val="0"/>
          <w:i w:val="0"/>
          <w:sz w:val="24"/>
        </w:rPr>
        <w:t>（4）</w:t>
      </w:r>
      <w:r>
        <w:rPr>
          <w:rFonts w:eastAsia="宋体"/>
          <w:rFonts w:ascii="Times New Roman" w:hAnsi="Times New Roman"/>
          <w:b/>
          <w:i w:val="0"/>
          <w:sz w:val="24"/>
        </w:rPr>
        <w:t>方法与实际工作流脱节</w:t>
      </w:r>
      <w:r>
        <w:rPr>
          <w:rFonts w:eastAsia="宋体"/>
          <w:rFonts w:ascii="Times New Roman" w:hAnsi="Times New Roman"/>
          <w:b w:val="0"/>
          <w:i w:val="0"/>
          <w:sz w:val="24"/>
        </w:rPr>
        <w:t>：现有研究多关注算法性能指标，缺乏将算法集成至病理医师可直接使用的标注工具中。</w:t>
      </w:r>
    </w:p>
    <w:p>
      <w:pPr>
        <w:ind w:firstLine="480"/>
        <w:jc w:val="both"/>
      </w:pPr>
      <w:r>
        <w:rPr>
          <w:rFonts w:eastAsia="宋体"/>
          <w:rFonts w:ascii="Times New Roman" w:hAnsi="Times New Roman"/>
          <w:b w:val="0"/>
          <w:i w:val="0"/>
          <w:sz w:val="24"/>
        </w:rPr>
        <w:t>近年来，预训练视觉基础模型（Vision Foundation Models, VFM）在通用图像理解任务上展现出强大的少样本学习能力。BiomedCLIP 是在 1500 万生物医学图文对上训练的 CLIP 模型，Phikon-v2 是在 46 万张病理切片上训练的 ViT-L 模型，DINOv2 是在自然图像上训练的通用自监督模型。上述基础模型在各自领域提供互补的视觉表征，但如何将其有效融合以解决 BALF 细胞分类中的少样本和高混淆问题，尚无成熟方案。</w:t>
      </w:r>
    </w:p>
    <w:p>
      <w:pPr>
        <w:ind w:firstLine="480"/>
        <w:jc w:val="both"/>
      </w:pPr>
      <w:r>
        <w:rPr>
          <w:rFonts w:eastAsia="宋体"/>
          <w:rFonts w:ascii="Times New Roman" w:hAnsi="Times New Roman"/>
          <w:b w:val="0"/>
          <w:i w:val="0"/>
          <w:sz w:val="24"/>
        </w:rPr>
        <w:t>此外，BALF 细胞分类中普遍存在视觉高度相似的类对混淆问题，尤其是嗜酸性粒细胞（双叶核、颗粒状胞质）与巨噬细胞（圆形核、泡沫状胞质）之间。在 10-shot 少样本条件下，传统原型网络、Tip-Adapter 等方法对所有类对一视同仁，未能针对性解决混淆类对的问题，导致稀有类识别率极低。</w:t>
      </w:r>
    </w:p>
    <w:p>
      <w:pPr>
        <w:ind w:firstLine="480"/>
        <w:jc w:val="both"/>
      </w:pPr>
      <w:r>
        <w:rPr>
          <w:rFonts w:eastAsia="宋体"/>
          <w:rFonts w:ascii="Times New Roman" w:hAnsi="Times New Roman"/>
          <w:b w:val="0"/>
          <w:i w:val="0"/>
          <w:sz w:val="24"/>
        </w:rPr>
        <w:t>针对上述技术问题，本领域迫切需要一种无需大量训练数据、具备跨中心泛化能力、可精准区分视觉相似细胞、且易于集成至临床工作流的 BALF 细胞分类方法。</w:t>
      </w:r>
    </w:p>
    <w:p>
      <w:pPr>
        <w:pStyle w:val="Heading3"/>
        <w:jc w:val="left"/>
      </w:pPr>
      <w:r>
        <w:rPr>
          <w:rFonts w:eastAsia="黑体"/>
          <w:rFonts w:ascii="Times New Roman" w:hAnsi="Times New Roman"/>
          <w:b/>
          <w:i w:val="0"/>
          <w:color w:val="000000"/>
          <w:sz w:val="26"/>
        </w:rPr>
        <w:t>3. 发明内容</w:t>
      </w:r>
    </w:p>
    <w:p>
      <w:pPr>
        <w:pStyle w:val="Heading4"/>
        <w:jc w:val="left"/>
      </w:pPr>
      <w:r>
        <w:rPr>
          <w:rFonts w:eastAsia="黑体"/>
          <w:rFonts w:ascii="Times New Roman" w:hAnsi="Times New Roman"/>
          <w:b/>
          <w:i w:val="0"/>
          <w:color w:val="000000"/>
          <w:sz w:val="24"/>
        </w:rPr>
        <w:t>3.1 本发明要解决的技术问题</w:t>
      </w:r>
    </w:p>
    <w:p>
      <w:pPr>
        <w:ind w:firstLine="480"/>
        <w:jc w:val="both"/>
      </w:pPr>
      <w:r>
        <w:rPr>
          <w:rFonts w:eastAsia="宋体"/>
          <w:rFonts w:ascii="Times New Roman" w:hAnsi="Times New Roman"/>
          <w:b w:val="0"/>
          <w:i w:val="0"/>
          <w:sz w:val="24"/>
        </w:rPr>
        <w:t>本发明要解决的技术问题是：现有 BALF 细胞分类方法依赖大规模训练标注、对稀有易混淆类别识别精度低、跨中心泛化性差、难以集成至临床标注工作流的问题。</w:t>
      </w:r>
    </w:p>
    <w:p>
      <w:pPr>
        <w:pStyle w:val="Heading4"/>
        <w:jc w:val="left"/>
      </w:pPr>
      <w:r>
        <w:rPr>
          <w:rFonts w:eastAsia="黑体"/>
          <w:rFonts w:ascii="Times New Roman" w:hAnsi="Times New Roman"/>
          <w:b/>
          <w:i w:val="0"/>
          <w:color w:val="000000"/>
          <w:sz w:val="24"/>
        </w:rPr>
        <w:t>3.2 技术方案</w:t>
      </w:r>
    </w:p>
    <w:p>
      <w:pPr>
        <w:ind w:firstLine="480"/>
        <w:jc w:val="both"/>
      </w:pPr>
      <w:r>
        <w:rPr>
          <w:rFonts w:eastAsia="宋体"/>
          <w:rFonts w:ascii="Times New Roman" w:hAnsi="Times New Roman"/>
          <w:b w:val="0"/>
          <w:i w:val="0"/>
          <w:sz w:val="24"/>
        </w:rPr>
        <w:t>为解决上述技术问题，本发明采用的技术方案如下：</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总体架构</w:t>
      </w:r>
      <w:r>
        <w:rPr>
          <w:rFonts w:eastAsia="宋体"/>
          <w:rFonts w:ascii="Times New Roman" w:hAnsi="Times New Roman"/>
          <w:b w:val="0"/>
          <w:i w:val="0"/>
          <w:sz w:val="24"/>
        </w:rPr>
        <w:t>：本发明提出一种端到端的训练自由（无需任何参数训练）BALF 细胞少样本分类方法，包括级联分割、多骨干特征提取、双视图混淆检测、自适应 Fisher 方向计算、原型定向扰动、多骨干加权 kNN 分类共六个关键步骤。</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S1：级联分割</w:t>
      </w:r>
      <w:r>
        <w:rPr>
          <w:rFonts w:eastAsia="宋体"/>
          <w:rFonts w:ascii="Times New Roman" w:hAnsi="Times New Roman"/>
          <w:b w:val="0"/>
          <w:i w:val="0"/>
          <w:sz w:val="24"/>
        </w:rPr>
        <w:t>。使用 Cellpose 对 BALF 图像进行自动细胞检测生成初始掩码和包围盒；再将包围盒作为提示送入 SAM3 生成精修掩码；通过 IoU 准则选择二者中更优的分割结果作为最终输出。</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S2：双尺度裁剪</w:t>
      </w:r>
      <w:r>
        <w:rPr>
          <w:rFonts w:eastAsia="宋体"/>
          <w:rFonts w:ascii="Times New Roman" w:hAnsi="Times New Roman"/>
          <w:b w:val="0"/>
          <w:i w:val="0"/>
          <w:sz w:val="24"/>
        </w:rPr>
        <w:t>。对每个细胞按 10% 和 50% 两种扩展比例生成细胞裁剪图和上下文裁剪图，分别编码细胞主体特征与邻域上下文信息。</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S3：多骨干特征提取</w:t>
      </w:r>
      <w:r>
        <w:rPr>
          <w:rFonts w:eastAsia="宋体"/>
          <w:rFonts w:ascii="Times New Roman" w:hAnsi="Times New Roman"/>
          <w:b w:val="0"/>
          <w:i w:val="0"/>
          <w:sz w:val="24"/>
        </w:rPr>
        <w:t>。并行调用 BiomedCLIP、Phikon-v2 和 DINOv2 三种基础模型分别提取 512 维、1024 维、384 维特征；同时从分割掩码直接计算 40 维形态学特征。</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S4：Support 集构建</w:t>
      </w:r>
      <w:r>
        <w:rPr>
          <w:rFonts w:eastAsia="宋体"/>
          <w:rFonts w:ascii="Times New Roman" w:hAnsi="Times New Roman"/>
          <w:b w:val="0"/>
          <w:i w:val="0"/>
          <w:sz w:val="24"/>
        </w:rPr>
        <w:t>。每类选取 N=10 张标注细胞图像作为 support，构成共 40 个样本的 support 集。</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S5：双视图留一法混淆检测</w:t>
      </w:r>
      <w:r>
        <w:rPr>
          <w:rFonts w:eastAsia="宋体"/>
          <w:rFonts w:ascii="Times New Roman" w:hAnsi="Times New Roman"/>
          <w:b w:val="0"/>
          <w:i w:val="0"/>
          <w:sz w:val="24"/>
        </w:rPr>
        <w:t>。在特征空间使用余弦相似度 kNN（k=5）、在形态学空间使用欧氏距离 kNN（k=5）分别计算每两类之间的混淆率。</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S6：并集混淆对筛选</w:t>
      </w:r>
      <w:r>
        <w:rPr>
          <w:rFonts w:eastAsia="宋体"/>
          <w:rFonts w:ascii="Times New Roman" w:hAnsi="Times New Roman"/>
          <w:b w:val="0"/>
          <w:i w:val="0"/>
          <w:sz w:val="24"/>
        </w:rPr>
        <w:t>。当两个空间中任一视图的混淆率超过阈值 τ=0.15 时，将类对加入混淆类对集合 P。</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S7：Ledoit-Wolf Fisher 方向计算</w:t>
      </w:r>
      <w:r>
        <w:rPr>
          <w:rFonts w:eastAsia="宋体"/>
          <w:rFonts w:ascii="Times New Roman" w:hAnsi="Times New Roman"/>
          <w:b w:val="0"/>
          <w:i w:val="0"/>
          <w:sz w:val="24"/>
        </w:rPr>
        <w:t>。对每个混淆对，使用 Ledoit-Wolf 解析最优收缩估计协方差，计算 Fisher 判别方向。</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S8：Support 原型定向解耦</w:t>
      </w:r>
      <w:r>
        <w:rPr>
          <w:rFonts w:eastAsia="宋体"/>
          <w:rFonts w:ascii="Times New Roman" w:hAnsi="Times New Roman"/>
          <w:b w:val="0"/>
          <w:i w:val="0"/>
          <w:sz w:val="24"/>
        </w:rPr>
        <w:t>。沿 Fisher 方向对混淆对的两类 support 特征施加幅度 α=0.10 的反向扰动，再归一化至单位球面。</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S9：多骨干加权 kNN 分类</w:t>
      </w:r>
      <w:r>
        <w:rPr>
          <w:rFonts w:eastAsia="宋体"/>
          <w:rFonts w:ascii="Times New Roman" w:hAnsi="Times New Roman"/>
          <w:b w:val="0"/>
          <w:i w:val="0"/>
          <w:sz w:val="24"/>
        </w:rPr>
        <w:t>。使用解耦后的 support 通过多骨干加权评分函数对查询细胞进行分类。</w:t>
      </w:r>
    </w:p>
    <w:p>
      <w:pPr>
        <w:pStyle w:val="Heading4"/>
        <w:jc w:val="left"/>
      </w:pPr>
      <w:r>
        <w:rPr>
          <w:rFonts w:eastAsia="黑体"/>
          <w:rFonts w:ascii="Times New Roman" w:hAnsi="Times New Roman"/>
          <w:b/>
          <w:i w:val="0"/>
          <w:color w:val="000000"/>
          <w:sz w:val="24"/>
        </w:rPr>
        <w:t>3.3 有益效果</w:t>
      </w:r>
    </w:p>
    <w:p>
      <w:pPr>
        <w:ind w:firstLine="480"/>
        <w:jc w:val="both"/>
      </w:pPr>
      <w:r>
        <w:rPr>
          <w:rFonts w:eastAsia="宋体"/>
          <w:rFonts w:ascii="Times New Roman" w:hAnsi="Times New Roman"/>
          <w:b w:val="0"/>
          <w:i w:val="0"/>
          <w:sz w:val="24"/>
        </w:rPr>
        <w:t>本发明相比现有技术具有如下有益效果：</w:t>
      </w:r>
    </w:p>
    <w:p>
      <w:pPr>
        <w:ind w:firstLine="480"/>
        <w:jc w:val="both"/>
      </w:pPr>
      <w:r>
        <w:rPr>
          <w:rFonts w:eastAsia="宋体"/>
          <w:rFonts w:ascii="Times New Roman" w:hAnsi="Times New Roman"/>
          <w:b w:val="0"/>
          <w:i w:val="0"/>
          <w:sz w:val="24"/>
        </w:rPr>
        <w:t>（1）</w:t>
      </w:r>
      <w:r>
        <w:rPr>
          <w:rFonts w:eastAsia="宋体"/>
          <w:rFonts w:ascii="Times New Roman" w:hAnsi="Times New Roman"/>
          <w:b/>
          <w:i w:val="0"/>
          <w:sz w:val="24"/>
        </w:rPr>
        <w:t>无需训练，零样本部署</w:t>
      </w:r>
      <w:r>
        <w:rPr>
          <w:rFonts w:eastAsia="宋体"/>
          <w:rFonts w:ascii="Times New Roman" w:hAnsi="Times New Roman"/>
          <w:b w:val="0"/>
          <w:i w:val="0"/>
          <w:sz w:val="24"/>
        </w:rPr>
        <w:t>：所有视觉基础模型参数保持冻结，无需任何梯度更新，新场景部署仅需 40 张标注细胞（每类 10 张），相比监督学习方法减少标注工作量 95% 以上。</w:t>
      </w:r>
    </w:p>
    <w:p>
      <w:pPr>
        <w:ind w:firstLine="480"/>
        <w:jc w:val="both"/>
      </w:pPr>
      <w:r>
        <w:rPr>
          <w:rFonts w:eastAsia="宋体"/>
          <w:rFonts w:ascii="Times New Roman" w:hAnsi="Times New Roman"/>
          <w:b w:val="0"/>
          <w:i w:val="0"/>
          <w:sz w:val="24"/>
        </w:rPr>
        <w:t>（2）</w:t>
      </w:r>
      <w:r>
        <w:rPr>
          <w:rFonts w:eastAsia="宋体"/>
          <w:rFonts w:ascii="Times New Roman" w:hAnsi="Times New Roman"/>
          <w:b/>
          <w:i w:val="0"/>
          <w:sz w:val="24"/>
        </w:rPr>
        <w:t>针对性解决混淆类对问题</w:t>
      </w:r>
      <w:r>
        <w:rPr>
          <w:rFonts w:eastAsia="宋体"/>
          <w:rFonts w:ascii="Times New Roman" w:hAnsi="Times New Roman"/>
          <w:b w:val="0"/>
          <w:i w:val="0"/>
          <w:sz w:val="24"/>
        </w:rPr>
        <w:t>：本发明创新性地提出双视图混淆检测机制，同时利用高维语义空间和低维形态学空间的互补信息识别易混淆类对，并通过 Ledoit-Wolf 自适应 Fisher 方向实现精准的原型解耦。在 BALF data2 数据集上，相比多骨干 kNN 基线实现宏 F1 提升 3.12 个百分点，嗜酸性粒细胞 F1 提升 5.53 个百分点。</w:t>
      </w:r>
    </w:p>
    <w:p>
      <w:pPr>
        <w:ind w:firstLine="480"/>
        <w:jc w:val="both"/>
      </w:pPr>
      <w:r>
        <w:rPr>
          <w:rFonts w:eastAsia="宋体"/>
          <w:rFonts w:ascii="Times New Roman" w:hAnsi="Times New Roman"/>
          <w:b w:val="0"/>
          <w:i w:val="0"/>
          <w:sz w:val="24"/>
        </w:rPr>
        <w:t>（3）</w:t>
      </w:r>
      <w:r>
        <w:rPr>
          <w:rFonts w:eastAsia="宋体"/>
          <w:rFonts w:ascii="Times New Roman" w:hAnsi="Times New Roman"/>
          <w:b/>
          <w:i w:val="0"/>
          <w:sz w:val="24"/>
        </w:rPr>
        <w:t>多骨干互补融合</w:t>
      </w:r>
      <w:r>
        <w:rPr>
          <w:rFonts w:eastAsia="宋体"/>
          <w:rFonts w:ascii="Times New Roman" w:hAnsi="Times New Roman"/>
          <w:b w:val="0"/>
          <w:i w:val="0"/>
          <w:sz w:val="24"/>
        </w:rPr>
        <w:t>：BiomedCLIP 提供生物医学语义信息，Phikon-v2 提供病理纹理信息，DINOv2 提供几何结构信息，形态学特征提供可解释的细胞几何和颜色描述；四种信息源通过加权融合，提升了分类决策的鲁棒性。</w:t>
      </w:r>
    </w:p>
    <w:p>
      <w:pPr>
        <w:ind w:firstLine="480"/>
        <w:jc w:val="both"/>
      </w:pPr>
      <w:r>
        <w:rPr>
          <w:rFonts w:eastAsia="宋体"/>
          <w:rFonts w:ascii="Times New Roman" w:hAnsi="Times New Roman"/>
          <w:b w:val="0"/>
          <w:i w:val="0"/>
          <w:sz w:val="24"/>
        </w:rPr>
        <w:t>（4）</w:t>
      </w:r>
      <w:r>
        <w:rPr>
          <w:rFonts w:eastAsia="宋体"/>
          <w:rFonts w:ascii="Times New Roman" w:hAnsi="Times New Roman"/>
          <w:b/>
          <w:i w:val="0"/>
          <w:sz w:val="24"/>
        </w:rPr>
        <w:t>易集成至临床工作流</w:t>
      </w:r>
      <w:r>
        <w:rPr>
          <w:rFonts w:eastAsia="宋体"/>
          <w:rFonts w:ascii="Times New Roman" w:hAnsi="Times New Roman"/>
          <w:b w:val="0"/>
          <w:i w:val="0"/>
          <w:sz w:val="24"/>
        </w:rPr>
        <w:t>：本发明可直接集成至基于 FastAPI 的 Web 标注工具，支持一键批量自动预标注和低置信度审核纠错，大幅降低细胞学实验室的人工标注负担。</w:t>
      </w:r>
    </w:p>
    <w:p>
      <w:pPr>
        <w:ind w:firstLine="480"/>
        <w:jc w:val="both"/>
      </w:pPr>
      <w:r>
        <w:rPr>
          <w:rFonts w:eastAsia="宋体"/>
          <w:rFonts w:ascii="Times New Roman" w:hAnsi="Times New Roman"/>
          <w:b w:val="0"/>
          <w:i w:val="0"/>
          <w:sz w:val="24"/>
        </w:rPr>
        <w:t>（5）</w:t>
      </w:r>
      <w:r>
        <w:rPr>
          <w:rFonts w:eastAsia="宋体"/>
          <w:rFonts w:ascii="Times New Roman" w:hAnsi="Times New Roman"/>
          <w:b/>
          <w:i w:val="0"/>
          <w:sz w:val="24"/>
        </w:rPr>
        <w:t>理论严谨</w:t>
      </w:r>
      <w:r>
        <w:rPr>
          <w:rFonts w:eastAsia="宋体"/>
          <w:rFonts w:ascii="Times New Roman" w:hAnsi="Times New Roman"/>
          <w:b w:val="0"/>
          <w:i w:val="0"/>
          <w:sz w:val="24"/>
        </w:rPr>
        <w:t>：Ledoit-Wolf 收缩估计在少样本高维场景下具有解析最优性，Fisher 判别方向基于严格的统计学理论，并集检测利用了"非混淆类对扰动量趋近于零"的渐近特性，整体方法具有可解释的数学依据。</w:t>
      </w:r>
    </w:p>
    <w:p>
      <w:pPr>
        <w:pStyle w:val="Heading3"/>
        <w:jc w:val="left"/>
      </w:pPr>
      <w:r>
        <w:rPr>
          <w:rFonts w:eastAsia="黑体"/>
          <w:rFonts w:ascii="Times New Roman" w:hAnsi="Times New Roman"/>
          <w:b/>
          <w:i w:val="0"/>
          <w:color w:val="000000"/>
          <w:sz w:val="26"/>
        </w:rPr>
        <w:t>4. 附图说明</w:t>
      </w:r>
    </w:p>
    <w:tbl>
      <w:tblPr>
        <w:tblStyle w:val="TableGrid"/>
        <w:tblW w:type="auto" w:w="0"/>
        <w:jc w:val="center"/>
        <w:tblLook w:firstColumn="1" w:firstRow="1" w:lastColumn="0" w:lastRow="0" w:noHBand="0" w:noVBand="1" w:val="04A0"/>
      </w:tblPr>
      <w:tblGrid>
        <w:gridCol w:w="8640"/>
      </w:tblGrid>
      <w:tr>
        <w:trPr>
          <w:trHeight w:val="2400" w:hRule="atLeast"/>
        </w:trPr>
        <w:tc>
          <w:tcPr>
            <w:tcW w:type="dxa" w:w="8640"/>
            <w:vAlign w:val="center"/>
          </w:tcPr>
          <w:p>
            <w:pPr>
              <w:jc w:val="center"/>
            </w:pPr>
            <w:r>
              <w:rPr>
                <w:rFonts w:eastAsia="宋体"/>
                <w:rFonts w:ascii="Times New Roman" w:hAnsi="Times New Roman"/>
                <w:b w:val="0"/>
                <w:i/>
                <w:color w:val="808080"/>
                <w:sz w:val="20"/>
              </w:rPr>
              <w:t>[ 此处预留：图 1 占位，插入后请删除本行 ]</w:t>
            </w:r>
          </w:p>
        </w:tc>
      </w:tr>
    </w:tbl>
    <w:p>
      <w:pPr>
        <w:jc w:val="center"/>
      </w:pPr>
      <w:r>
        <w:rPr>
          <w:rFonts w:eastAsia="宋体"/>
          <w:rFonts w:ascii="Times New Roman" w:hAnsi="Times New Roman"/>
          <w:b/>
          <w:i w:val="0"/>
          <w:sz w:val="21"/>
        </w:rPr>
        <w:t>图 1  本发明所述方法的整体流程图</w:t>
      </w:r>
    </w:p>
    <w:p/>
    <w:tbl>
      <w:tblPr>
        <w:tblStyle w:val="TableGrid"/>
        <w:tblW w:type="auto" w:w="0"/>
        <w:jc w:val="center"/>
        <w:tblLook w:firstColumn="1" w:firstRow="1" w:lastColumn="0" w:lastRow="0" w:noHBand="0" w:noVBand="1" w:val="04A0"/>
      </w:tblPr>
      <w:tblGrid>
        <w:gridCol w:w="8640"/>
      </w:tblGrid>
      <w:tr>
        <w:trPr>
          <w:trHeight w:val="2400" w:hRule="atLeast"/>
        </w:trPr>
        <w:tc>
          <w:tcPr>
            <w:tcW w:type="dxa" w:w="8640"/>
            <w:vAlign w:val="center"/>
          </w:tcPr>
          <w:p>
            <w:pPr>
              <w:jc w:val="center"/>
            </w:pPr>
            <w:r>
              <w:rPr>
                <w:rFonts w:eastAsia="宋体"/>
                <w:rFonts w:ascii="Times New Roman" w:hAnsi="Times New Roman"/>
                <w:b w:val="0"/>
                <w:i/>
                <w:color w:val="808080"/>
                <w:sz w:val="20"/>
              </w:rPr>
              <w:t>[ 此处预留：图 2 占位，插入后请删除本行 ]</w:t>
            </w:r>
          </w:p>
        </w:tc>
      </w:tr>
    </w:tbl>
    <w:p>
      <w:pPr>
        <w:jc w:val="center"/>
      </w:pPr>
      <w:r>
        <w:rPr>
          <w:rFonts w:eastAsia="宋体"/>
          <w:rFonts w:ascii="Times New Roman" w:hAnsi="Times New Roman"/>
          <w:b/>
          <w:i w:val="0"/>
          <w:sz w:val="21"/>
        </w:rPr>
        <w:t>图 2  本发明所述级联分割（Cellpose + SAM3）的示意图</w:t>
      </w:r>
    </w:p>
    <w:p/>
    <w:tbl>
      <w:tblPr>
        <w:tblStyle w:val="TableGrid"/>
        <w:tblW w:type="auto" w:w="0"/>
        <w:jc w:val="center"/>
        <w:tblLook w:firstColumn="1" w:firstRow="1" w:lastColumn="0" w:lastRow="0" w:noHBand="0" w:noVBand="1" w:val="04A0"/>
      </w:tblPr>
      <w:tblGrid>
        <w:gridCol w:w="8640"/>
      </w:tblGrid>
      <w:tr>
        <w:trPr>
          <w:trHeight w:val="2400" w:hRule="atLeast"/>
        </w:trPr>
        <w:tc>
          <w:tcPr>
            <w:tcW w:type="dxa" w:w="8640"/>
            <w:vAlign w:val="center"/>
          </w:tcPr>
          <w:p>
            <w:pPr>
              <w:jc w:val="center"/>
            </w:pPr>
            <w:r>
              <w:rPr>
                <w:rFonts w:eastAsia="宋体"/>
                <w:rFonts w:ascii="Times New Roman" w:hAnsi="Times New Roman"/>
                <w:b w:val="0"/>
                <w:i/>
                <w:color w:val="808080"/>
                <w:sz w:val="20"/>
              </w:rPr>
              <w:t>[ 此处预留：图 3 占位，插入后请删除本行 ]</w:t>
            </w:r>
          </w:p>
        </w:tc>
      </w:tr>
    </w:tbl>
    <w:p>
      <w:pPr>
        <w:jc w:val="center"/>
      </w:pPr>
      <w:r>
        <w:rPr>
          <w:rFonts w:eastAsia="宋体"/>
          <w:rFonts w:ascii="Times New Roman" w:hAnsi="Times New Roman"/>
          <w:b/>
          <w:i w:val="0"/>
          <w:sz w:val="21"/>
        </w:rPr>
        <w:t>图 3  本发明所述双尺度裁剪（细胞裁剪 + 上下文裁剪）的示意图</w:t>
      </w:r>
    </w:p>
    <w:p/>
    <w:tbl>
      <w:tblPr>
        <w:tblStyle w:val="TableGrid"/>
        <w:tblW w:type="auto" w:w="0"/>
        <w:jc w:val="center"/>
        <w:tblLook w:firstColumn="1" w:firstRow="1" w:lastColumn="0" w:lastRow="0" w:noHBand="0" w:noVBand="1" w:val="04A0"/>
      </w:tblPr>
      <w:tblGrid>
        <w:gridCol w:w="8640"/>
      </w:tblGrid>
      <w:tr>
        <w:trPr>
          <w:trHeight w:val="2400" w:hRule="atLeast"/>
        </w:trPr>
        <w:tc>
          <w:tcPr>
            <w:tcW w:type="dxa" w:w="8640"/>
            <w:vAlign w:val="center"/>
          </w:tcPr>
          <w:p>
            <w:pPr>
              <w:jc w:val="center"/>
            </w:pPr>
            <w:r>
              <w:rPr>
                <w:rFonts w:eastAsia="宋体"/>
                <w:rFonts w:ascii="Times New Roman" w:hAnsi="Times New Roman"/>
                <w:b w:val="0"/>
                <w:i/>
                <w:color w:val="808080"/>
                <w:sz w:val="20"/>
              </w:rPr>
              <w:t>[ 此处预留：图 4 占位，插入后请删除本行 ]</w:t>
            </w:r>
          </w:p>
        </w:tc>
      </w:tr>
    </w:tbl>
    <w:p>
      <w:pPr>
        <w:jc w:val="center"/>
      </w:pPr>
      <w:r>
        <w:rPr>
          <w:rFonts w:eastAsia="宋体"/>
          <w:rFonts w:ascii="Times New Roman" w:hAnsi="Times New Roman"/>
          <w:b/>
          <w:i w:val="0"/>
          <w:sz w:val="21"/>
        </w:rPr>
        <w:t>图 4  本发明所述多骨干特征提取的结构示意图</w:t>
      </w:r>
    </w:p>
    <w:p/>
    <w:tbl>
      <w:tblPr>
        <w:tblStyle w:val="TableGrid"/>
        <w:tblW w:type="auto" w:w="0"/>
        <w:jc w:val="center"/>
        <w:tblLook w:firstColumn="1" w:firstRow="1" w:lastColumn="0" w:lastRow="0" w:noHBand="0" w:noVBand="1" w:val="04A0"/>
      </w:tblPr>
      <w:tblGrid>
        <w:gridCol w:w="8640"/>
      </w:tblGrid>
      <w:tr>
        <w:trPr>
          <w:trHeight w:val="2400" w:hRule="atLeast"/>
        </w:trPr>
        <w:tc>
          <w:tcPr>
            <w:tcW w:type="dxa" w:w="8640"/>
            <w:vAlign w:val="center"/>
          </w:tcPr>
          <w:p>
            <w:pPr>
              <w:jc w:val="center"/>
            </w:pPr>
            <w:r>
              <w:rPr>
                <w:rFonts w:eastAsia="宋体"/>
                <w:rFonts w:ascii="Times New Roman" w:hAnsi="Times New Roman"/>
                <w:b w:val="0"/>
                <w:i/>
                <w:color w:val="808080"/>
                <w:sz w:val="20"/>
              </w:rPr>
              <w:t>[ 此处预留：图 5 占位，插入后请删除本行 ]</w:t>
            </w:r>
          </w:p>
        </w:tc>
      </w:tr>
    </w:tbl>
    <w:p>
      <w:pPr>
        <w:jc w:val="center"/>
      </w:pPr>
      <w:r>
        <w:rPr>
          <w:rFonts w:eastAsia="宋体"/>
          <w:rFonts w:ascii="Times New Roman" w:hAnsi="Times New Roman"/>
          <w:b/>
          <w:i w:val="0"/>
          <w:sz w:val="21"/>
        </w:rPr>
        <w:t>图 5  本发明所述双视图混淆检测原理示意图</w:t>
      </w:r>
    </w:p>
    <w:p/>
    <w:tbl>
      <w:tblPr>
        <w:tblStyle w:val="TableGrid"/>
        <w:tblW w:type="auto" w:w="0"/>
        <w:jc w:val="center"/>
        <w:tblLook w:firstColumn="1" w:firstRow="1" w:lastColumn="0" w:lastRow="0" w:noHBand="0" w:noVBand="1" w:val="04A0"/>
      </w:tblPr>
      <w:tblGrid>
        <w:gridCol w:w="8640"/>
      </w:tblGrid>
      <w:tr>
        <w:trPr>
          <w:trHeight w:val="2400" w:hRule="atLeast"/>
        </w:trPr>
        <w:tc>
          <w:tcPr>
            <w:tcW w:type="dxa" w:w="8640"/>
            <w:vAlign w:val="center"/>
          </w:tcPr>
          <w:p>
            <w:pPr>
              <w:jc w:val="center"/>
            </w:pPr>
            <w:r>
              <w:rPr>
                <w:rFonts w:eastAsia="宋体"/>
                <w:rFonts w:ascii="Times New Roman" w:hAnsi="Times New Roman"/>
                <w:b w:val="0"/>
                <w:i/>
                <w:color w:val="808080"/>
                <w:sz w:val="20"/>
              </w:rPr>
              <w:t>[ 此处预留：图 6 占位，插入后请删除本行 ]</w:t>
            </w:r>
          </w:p>
        </w:tc>
      </w:tr>
    </w:tbl>
    <w:p>
      <w:pPr>
        <w:jc w:val="center"/>
      </w:pPr>
      <w:r>
        <w:rPr>
          <w:rFonts w:eastAsia="宋体"/>
          <w:rFonts w:ascii="Times New Roman" w:hAnsi="Times New Roman"/>
          <w:b/>
          <w:i w:val="0"/>
          <w:sz w:val="21"/>
        </w:rPr>
        <w:t>图 6  本发明所述 Ledoit-Wolf Fisher 方向计算流程图</w:t>
      </w:r>
    </w:p>
    <w:p/>
    <w:tbl>
      <w:tblPr>
        <w:tblStyle w:val="TableGrid"/>
        <w:tblW w:type="auto" w:w="0"/>
        <w:jc w:val="center"/>
        <w:tblLook w:firstColumn="1" w:firstRow="1" w:lastColumn="0" w:lastRow="0" w:noHBand="0" w:noVBand="1" w:val="04A0"/>
      </w:tblPr>
      <w:tblGrid>
        <w:gridCol w:w="8640"/>
      </w:tblGrid>
      <w:tr>
        <w:trPr>
          <w:trHeight w:val="2400" w:hRule="atLeast"/>
        </w:trPr>
        <w:tc>
          <w:tcPr>
            <w:tcW w:type="dxa" w:w="8640"/>
            <w:vAlign w:val="center"/>
          </w:tcPr>
          <w:p>
            <w:pPr>
              <w:jc w:val="center"/>
            </w:pPr>
            <w:r>
              <w:rPr>
                <w:rFonts w:eastAsia="宋体"/>
                <w:rFonts w:ascii="Times New Roman" w:hAnsi="Times New Roman"/>
                <w:b w:val="0"/>
                <w:i/>
                <w:color w:val="808080"/>
                <w:sz w:val="20"/>
              </w:rPr>
              <w:t>[ 此处预留：图 7 占位，插入后请删除本行 ]</w:t>
            </w:r>
          </w:p>
        </w:tc>
      </w:tr>
    </w:tbl>
    <w:p>
      <w:pPr>
        <w:jc w:val="center"/>
      </w:pPr>
      <w:r>
        <w:rPr>
          <w:rFonts w:eastAsia="宋体"/>
          <w:rFonts w:ascii="Times New Roman" w:hAnsi="Times New Roman"/>
          <w:b/>
          <w:i w:val="0"/>
          <w:sz w:val="21"/>
        </w:rPr>
        <w:t>图 7  本发明所述 support 原型定向解耦过程的几何示意图</w:t>
      </w:r>
    </w:p>
    <w:p/>
    <w:tbl>
      <w:tblPr>
        <w:tblStyle w:val="TableGrid"/>
        <w:tblW w:type="auto" w:w="0"/>
        <w:jc w:val="center"/>
        <w:tblLook w:firstColumn="1" w:firstRow="1" w:lastColumn="0" w:lastRow="0" w:noHBand="0" w:noVBand="1" w:val="04A0"/>
      </w:tblPr>
      <w:tblGrid>
        <w:gridCol w:w="8640"/>
      </w:tblGrid>
      <w:tr>
        <w:trPr>
          <w:trHeight w:val="2400" w:hRule="atLeast"/>
        </w:trPr>
        <w:tc>
          <w:tcPr>
            <w:tcW w:type="dxa" w:w="8640"/>
            <w:vAlign w:val="center"/>
          </w:tcPr>
          <w:p>
            <w:pPr>
              <w:jc w:val="center"/>
            </w:pPr>
            <w:r>
              <w:rPr>
                <w:rFonts w:eastAsia="宋体"/>
                <w:rFonts w:ascii="Times New Roman" w:hAnsi="Times New Roman"/>
                <w:b w:val="0"/>
                <w:i/>
                <w:color w:val="808080"/>
                <w:sz w:val="20"/>
              </w:rPr>
              <w:t>[ 此处预留：图 8 占位，插入后请删除本行 ]</w:t>
            </w:r>
          </w:p>
        </w:tc>
      </w:tr>
    </w:tbl>
    <w:p>
      <w:pPr>
        <w:jc w:val="center"/>
      </w:pPr>
      <w:r>
        <w:rPr>
          <w:rFonts w:eastAsia="宋体"/>
          <w:rFonts w:ascii="Times New Roman" w:hAnsi="Times New Roman"/>
          <w:b/>
          <w:i w:val="0"/>
          <w:sz w:val="21"/>
        </w:rPr>
        <w:t>图 8  本发明所述 BALF-Analyzer 标注系统的用户界面示意图</w:t>
      </w:r>
    </w:p>
    <w:p/>
    <w:tbl>
      <w:tblPr>
        <w:tblStyle w:val="TableGrid"/>
        <w:tblW w:type="auto" w:w="0"/>
        <w:jc w:val="center"/>
        <w:tblLook w:firstColumn="1" w:firstRow="1" w:lastColumn="0" w:lastRow="0" w:noHBand="0" w:noVBand="1" w:val="04A0"/>
      </w:tblPr>
      <w:tblGrid>
        <w:gridCol w:w="8640"/>
      </w:tblGrid>
      <w:tr>
        <w:trPr>
          <w:trHeight w:val="2400" w:hRule="atLeast"/>
        </w:trPr>
        <w:tc>
          <w:tcPr>
            <w:tcW w:type="dxa" w:w="8640"/>
            <w:vAlign w:val="center"/>
          </w:tcPr>
          <w:p>
            <w:pPr>
              <w:jc w:val="center"/>
            </w:pPr>
            <w:r>
              <w:rPr>
                <w:rFonts w:eastAsia="宋体"/>
                <w:rFonts w:ascii="Times New Roman" w:hAnsi="Times New Roman"/>
                <w:b w:val="0"/>
                <w:i/>
                <w:color w:val="808080"/>
                <w:sz w:val="20"/>
              </w:rPr>
              <w:t>[ 此处预留：图 9 占位，插入后请删除本行 ]</w:t>
            </w:r>
          </w:p>
        </w:tc>
      </w:tr>
    </w:tbl>
    <w:p>
      <w:pPr>
        <w:jc w:val="center"/>
      </w:pPr>
      <w:r>
        <w:rPr>
          <w:rFonts w:eastAsia="宋体"/>
          <w:rFonts w:ascii="Times New Roman" w:hAnsi="Times New Roman"/>
          <w:b/>
          <w:i w:val="0"/>
          <w:sz w:val="21"/>
        </w:rPr>
        <w:t>图 9  本发明在 BALF data2 数据集上的实验结果对比图</w:t>
      </w:r>
    </w:p>
    <w:p/>
    <w:p>
      <w:pPr>
        <w:pStyle w:val="Heading3"/>
        <w:jc w:val="left"/>
      </w:pPr>
      <w:r>
        <w:rPr>
          <w:rFonts w:eastAsia="黑体"/>
          <w:rFonts w:ascii="Times New Roman" w:hAnsi="Times New Roman"/>
          <w:b/>
          <w:i w:val="0"/>
          <w:color w:val="000000"/>
          <w:sz w:val="26"/>
        </w:rPr>
        <w:t>5. 具体实施方式</w:t>
      </w:r>
    </w:p>
    <w:p>
      <w:pPr>
        <w:ind w:firstLine="480"/>
        <w:jc w:val="both"/>
      </w:pPr>
      <w:r>
        <w:rPr>
          <w:rFonts w:eastAsia="宋体"/>
          <w:rFonts w:ascii="Times New Roman" w:hAnsi="Times New Roman"/>
          <w:b w:val="0"/>
          <w:i w:val="0"/>
          <w:sz w:val="24"/>
        </w:rPr>
        <w:t>以下结合附图和实施例对本发明的具体实施方式进行详细说明。</w:t>
      </w:r>
    </w:p>
    <w:p>
      <w:pPr>
        <w:pStyle w:val="Heading4"/>
        <w:jc w:val="left"/>
      </w:pPr>
      <w:r>
        <w:rPr>
          <w:rFonts w:eastAsia="黑体"/>
          <w:rFonts w:ascii="Times New Roman" w:hAnsi="Times New Roman"/>
          <w:b/>
          <w:i w:val="0"/>
          <w:color w:val="000000"/>
          <w:sz w:val="24"/>
        </w:rPr>
        <w:t>实施例 1：完整方法流程</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1</w:t>
      </w:r>
      <w:r>
        <w:rPr>
          <w:rFonts w:eastAsia="宋体"/>
          <w:rFonts w:ascii="Times New Roman" w:hAnsi="Times New Roman"/>
          <w:b w:val="0"/>
          <w:i w:val="0"/>
          <w:sz w:val="24"/>
        </w:rPr>
        <w:t>：获取输入数据</w:t>
      </w:r>
    </w:p>
    <w:p>
      <w:pPr>
        <w:ind w:firstLine="480"/>
        <w:jc w:val="both"/>
      </w:pPr>
      <w:r>
        <w:rPr>
          <w:rFonts w:eastAsia="宋体"/>
          <w:rFonts w:ascii="Times New Roman" w:hAnsi="Times New Roman"/>
          <w:b w:val="0"/>
          <w:i w:val="0"/>
          <w:sz w:val="24"/>
        </w:rPr>
        <w:t>操作者通过 BALF-Analyzer Web 界面上传一份 BALF 显微镜视野图像（分辨率建议不低于 1024 × 1024 像素），同时选择待分类的四种细胞类型：嗜酸性粒细胞（Eos）、中性粒细胞（Neu）、淋巴细胞（Lym）和巨噬细胞（Mac）。</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2</w:t>
      </w:r>
      <w:r>
        <w:rPr>
          <w:rFonts w:eastAsia="宋体"/>
          <w:rFonts w:ascii="Times New Roman" w:hAnsi="Times New Roman"/>
          <w:b w:val="0"/>
          <w:i w:val="0"/>
          <w:sz w:val="24"/>
        </w:rPr>
        <w:t>：执行级联分割（对应权利要求 1 的 S1）</w:t>
      </w:r>
    </w:p>
    <w:p>
      <w:pPr>
        <w:ind w:firstLine="480"/>
        <w:jc w:val="both"/>
      </w:pPr>
      <w:r>
        <w:rPr>
          <w:rFonts w:eastAsia="宋体"/>
          <w:rFonts w:ascii="Times New Roman" w:hAnsi="Times New Roman"/>
          <w:b w:val="0"/>
          <w:i w:val="0"/>
          <w:sz w:val="24"/>
        </w:rPr>
        <w:t xml:space="preserve">使用 Cellpose 4.1.1 的 </w:t>
      </w:r>
      <w:r>
        <w:rPr>
          <w:rFonts w:ascii="Courier New" w:hAnsi="Courier New"/>
          <w:sz w:val="21"/>
        </w:rPr>
        <w:t>cyto3</w:t>
      </w:r>
      <w:r>
        <w:rPr>
          <w:rFonts w:eastAsia="宋体"/>
          <w:rFonts w:ascii="Times New Roman" w:hAnsi="Times New Roman"/>
          <w:b w:val="0"/>
          <w:i w:val="0"/>
          <w:sz w:val="24"/>
        </w:rPr>
        <w:t xml:space="preserve"> 预训练权重，以 </w:t>
      </w:r>
      <w:r>
        <w:rPr>
          <w:rFonts w:ascii="Courier New" w:hAnsi="Courier New"/>
          <w:sz w:val="21"/>
        </w:rPr>
        <w:t>diameter=None</w:t>
      </w:r>
      <w:r>
        <w:rPr>
          <w:rFonts w:eastAsia="宋体"/>
          <w:rFonts w:ascii="Times New Roman" w:hAnsi="Times New Roman"/>
          <w:b w:val="0"/>
          <w:i w:val="0"/>
          <w:sz w:val="24"/>
        </w:rPr>
        <w:t xml:space="preserve">（自动估计细胞直径）和 </w:t>
      </w:r>
      <w:r>
        <w:rPr>
          <w:rFonts w:ascii="Courier New" w:hAnsi="Courier New"/>
          <w:sz w:val="21"/>
        </w:rPr>
        <w:t>cellprob_threshold=0.0</w:t>
      </w:r>
      <w:r>
        <w:rPr>
          <w:rFonts w:eastAsia="宋体"/>
          <w:rFonts w:ascii="Times New Roman" w:hAnsi="Times New Roman"/>
          <w:b w:val="0"/>
          <w:i w:val="0"/>
          <w:sz w:val="24"/>
        </w:rPr>
        <w:t xml:space="preserve"> 对输入图像进行分割，得到每个细胞的初始掩码 M_init 和包围盒 B。</w:t>
      </w:r>
    </w:p>
    <w:p>
      <w:pPr>
        <w:ind w:firstLine="480"/>
        <w:jc w:val="both"/>
      </w:pPr>
      <w:r>
        <w:rPr>
          <w:rFonts w:eastAsia="宋体"/>
          <w:rFonts w:ascii="Times New Roman" w:hAnsi="Times New Roman"/>
          <w:b w:val="0"/>
          <w:i w:val="0"/>
          <w:sz w:val="24"/>
        </w:rPr>
        <w:t>对每个包围盒 B_i，将其作为稀疏提示输入 SAM3（</w:t>
      </w:r>
      <w:r>
        <w:rPr>
          <w:rFonts w:ascii="Courier New" w:hAnsi="Courier New"/>
          <w:sz w:val="21"/>
        </w:rPr>
        <w:t>sam3_h</w:t>
      </w:r>
      <w:r>
        <w:rPr>
          <w:rFonts w:eastAsia="宋体"/>
          <w:rFonts w:ascii="Times New Roman" w:hAnsi="Times New Roman"/>
          <w:b w:val="0"/>
          <w:i w:val="0"/>
          <w:sz w:val="24"/>
        </w:rPr>
        <w:t xml:space="preserve"> 权重文件，约 34 亿参数），获得精修掩码 M_sam3_i。计算 M_sam3_i 与 M_init_i 的交并比 IoU：</w:t>
      </w:r>
    </w:p>
    <w:p>
      <w:pPr>
        <w:jc w:val="center"/>
      </w:pPr>
      <w:r>
        <w:rPr>
          <w:rFonts w:eastAsia="宋体"/>
          <w:rFonts w:ascii="Cambria Math" w:hAnsi="Cambria Math"/>
          <w:i/>
          <w:sz w:val="22"/>
        </w:rPr>
        <w:t>IoU = |M_sam3_i ∩ M_init_i| / |M_sam3_i ∪ M_init_i|</w:t>
      </w:r>
    </w:p>
    <w:p>
      <w:pPr>
        <w:ind w:firstLine="480"/>
        <w:jc w:val="both"/>
      </w:pPr>
      <w:r>
        <w:rPr>
          <w:rFonts w:eastAsia="宋体"/>
          <w:rFonts w:ascii="Times New Roman" w:hAnsi="Times New Roman"/>
          <w:b w:val="0"/>
          <w:i w:val="0"/>
          <w:sz w:val="24"/>
        </w:rPr>
        <w:t>当 IoU &gt; 0.5 时，采用 M_sam3_i 作为最终掩码；否则保留 M_init_i。</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3</w:t>
      </w:r>
      <w:r>
        <w:rPr>
          <w:rFonts w:eastAsia="宋体"/>
          <w:rFonts w:ascii="Times New Roman" w:hAnsi="Times New Roman"/>
          <w:b w:val="0"/>
          <w:i w:val="0"/>
          <w:sz w:val="24"/>
        </w:rPr>
        <w:t>：执行双尺度裁剪（对应 S2）</w:t>
      </w:r>
    </w:p>
    <w:p>
      <w:pPr>
        <w:ind w:firstLine="480"/>
        <w:jc w:val="both"/>
      </w:pPr>
      <w:r>
        <w:rPr>
          <w:rFonts w:eastAsia="宋体"/>
          <w:rFonts w:ascii="Times New Roman" w:hAnsi="Times New Roman"/>
          <w:b w:val="0"/>
          <w:i w:val="0"/>
          <w:sz w:val="24"/>
        </w:rPr>
        <w:t>对每个细胞实例，基于其包围盒 (x_min, y_min, x_max, y_max) 计算：</w:t>
      </w:r>
    </w:p>
    <w:p>
      <w:pPr>
        <w:ind w:firstLine="480"/>
        <w:jc w:val="both"/>
      </w:pPr>
      <w:r>
        <w:rPr>
          <w:rFonts w:eastAsia="宋体"/>
          <w:rFonts w:ascii="Times New Roman" w:hAnsi="Times New Roman"/>
          <w:b w:val="0"/>
          <w:i w:val="0"/>
          <w:sz w:val="24"/>
        </w:rPr>
        <w:t>细胞裁剪：将包围盒各边向外扩展 10%，裁剪原图后缩放至 224 × 224 像素；</w:t>
      </w:r>
    </w:p>
    <w:p>
      <w:pPr>
        <w:ind w:firstLine="480"/>
        <w:jc w:val="both"/>
      </w:pPr>
      <w:r>
        <w:rPr>
          <w:rFonts w:eastAsia="宋体"/>
          <w:rFonts w:ascii="Times New Roman" w:hAnsi="Times New Roman"/>
          <w:b w:val="0"/>
          <w:i w:val="0"/>
          <w:sz w:val="24"/>
        </w:rPr>
        <w:t>上下文裁剪：将包围盒各边向外扩展 50%，裁剪原图后缩放至 224 × 224 像素。</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4</w:t>
      </w:r>
      <w:r>
        <w:rPr>
          <w:rFonts w:eastAsia="宋体"/>
          <w:rFonts w:ascii="Times New Roman" w:hAnsi="Times New Roman"/>
          <w:b w:val="0"/>
          <w:i w:val="0"/>
          <w:sz w:val="24"/>
        </w:rPr>
        <w:t>：执行多骨干特征提取（对应 S3）</w:t>
      </w:r>
    </w:p>
    <w:p>
      <w:pPr>
        <w:ind w:firstLine="480"/>
        <w:jc w:val="both"/>
      </w:pPr>
      <w:r>
        <w:rPr>
          <w:rFonts w:eastAsia="宋体"/>
          <w:rFonts w:ascii="Times New Roman" w:hAnsi="Times New Roman"/>
          <w:b w:val="0"/>
          <w:i w:val="0"/>
          <w:sz w:val="24"/>
        </w:rPr>
        <w:t>将两种裁剪图分别输入三个视觉基础模型：</w:t>
      </w:r>
    </w:p>
    <w:p>
      <w:pPr>
        <w:ind w:firstLine="480"/>
        <w:jc w:val="both"/>
      </w:pPr>
      <w:r>
        <w:rPr>
          <w:rFonts w:eastAsia="宋体"/>
          <w:rFonts w:ascii="Times New Roman" w:hAnsi="Times New Roman"/>
          <w:b w:val="0"/>
          <w:i w:val="0"/>
          <w:sz w:val="24"/>
        </w:rPr>
        <w:t>f_BC_cell = BiomedCLIP(I_cell)，输出维度 512；</w:t>
      </w:r>
    </w:p>
    <w:p>
      <w:pPr>
        <w:ind w:firstLine="480"/>
        <w:jc w:val="both"/>
      </w:pPr>
      <w:r>
        <w:rPr>
          <w:rFonts w:eastAsia="宋体"/>
          <w:rFonts w:ascii="Times New Roman" w:hAnsi="Times New Roman"/>
          <w:b w:val="0"/>
          <w:i w:val="0"/>
          <w:sz w:val="24"/>
        </w:rPr>
        <w:t>f_BC_ctx  = BiomedCLIP(I_context)，输出维度 512；</w:t>
      </w:r>
    </w:p>
    <w:p>
      <w:pPr>
        <w:ind w:firstLine="480"/>
        <w:jc w:val="both"/>
      </w:pPr>
      <w:r>
        <w:rPr>
          <w:rFonts w:eastAsia="宋体"/>
          <w:rFonts w:ascii="Times New Roman" w:hAnsi="Times New Roman"/>
          <w:b w:val="0"/>
          <w:i w:val="0"/>
          <w:sz w:val="24"/>
        </w:rPr>
        <w:t>f_BC      = 0.9 × f_BC_cell + 0.1 × f_BC_ctx；</w:t>
      </w:r>
    </w:p>
    <w:p>
      <w:pPr>
        <w:ind w:firstLine="480"/>
        <w:jc w:val="both"/>
      </w:pPr>
      <w:r>
        <w:rPr>
          <w:rFonts w:eastAsia="宋体"/>
          <w:rFonts w:ascii="Times New Roman" w:hAnsi="Times New Roman"/>
          <w:b w:val="0"/>
          <w:i w:val="0"/>
          <w:sz w:val="24"/>
        </w:rPr>
        <w:t>Phikon-v2 和 DINOv2-Small 按同样方式计算，得到 f_PH（1024 维）和 f_DN（384 维）。</w:t>
      </w:r>
    </w:p>
    <w:p>
      <w:pPr>
        <w:ind w:firstLine="480"/>
        <w:jc w:val="both"/>
      </w:pPr>
      <w:r>
        <w:rPr>
          <w:rFonts w:eastAsia="宋体"/>
          <w:rFonts w:ascii="Times New Roman" w:hAnsi="Times New Roman"/>
          <w:b w:val="0"/>
          <w:i w:val="0"/>
          <w:sz w:val="24"/>
        </w:rPr>
        <w:t>基于分割掩码 M，计算 40 维形态学特征 m = [area, perimeter, circularity, axis_major, axis_minor, eccentricity, solidity, mean_R, std_R, mean_G, std_G, mean_B, std_B, mean_H, std_H, mean_S, std_S, mean_V, std_V, granularity, ...]。</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5</w:t>
      </w:r>
      <w:r>
        <w:rPr>
          <w:rFonts w:eastAsia="宋体"/>
          <w:rFonts w:ascii="Times New Roman" w:hAnsi="Times New Roman"/>
          <w:b w:val="0"/>
          <w:i w:val="0"/>
          <w:sz w:val="24"/>
        </w:rPr>
        <w:t>：构建 Support 集（对应 S4）</w:t>
      </w:r>
    </w:p>
    <w:p>
      <w:pPr>
        <w:ind w:firstLine="480"/>
        <w:jc w:val="both"/>
      </w:pPr>
      <w:r>
        <w:rPr>
          <w:rFonts w:eastAsia="宋体"/>
          <w:rFonts w:ascii="Times New Roman" w:hAnsi="Times New Roman"/>
          <w:b w:val="0"/>
          <w:i w:val="0"/>
          <w:sz w:val="24"/>
        </w:rPr>
        <w:t>操作者在 Web 界面上为每类标注 10 张代表性细胞，共 40 张 support 样本。对每张 support 执行步骤 2 至 4，存储其特征 (f_BC, f_PH, f_DN, m) 及类别标签 c ∈ {1, 2, 3, 4}。</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6</w:t>
      </w:r>
      <w:r>
        <w:rPr>
          <w:rFonts w:eastAsia="宋体"/>
          <w:rFonts w:ascii="Times New Roman" w:hAnsi="Times New Roman"/>
          <w:b w:val="0"/>
          <w:i w:val="0"/>
          <w:sz w:val="24"/>
        </w:rPr>
        <w:t>：计算双视图混淆率（对应 S5）</w:t>
      </w:r>
    </w:p>
    <w:p>
      <w:pPr>
        <w:ind w:firstLine="480"/>
        <w:jc w:val="both"/>
      </w:pPr>
      <w:r>
        <w:rPr>
          <w:rFonts w:eastAsia="宋体"/>
          <w:rFonts w:ascii="Times New Roman" w:hAnsi="Times New Roman"/>
          <w:b w:val="0"/>
          <w:i w:val="0"/>
          <w:sz w:val="24"/>
        </w:rPr>
        <w:t>在特征空间：对 support 集中的每个样本 x，临时从集合中移除，使用余弦相似度计算其与剩余样本的 BiomedCLIP 特征相似度，取 k=5 近邻多数投票得到预测类别 ŷ_LOO(x)。</w:t>
      </w:r>
    </w:p>
    <w:p>
      <w:pPr>
        <w:ind w:firstLine="480"/>
        <w:jc w:val="both"/>
      </w:pPr>
      <w:r>
        <w:rPr>
          <w:rFonts w:eastAsia="宋体"/>
          <w:rFonts w:ascii="Times New Roman" w:hAnsi="Times New Roman"/>
          <w:b w:val="0"/>
          <w:i w:val="0"/>
          <w:sz w:val="24"/>
        </w:rPr>
        <w:t>计算类对 (i, j) 的特征混淆率：</w:t>
      </w:r>
    </w:p>
    <w:p>
      <w:pPr>
        <w:jc w:val="center"/>
      </w:pPr>
      <w:r>
        <w:rPr>
          <w:rFonts w:eastAsia="宋体"/>
          <w:rFonts w:ascii="Cambria Math" w:hAnsi="Cambria Math"/>
          <w:i/>
          <w:sz w:val="22"/>
        </w:rPr>
        <w:t>R_feat(i, j) = (1/|S_i|) × #{x ∈ S_i : ŷ_LOO(x) = j} + (1/|S_j|) × #{x ∈ S_j : ŷ_LOO(x) = i}</w:t>
      </w:r>
    </w:p>
    <w:p>
      <w:pPr>
        <w:ind w:firstLine="480"/>
        <w:jc w:val="both"/>
      </w:pPr>
      <w:r>
        <w:rPr>
          <w:rFonts w:eastAsia="宋体"/>
          <w:rFonts w:ascii="Times New Roman" w:hAnsi="Times New Roman"/>
          <w:b w:val="0"/>
          <w:i w:val="0"/>
          <w:sz w:val="24"/>
        </w:rPr>
        <w:t>在形态学空间：对 40 维形态学特征进行 z-score 归一化（减去训练集均值，除以训练集标准差），使用欧氏距离的 kNN（k=5）按同样公式计算 R_morph(i, j)。</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7</w:t>
      </w:r>
      <w:r>
        <w:rPr>
          <w:rFonts w:eastAsia="宋体"/>
          <w:rFonts w:ascii="Times New Roman" w:hAnsi="Times New Roman"/>
          <w:b w:val="0"/>
          <w:i w:val="0"/>
          <w:sz w:val="24"/>
        </w:rPr>
        <w:t>：筛选混淆类对（对应 S6）</w:t>
      </w:r>
    </w:p>
    <w:p>
      <w:pPr>
        <w:ind w:firstLine="480"/>
        <w:jc w:val="both"/>
      </w:pPr>
      <w:r>
        <w:rPr>
          <w:rFonts w:eastAsia="宋体"/>
          <w:rFonts w:ascii="Times New Roman" w:hAnsi="Times New Roman"/>
          <w:b w:val="0"/>
          <w:i w:val="0"/>
          <w:sz w:val="24"/>
        </w:rPr>
        <w:t>设阈值 τ = 0.15，初始化混淆对集合 P = ∅。对所有类对 (i, j)（i &lt; j）：</w:t>
      </w:r>
    </w:p>
    <w:p>
      <w:pPr>
        <w:ind w:firstLine="480"/>
        <w:jc w:val="both"/>
      </w:pPr>
      <w:r>
        <w:rPr>
          <w:rFonts w:eastAsia="宋体"/>
          <w:rFonts w:ascii="Times New Roman" w:hAnsi="Times New Roman"/>
          <w:b w:val="0"/>
          <w:i w:val="0"/>
          <w:sz w:val="24"/>
        </w:rPr>
        <w:t>若 R_feat(i, j) ≥ τ 或 R_morph(i, j) ≥ τ，则 P ← P ∪ {(i, j)}。</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8</w:t>
      </w:r>
      <w:r>
        <w:rPr>
          <w:rFonts w:eastAsia="宋体"/>
          <w:rFonts w:ascii="Times New Roman" w:hAnsi="Times New Roman"/>
          <w:b w:val="0"/>
          <w:i w:val="0"/>
          <w:sz w:val="24"/>
        </w:rPr>
        <w:t>：计算 Ledoit-Wolf Fisher 方向（对应 S7）</w:t>
      </w:r>
    </w:p>
    <w:p>
      <w:pPr>
        <w:ind w:firstLine="480"/>
        <w:jc w:val="both"/>
      </w:pPr>
      <w:r>
        <w:rPr>
          <w:rFonts w:eastAsia="宋体"/>
          <w:rFonts w:ascii="Times New Roman" w:hAnsi="Times New Roman"/>
          <w:b w:val="0"/>
          <w:i w:val="0"/>
          <w:sz w:val="24"/>
        </w:rPr>
        <w:t>对每个混淆对 (i, j) ∈ P 和每个骨干 b ∈ {BC, PH, DN}：</w:t>
      </w:r>
    </w:p>
    <w:p>
      <w:pPr>
        <w:ind w:firstLine="480"/>
        <w:jc w:val="both"/>
      </w:pPr>
      <w:r>
        <w:rPr>
          <w:rFonts w:eastAsia="宋体"/>
          <w:rFonts w:ascii="Times New Roman" w:hAnsi="Times New Roman"/>
          <w:b w:val="0"/>
          <w:i w:val="0"/>
          <w:sz w:val="24"/>
        </w:rPr>
        <w:t>（a）计算类 c（c ∈ {i, j}）的样本均值和样本协方差：</w:t>
      </w:r>
    </w:p>
    <w:p>
      <w:pPr>
        <w:jc w:val="center"/>
      </w:pPr>
      <w:r>
        <w:rPr>
          <w:rFonts w:eastAsia="宋体"/>
          <w:rFonts w:ascii="Cambria Math" w:hAnsi="Cambria Math"/>
          <w:i/>
          <w:sz w:val="22"/>
        </w:rPr>
        <w:t>μ_c = (1/N) × Σ_{x ∈ S_c} f^b(x)</w:t>
      </w:r>
    </w:p>
    <w:p>
      <w:pPr>
        <w:jc w:val="center"/>
      </w:pPr>
      <w:r>
        <w:rPr>
          <w:rFonts w:eastAsia="宋体"/>
          <w:rFonts w:ascii="Cambria Math" w:hAnsi="Cambria Math"/>
          <w:i/>
          <w:sz w:val="22"/>
        </w:rPr>
        <w:t>S_c = (1/(N−1)) × Σ_{x ∈ S_c} (f^b(x) − μ_c)(f^b(x) − μ_c)^T</w:t>
      </w:r>
    </w:p>
    <w:p>
      <w:pPr>
        <w:ind w:firstLine="480"/>
        <w:jc w:val="both"/>
      </w:pPr>
      <w:r>
        <w:rPr>
          <w:rFonts w:eastAsia="宋体"/>
          <w:rFonts w:ascii="Times New Roman" w:hAnsi="Times New Roman"/>
          <w:b w:val="0"/>
          <w:i w:val="0"/>
          <w:sz w:val="24"/>
        </w:rPr>
        <w:t>（b）计算 Ledoit-Wolf 最优收缩强度：</w:t>
      </w:r>
    </w:p>
    <w:p>
      <w:pPr>
        <w:jc w:val="center"/>
      </w:pPr>
      <w:r>
        <w:rPr>
          <w:rFonts w:eastAsia="宋体"/>
          <w:rFonts w:ascii="Cambria Math" w:hAnsi="Cambria Math"/>
          <w:i/>
          <w:sz w:val="22"/>
        </w:rPr>
        <w:t>π_c = Σ_{p,q} Var(S_c,pq)</w:t>
      </w:r>
    </w:p>
    <w:p>
      <w:pPr>
        <w:jc w:val="center"/>
      </w:pPr>
      <w:r>
        <w:rPr>
          <w:rFonts w:eastAsia="宋体"/>
          <w:rFonts w:ascii="Cambria Math" w:hAnsi="Cambria Math"/>
          <w:i/>
          <w:sz w:val="22"/>
        </w:rPr>
        <w:t>γ_c = ‖S_c − (tr(S_c)/D) × I‖_F²</w:t>
      </w:r>
    </w:p>
    <w:p>
      <w:pPr>
        <w:jc w:val="center"/>
      </w:pPr>
      <w:r>
        <w:rPr>
          <w:rFonts w:eastAsia="宋体"/>
          <w:rFonts w:ascii="Cambria Math" w:hAnsi="Cambria Math"/>
          <w:i/>
          <w:sz w:val="22"/>
        </w:rPr>
        <w:t>ρ_c = min(1, max(0, π_c / (γ_c × N)))</w:t>
      </w:r>
    </w:p>
    <w:p>
      <w:pPr>
        <w:ind w:firstLine="480"/>
        <w:jc w:val="both"/>
      </w:pPr>
      <w:r>
        <w:rPr>
          <w:rFonts w:eastAsia="宋体"/>
          <w:rFonts w:ascii="Times New Roman" w:hAnsi="Times New Roman"/>
          <w:b w:val="0"/>
          <w:i w:val="0"/>
          <w:sz w:val="24"/>
        </w:rPr>
        <w:t>（c）计算收缩后协方差：</w:t>
      </w:r>
    </w:p>
    <w:p>
      <w:pPr>
        <w:jc w:val="center"/>
      </w:pPr>
      <w:r>
        <w:rPr>
          <w:rFonts w:eastAsia="宋体"/>
          <w:rFonts w:ascii="Cambria Math" w:hAnsi="Cambria Math"/>
          <w:i/>
          <w:sz w:val="22"/>
        </w:rPr>
        <w:t>Σ_c^LW = (1 − ρ_c) × S_c + ρ_c × (tr(S_c)/D) × I</w:t>
      </w:r>
    </w:p>
    <w:p>
      <w:pPr>
        <w:ind w:firstLine="480"/>
        <w:jc w:val="both"/>
      </w:pPr>
      <w:r>
        <w:rPr>
          <w:rFonts w:eastAsia="宋体"/>
          <w:rFonts w:ascii="Times New Roman" w:hAnsi="Times New Roman"/>
          <w:b w:val="0"/>
          <w:i w:val="0"/>
          <w:sz w:val="24"/>
        </w:rPr>
        <w:t>（d）计算 Fisher 方向：</w:t>
      </w:r>
    </w:p>
    <w:p>
      <w:pPr>
        <w:jc w:val="center"/>
      </w:pPr>
      <w:r>
        <w:rPr>
          <w:rFonts w:eastAsia="宋体"/>
          <w:rFonts w:ascii="Cambria Math" w:hAnsi="Cambria Math"/>
          <w:i/>
          <w:sz w:val="22"/>
        </w:rPr>
        <w:t>w_ij^b = (Σ_i^LW + Σ_j^LW + 1e-4 × I)^(−1) × (μ_i − μ_j)</w:t>
      </w:r>
    </w:p>
    <w:p>
      <w:pPr>
        <w:jc w:val="center"/>
      </w:pPr>
      <w:r>
        <w:rPr>
          <w:rFonts w:eastAsia="宋体"/>
          <w:rFonts w:ascii="Cambria Math" w:hAnsi="Cambria Math"/>
          <w:i/>
          <w:sz w:val="22"/>
        </w:rPr>
        <w:t>w_ij^b ← w_ij^b / ‖w_ij^b‖₂</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9</w:t>
      </w:r>
      <w:r>
        <w:rPr>
          <w:rFonts w:eastAsia="宋体"/>
          <w:rFonts w:ascii="Times New Roman" w:hAnsi="Times New Roman"/>
          <w:b w:val="0"/>
          <w:i w:val="0"/>
          <w:sz w:val="24"/>
        </w:rPr>
        <w:t>：执行 support 原型定向解耦（对应 S8）</w:t>
      </w:r>
    </w:p>
    <w:p>
      <w:pPr>
        <w:ind w:firstLine="480"/>
        <w:jc w:val="both"/>
      </w:pPr>
      <w:r>
        <w:rPr>
          <w:rFonts w:eastAsia="宋体"/>
          <w:rFonts w:ascii="Times New Roman" w:hAnsi="Times New Roman"/>
          <w:b w:val="0"/>
          <w:i w:val="0"/>
          <w:sz w:val="24"/>
        </w:rPr>
        <w:t>对每个混淆对 (i, j) ∈ P 和每个骨干 b：</w:t>
      </w:r>
    </w:p>
    <w:p>
      <w:pPr>
        <w:ind w:firstLine="480"/>
        <w:jc w:val="both"/>
      </w:pPr>
      <w:r>
        <w:rPr>
          <w:rFonts w:eastAsia="宋体"/>
          <w:rFonts w:ascii="Times New Roman" w:hAnsi="Times New Roman"/>
          <w:b w:val="0"/>
          <w:i w:val="0"/>
          <w:sz w:val="24"/>
        </w:rPr>
        <w:t>对 S_i 中每个 support 特征 f^b：f^b ← f^b + 0.10 × w_ij^b</w:t>
      </w:r>
    </w:p>
    <w:p>
      <w:pPr>
        <w:ind w:firstLine="480"/>
        <w:jc w:val="both"/>
      </w:pPr>
      <w:r>
        <w:rPr>
          <w:rFonts w:eastAsia="宋体"/>
          <w:rFonts w:ascii="Times New Roman" w:hAnsi="Times New Roman"/>
          <w:b w:val="0"/>
          <w:i w:val="0"/>
          <w:sz w:val="24"/>
        </w:rPr>
        <w:t>对 S_j 中每个 support 特征 f^b：f^b ← f^b − 0.10 × w_ij^b</w:t>
      </w:r>
    </w:p>
    <w:p>
      <w:pPr>
        <w:ind w:firstLine="480"/>
        <w:jc w:val="both"/>
      </w:pPr>
      <w:r>
        <w:rPr>
          <w:rFonts w:eastAsia="宋体"/>
          <w:rFonts w:ascii="Times New Roman" w:hAnsi="Times New Roman"/>
          <w:b w:val="0"/>
          <w:i w:val="0"/>
          <w:sz w:val="24"/>
        </w:rPr>
        <w:t>遍历完所有混淆对后，对每个 support 特征进行 L2 归一化：</w:t>
      </w:r>
    </w:p>
    <w:p>
      <w:pPr>
        <w:jc w:val="center"/>
      </w:pPr>
      <w:r>
        <w:rPr>
          <w:rFonts w:eastAsia="宋体"/>
          <w:rFonts w:ascii="Cambria Math" w:hAnsi="Cambria Math"/>
          <w:i/>
          <w:sz w:val="22"/>
        </w:rPr>
        <w:t>f^b ← f^b / ‖f^b‖₂</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10</w:t>
      </w:r>
      <w:r>
        <w:rPr>
          <w:rFonts w:eastAsia="宋体"/>
          <w:rFonts w:ascii="Times New Roman" w:hAnsi="Times New Roman"/>
          <w:b w:val="0"/>
          <w:i w:val="0"/>
          <w:sz w:val="24"/>
        </w:rPr>
        <w:t>：对查询细胞进行分类（对应 S9）</w:t>
      </w:r>
    </w:p>
    <w:p>
      <w:pPr>
        <w:ind w:firstLine="480"/>
        <w:jc w:val="both"/>
      </w:pPr>
      <w:r>
        <w:rPr>
          <w:rFonts w:eastAsia="宋体"/>
          <w:rFonts w:ascii="Times New Roman" w:hAnsi="Times New Roman"/>
          <w:b w:val="0"/>
          <w:i w:val="0"/>
          <w:sz w:val="24"/>
        </w:rPr>
        <w:t>对视野中除 support 外的每个细胞（查询样本 q），执行步骤 2 至 4 得到 (q_BC, q_PH, q_DN, q_m)。对每个类 c ∈ {1, 2, 3, 4}，计算该类的 support 样本与 q 的相似度，取 top-k=7：</w:t>
      </w:r>
    </w:p>
    <w:p>
      <w:pPr>
        <w:jc w:val="center"/>
      </w:pPr>
      <w:r>
        <w:rPr>
          <w:rFonts w:eastAsia="宋体"/>
          <w:rFonts w:ascii="Cambria Math" w:hAnsi="Cambria Math"/>
          <w:i/>
          <w:sz w:val="22"/>
        </w:rPr>
        <w:t>s(q, c) = (1/7) × Σ_{j ∈ top-7 of class c} [ 0.42 × cos(f_j^BC, q_BC) + 0.18 × cos(f_j^PH, q_PH) + 0.07 × cos(f_j^DN, q_DN) + 0.33 × 1 / (1 + ‖m_j^z − q_m^z‖₂) ]</w:t>
      </w:r>
    </w:p>
    <w:p>
      <w:pPr>
        <w:ind w:firstLine="480"/>
        <w:jc w:val="both"/>
      </w:pPr>
      <w:r>
        <w:rPr>
          <w:rFonts w:eastAsia="宋体"/>
          <w:rFonts w:ascii="Times New Roman" w:hAnsi="Times New Roman"/>
          <w:b w:val="0"/>
          <w:i w:val="0"/>
          <w:sz w:val="24"/>
        </w:rPr>
        <w:t>最终预测类别：ŷ(q) = arg max_c s(q, c)。</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步骤 11</w:t>
      </w:r>
      <w:r>
        <w:rPr>
          <w:rFonts w:eastAsia="宋体"/>
          <w:rFonts w:ascii="Times New Roman" w:hAnsi="Times New Roman"/>
          <w:b w:val="0"/>
          <w:i w:val="0"/>
          <w:sz w:val="24"/>
        </w:rPr>
        <w:t>：人工审核与修正</w:t>
      </w:r>
    </w:p>
    <w:p>
      <w:pPr>
        <w:ind w:firstLine="480"/>
        <w:jc w:val="both"/>
      </w:pPr>
      <w:r>
        <w:rPr>
          <w:rFonts w:eastAsia="宋体"/>
          <w:rFonts w:ascii="Times New Roman" w:hAnsi="Times New Roman"/>
          <w:b w:val="0"/>
          <w:i w:val="0"/>
          <w:sz w:val="24"/>
        </w:rPr>
        <w:t>Web 界面对每个 q 展示 ŷ(q) 和对应置信度 s(q, ŷ(q))。操作者对低置信度（例如 s &lt; 0.5）预测进行人工审核，确认或修正标签后保存至 SQLite 数据库，可导出 JSON/CSV 格式。</w:t>
      </w:r>
    </w:p>
    <w:p>
      <w:pPr>
        <w:pStyle w:val="Heading4"/>
        <w:jc w:val="left"/>
      </w:pPr>
      <w:r>
        <w:rPr>
          <w:rFonts w:eastAsia="黑体"/>
          <w:rFonts w:ascii="Times New Roman" w:hAnsi="Times New Roman"/>
          <w:b/>
          <w:i w:val="0"/>
          <w:color w:val="000000"/>
          <w:sz w:val="24"/>
        </w:rPr>
        <w:t>实施例 2：实验验证</w:t>
      </w:r>
    </w:p>
    <w:p>
      <w:pPr>
        <w:ind w:firstLine="480"/>
        <w:jc w:val="both"/>
      </w:pPr>
      <w:r>
        <w:rPr>
          <w:rFonts w:eastAsia="宋体"/>
          <w:rFonts w:ascii="Times New Roman" w:hAnsi="Times New Roman"/>
          <w:b w:val="0"/>
          <w:i w:val="0"/>
          <w:sz w:val="24"/>
        </w:rPr>
        <w:t>在 BALF data2 数据集上进行实验，该数据集共包含 6,631 张细胞图像（训练集 5,315 张，验证集 1,316 张），涵盖嗜酸性粒细胞、中性粒细胞、淋巴细胞和巨噬细胞四类。</w:t>
      </w:r>
    </w:p>
    <w:p>
      <w:pPr>
        <w:ind w:firstLine="480"/>
        <w:jc w:val="both"/>
      </w:pPr>
      <w:r>
        <w:rPr>
          <w:rFonts w:eastAsia="宋体"/>
          <w:rFonts w:ascii="Times New Roman" w:hAnsi="Times New Roman"/>
          <w:b w:val="0"/>
          <w:i w:val="0"/>
          <w:sz w:val="24"/>
        </w:rPr>
        <w:t>采用嵌套 5 折交叉验证 × 5 随机种子（共 25 次评估）：每次从训练集按类随机抽取 10 张作为 support，以一个验证折作为 query 集进行评估。</w:t>
      </w:r>
    </w:p>
    <w:p>
      <w:pPr>
        <w:ind w:firstLine="480"/>
        <w:jc w:val="both"/>
      </w:pPr>
      <w:r>
        <w:rPr>
          <w:rFonts w:eastAsia="宋体"/>
          <w:rFonts w:ascii="Times New Roman" w:hAnsi="Times New Roman"/>
          <w:b w:val="0"/>
          <w:i w:val="0"/>
          <w:sz w:val="24"/>
        </w:rPr>
        <w:t>表 1 展示实验结果对比：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eastAsia="宋体"/>
                <w:rFonts w:ascii="Times New Roman" w:hAnsi="Times New Roman"/>
                <w:b/>
                <w:i w:val="0"/>
                <w:sz w:val="21"/>
              </w:rPr>
              <w:t>方法</w:t>
            </w:r>
          </w:p>
        </w:tc>
        <w:tc>
          <w:tcPr>
            <w:tcW w:type="dxa" w:w="2160"/>
          </w:tcPr>
          <w:p>
            <w:pPr>
              <w:jc w:val="center"/>
            </w:pPr>
            <w:r/>
            <w:r>
              <w:rPr>
                <w:rFonts w:eastAsia="宋体"/>
                <w:rFonts w:ascii="Times New Roman" w:hAnsi="Times New Roman"/>
                <w:b/>
                <w:i w:val="0"/>
                <w:sz w:val="21"/>
              </w:rPr>
              <w:t>准确率</w:t>
            </w:r>
          </w:p>
        </w:tc>
        <w:tc>
          <w:tcPr>
            <w:tcW w:type="dxa" w:w="2160"/>
          </w:tcPr>
          <w:p>
            <w:pPr>
              <w:jc w:val="center"/>
            </w:pPr>
            <w:r/>
            <w:r>
              <w:rPr>
                <w:rFonts w:eastAsia="宋体"/>
                <w:rFonts w:ascii="Times New Roman" w:hAnsi="Times New Roman"/>
                <w:b/>
                <w:i w:val="0"/>
                <w:sz w:val="21"/>
              </w:rPr>
              <w:t>宏 F1</w:t>
            </w:r>
          </w:p>
        </w:tc>
        <w:tc>
          <w:tcPr>
            <w:tcW w:type="dxa" w:w="2160"/>
          </w:tcPr>
          <w:p>
            <w:pPr>
              <w:jc w:val="center"/>
            </w:pPr>
            <w:r/>
            <w:r>
              <w:rPr>
                <w:rFonts w:eastAsia="宋体"/>
                <w:rFonts w:ascii="Times New Roman" w:hAnsi="Times New Roman"/>
                <w:b/>
                <w:i w:val="0"/>
                <w:sz w:val="21"/>
              </w:rPr>
              <w:t>嗜酸性粒细胞 F1</w:t>
            </w:r>
          </w:p>
        </w:tc>
      </w:tr>
      <w:tr>
        <w:tc>
          <w:tcPr>
            <w:tcW w:type="dxa" w:w="2160"/>
          </w:tcPr>
          <w:p>
            <w:pPr>
              <w:jc w:val="center"/>
            </w:pPr>
            <w:r/>
            <w:r>
              <w:rPr>
                <w:rFonts w:eastAsia="宋体"/>
                <w:rFonts w:ascii="Times New Roman" w:hAnsi="Times New Roman"/>
                <w:b w:val="0"/>
                <w:i w:val="0"/>
                <w:sz w:val="21"/>
              </w:rPr>
              <w:t>多骨干 kNN（基线）</w:t>
            </w:r>
          </w:p>
        </w:tc>
        <w:tc>
          <w:tcPr>
            <w:tcW w:type="dxa" w:w="2160"/>
          </w:tcPr>
          <w:p>
            <w:pPr>
              <w:jc w:val="center"/>
            </w:pPr>
            <w:r/>
            <w:r>
              <w:rPr>
                <w:rFonts w:eastAsia="宋体"/>
                <w:rFonts w:ascii="Times New Roman" w:hAnsi="Times New Roman"/>
                <w:b w:val="0"/>
                <w:i w:val="0"/>
                <w:sz w:val="21"/>
              </w:rPr>
              <w:t>0.848</w:t>
            </w:r>
          </w:p>
        </w:tc>
        <w:tc>
          <w:tcPr>
            <w:tcW w:type="dxa" w:w="2160"/>
          </w:tcPr>
          <w:p>
            <w:pPr>
              <w:jc w:val="center"/>
            </w:pPr>
            <w:r/>
            <w:r>
              <w:rPr>
                <w:rFonts w:eastAsia="宋体"/>
                <w:rFonts w:ascii="Times New Roman" w:hAnsi="Times New Roman"/>
                <w:b w:val="0"/>
                <w:i w:val="0"/>
                <w:sz w:val="21"/>
              </w:rPr>
              <w:t>0.725</w:t>
            </w:r>
          </w:p>
        </w:tc>
        <w:tc>
          <w:tcPr>
            <w:tcW w:type="dxa" w:w="2160"/>
          </w:tcPr>
          <w:p>
            <w:pPr>
              <w:jc w:val="center"/>
            </w:pPr>
            <w:r/>
            <w:r>
              <w:rPr>
                <w:rFonts w:eastAsia="宋体"/>
                <w:rFonts w:ascii="Times New Roman" w:hAnsi="Times New Roman"/>
                <w:b w:val="0"/>
                <w:i w:val="0"/>
                <w:sz w:val="21"/>
              </w:rPr>
              <w:t>0.447</w:t>
            </w:r>
          </w:p>
        </w:tc>
      </w:tr>
      <w:tr>
        <w:tc>
          <w:tcPr>
            <w:tcW w:type="dxa" w:w="2160"/>
          </w:tcPr>
          <w:p>
            <w:pPr>
              <w:jc w:val="center"/>
            </w:pPr>
            <w:r/>
            <w:r>
              <w:rPr>
                <w:rFonts w:eastAsia="宋体"/>
                <w:rFonts w:ascii="Times New Roman" w:hAnsi="Times New Roman"/>
                <w:b w:val="0"/>
                <w:i w:val="0"/>
                <w:sz w:val="21"/>
              </w:rPr>
              <w:t>基线 + Fisher（trace 收缩）</w:t>
            </w:r>
          </w:p>
        </w:tc>
        <w:tc>
          <w:tcPr>
            <w:tcW w:type="dxa" w:w="2160"/>
          </w:tcPr>
          <w:p>
            <w:pPr>
              <w:jc w:val="center"/>
            </w:pPr>
            <w:r/>
            <w:r>
              <w:rPr>
                <w:rFonts w:eastAsia="宋体"/>
                <w:rFonts w:ascii="Times New Roman" w:hAnsi="Times New Roman"/>
                <w:b w:val="0"/>
                <w:i w:val="0"/>
                <w:sz w:val="21"/>
              </w:rPr>
              <w:t>0.859</w:t>
            </w:r>
          </w:p>
        </w:tc>
        <w:tc>
          <w:tcPr>
            <w:tcW w:type="dxa" w:w="2160"/>
          </w:tcPr>
          <w:p>
            <w:pPr>
              <w:jc w:val="center"/>
            </w:pPr>
            <w:r/>
            <w:r>
              <w:rPr>
                <w:rFonts w:eastAsia="宋体"/>
                <w:rFonts w:ascii="Times New Roman" w:hAnsi="Times New Roman"/>
                <w:b w:val="0"/>
                <w:i w:val="0"/>
                <w:sz w:val="21"/>
              </w:rPr>
              <w:t>0.748</w:t>
            </w:r>
          </w:p>
        </w:tc>
        <w:tc>
          <w:tcPr>
            <w:tcW w:type="dxa" w:w="2160"/>
          </w:tcPr>
          <w:p>
            <w:pPr>
              <w:jc w:val="center"/>
            </w:pPr>
            <w:r/>
            <w:r>
              <w:rPr>
                <w:rFonts w:eastAsia="宋体"/>
                <w:rFonts w:ascii="Times New Roman" w:hAnsi="Times New Roman"/>
                <w:b w:val="0"/>
                <w:i w:val="0"/>
                <w:sz w:val="21"/>
              </w:rPr>
              <w:t>0.492</w:t>
            </w:r>
          </w:p>
        </w:tc>
      </w:tr>
      <w:tr>
        <w:tc>
          <w:tcPr>
            <w:tcW w:type="dxa" w:w="2160"/>
          </w:tcPr>
          <w:p>
            <w:pPr>
              <w:jc w:val="center"/>
            </w:pPr>
            <w:r/>
            <w:r>
              <w:rPr>
                <w:rFonts w:eastAsia="宋体"/>
                <w:rFonts w:ascii="Times New Roman" w:hAnsi="Times New Roman"/>
                <w:b w:val="0"/>
                <w:i w:val="0"/>
                <w:sz w:val="21"/>
              </w:rPr>
              <w:t>基线 + Fisher（Ledoit-Wolf 收缩）</w:t>
            </w:r>
          </w:p>
        </w:tc>
        <w:tc>
          <w:tcPr>
            <w:tcW w:type="dxa" w:w="2160"/>
          </w:tcPr>
          <w:p>
            <w:pPr>
              <w:jc w:val="center"/>
            </w:pPr>
            <w:r/>
            <w:r>
              <w:rPr>
                <w:rFonts w:eastAsia="宋体"/>
                <w:rFonts w:ascii="Times New Roman" w:hAnsi="Times New Roman"/>
                <w:b w:val="0"/>
                <w:i w:val="0"/>
                <w:sz w:val="21"/>
              </w:rPr>
              <w:t>0.860</w:t>
            </w:r>
          </w:p>
        </w:tc>
        <w:tc>
          <w:tcPr>
            <w:tcW w:type="dxa" w:w="2160"/>
          </w:tcPr>
          <w:p>
            <w:pPr>
              <w:jc w:val="center"/>
            </w:pPr>
            <w:r/>
            <w:r>
              <w:rPr>
                <w:rFonts w:eastAsia="宋体"/>
                <w:rFonts w:ascii="Times New Roman" w:hAnsi="Times New Roman"/>
                <w:b w:val="0"/>
                <w:i w:val="0"/>
                <w:sz w:val="21"/>
              </w:rPr>
              <w:t>0.749</w:t>
            </w:r>
          </w:p>
        </w:tc>
        <w:tc>
          <w:tcPr>
            <w:tcW w:type="dxa" w:w="2160"/>
          </w:tcPr>
          <w:p>
            <w:pPr>
              <w:jc w:val="center"/>
            </w:pPr>
            <w:r/>
            <w:r>
              <w:rPr>
                <w:rFonts w:eastAsia="宋体"/>
                <w:rFonts w:ascii="Times New Roman" w:hAnsi="Times New Roman"/>
                <w:b w:val="0"/>
                <w:i w:val="0"/>
                <w:sz w:val="21"/>
              </w:rPr>
              <w:t>0.493</w:t>
            </w:r>
          </w:p>
        </w:tc>
      </w:tr>
      <w:tr>
        <w:tc>
          <w:tcPr>
            <w:tcW w:type="dxa" w:w="2160"/>
          </w:tcPr>
          <w:p>
            <w:pPr>
              <w:jc w:val="center"/>
            </w:pPr>
            <w:r/>
            <w:r>
              <w:rPr>
                <w:rFonts w:eastAsia="宋体"/>
                <w:rFonts w:ascii="Times New Roman" w:hAnsi="Times New Roman"/>
                <w:b w:val="0"/>
                <w:i w:val="0"/>
                <w:sz w:val="21"/>
              </w:rPr>
              <w:t>基线 + Fisher + 双视图交集检测</w:t>
            </w:r>
          </w:p>
        </w:tc>
        <w:tc>
          <w:tcPr>
            <w:tcW w:type="dxa" w:w="2160"/>
          </w:tcPr>
          <w:p>
            <w:pPr>
              <w:jc w:val="center"/>
            </w:pPr>
            <w:r/>
            <w:r>
              <w:rPr>
                <w:rFonts w:eastAsia="宋体"/>
                <w:rFonts w:ascii="Times New Roman" w:hAnsi="Times New Roman"/>
                <w:b w:val="0"/>
                <w:i w:val="0"/>
                <w:sz w:val="21"/>
              </w:rPr>
              <w:t>0.864</w:t>
            </w:r>
          </w:p>
        </w:tc>
        <w:tc>
          <w:tcPr>
            <w:tcW w:type="dxa" w:w="2160"/>
          </w:tcPr>
          <w:p>
            <w:pPr>
              <w:jc w:val="center"/>
            </w:pPr>
            <w:r/>
            <w:r>
              <w:rPr>
                <w:rFonts w:eastAsia="宋体"/>
                <w:rFonts w:ascii="Times New Roman" w:hAnsi="Times New Roman"/>
                <w:b w:val="0"/>
                <w:i w:val="0"/>
                <w:sz w:val="21"/>
              </w:rPr>
              <w:t>0.749</w:t>
            </w:r>
          </w:p>
        </w:tc>
        <w:tc>
          <w:tcPr>
            <w:tcW w:type="dxa" w:w="2160"/>
          </w:tcPr>
          <w:p>
            <w:pPr>
              <w:jc w:val="center"/>
            </w:pPr>
            <w:r/>
            <w:r>
              <w:rPr>
                <w:rFonts w:eastAsia="宋体"/>
                <w:rFonts w:ascii="Times New Roman" w:hAnsi="Times New Roman"/>
                <w:b w:val="0"/>
                <w:i w:val="0"/>
                <w:sz w:val="21"/>
              </w:rPr>
              <w:t>0.490</w:t>
            </w:r>
          </w:p>
        </w:tc>
      </w:tr>
      <w:tr>
        <w:tc>
          <w:tcPr>
            <w:tcW w:type="dxa" w:w="2160"/>
          </w:tcPr>
          <w:p>
            <w:pPr>
              <w:jc w:val="center"/>
            </w:pPr>
            <w:r/>
            <w:r>
              <w:rPr>
                <w:rFonts w:eastAsia="宋体"/>
                <w:rFonts w:ascii="Times New Roman" w:hAnsi="Times New Roman"/>
                <w:b/>
                <w:i w:val="0"/>
                <w:sz w:val="21"/>
              </w:rPr>
              <w:t>本发明完整方法（双视图并集 + LW + 扰动 α=0.10）</w:t>
            </w:r>
          </w:p>
        </w:tc>
        <w:tc>
          <w:tcPr>
            <w:tcW w:type="dxa" w:w="2160"/>
          </w:tcPr>
          <w:p>
            <w:pPr>
              <w:jc w:val="center"/>
            </w:pPr>
            <w:r/>
            <w:r>
              <w:rPr>
                <w:rFonts w:eastAsia="宋体"/>
                <w:rFonts w:ascii="Times New Roman" w:hAnsi="Times New Roman"/>
                <w:b/>
                <w:i w:val="0"/>
                <w:sz w:val="21"/>
              </w:rPr>
              <w:t>0.863</w:t>
            </w:r>
          </w:p>
        </w:tc>
        <w:tc>
          <w:tcPr>
            <w:tcW w:type="dxa" w:w="2160"/>
          </w:tcPr>
          <w:p>
            <w:pPr>
              <w:jc w:val="center"/>
            </w:pPr>
            <w:r/>
            <w:r>
              <w:rPr>
                <w:rFonts w:eastAsia="宋体"/>
                <w:rFonts w:ascii="Times New Roman" w:hAnsi="Times New Roman"/>
                <w:b/>
                <w:i w:val="0"/>
                <w:sz w:val="21"/>
              </w:rPr>
              <w:t>0.756</w:t>
            </w:r>
          </w:p>
        </w:tc>
        <w:tc>
          <w:tcPr>
            <w:tcW w:type="dxa" w:w="2160"/>
          </w:tcPr>
          <w:p>
            <w:pPr>
              <w:jc w:val="center"/>
            </w:pPr>
            <w:r/>
            <w:r>
              <w:rPr>
                <w:rFonts w:eastAsia="宋体"/>
                <w:rFonts w:ascii="Times New Roman" w:hAnsi="Times New Roman"/>
                <w:b/>
                <w:i w:val="0"/>
                <w:sz w:val="21"/>
              </w:rPr>
              <w:t>0.502</w:t>
            </w:r>
          </w:p>
        </w:tc>
      </w:tr>
    </w:tbl>
    <w:p>
      <w:pPr>
        <w:ind w:firstLine="480"/>
        <w:jc w:val="both"/>
      </w:pPr>
      <w:r>
        <w:rPr>
          <w:rFonts w:eastAsia="宋体"/>
          <w:rFonts w:ascii="Times New Roman" w:hAnsi="Times New Roman"/>
          <w:b w:val="0"/>
          <w:i w:val="0"/>
          <w:sz w:val="24"/>
        </w:rPr>
        <w:t>实验结果表明，本发明方法相比多骨干 kNN 基线实现了：</w:t>
      </w:r>
    </w:p>
    <w:p>
      <w:pPr>
        <w:pStyle w:val="ListBullet"/>
      </w:pPr>
      <w:r>
        <w:rPr>
          <w:rFonts w:eastAsia="宋体"/>
          <w:rFonts w:ascii="Times New Roman" w:hAnsi="Times New Roman"/>
          <w:b w:val="0"/>
          <w:i w:val="0"/>
          <w:sz w:val="24"/>
        </w:rPr>
        <w:t>宏 F1 提升 3.12 个百分点（0.725 → 0.756）</w:t>
      </w:r>
    </w:p>
    <w:p>
      <w:pPr>
        <w:pStyle w:val="ListBullet"/>
      </w:pPr>
      <w:r>
        <w:rPr>
          <w:rFonts w:eastAsia="宋体"/>
          <w:rFonts w:ascii="Times New Roman" w:hAnsi="Times New Roman"/>
          <w:b w:val="0"/>
          <w:i w:val="0"/>
          <w:sz w:val="24"/>
        </w:rPr>
        <w:t>嗜酸性粒细胞 F1 提升 5.53 个百分点（0.447 → 0.502）</w:t>
      </w:r>
    </w:p>
    <w:p>
      <w:pPr>
        <w:pStyle w:val="ListBullet"/>
      </w:pPr>
      <w:r>
        <w:rPr>
          <w:rFonts w:eastAsia="宋体"/>
          <w:rFonts w:ascii="Times New Roman" w:hAnsi="Times New Roman"/>
          <w:b w:val="0"/>
          <w:i w:val="0"/>
          <w:sz w:val="24"/>
        </w:rPr>
        <w:t>中性粒细胞 F1 提升 5.6 个百分点（0.678 → 0.734）</w:t>
      </w:r>
    </w:p>
    <w:p>
      <w:pPr>
        <w:pStyle w:val="ListBullet"/>
      </w:pPr>
      <w:r>
        <w:rPr>
          <w:rFonts w:eastAsia="宋体"/>
          <w:rFonts w:ascii="Times New Roman" w:hAnsi="Times New Roman"/>
          <w:b w:val="0"/>
          <w:i w:val="0"/>
          <w:sz w:val="24"/>
        </w:rPr>
        <w:t>淋巴细胞 F1 保持稳定（0.931 → 0.931）</w:t>
      </w:r>
    </w:p>
    <w:p>
      <w:pPr>
        <w:pStyle w:val="ListBullet"/>
      </w:pPr>
      <w:r>
        <w:rPr>
          <w:rFonts w:eastAsia="宋体"/>
          <w:rFonts w:ascii="Times New Roman" w:hAnsi="Times New Roman"/>
          <w:b w:val="0"/>
          <w:i w:val="0"/>
          <w:sz w:val="24"/>
        </w:rPr>
        <w:t>巨噬细胞 F1 略微提升 1.4 个百分点（0.845 → 0.859）</w:t>
      </w:r>
    </w:p>
    <w:p>
      <w:pPr>
        <w:ind w:firstLine="480"/>
        <w:jc w:val="both"/>
      </w:pPr>
      <w:r>
        <w:rPr>
          <w:rFonts w:eastAsia="宋体"/>
          <w:rFonts w:ascii="Times New Roman" w:hAnsi="Times New Roman"/>
          <w:b w:val="0"/>
          <w:i w:val="0"/>
          <w:sz w:val="24"/>
        </w:rPr>
        <w:t>上述结果验证了本发明方法在易混淆稀有类别上的显著提升，且不损害已能良好识别的类别。</w:t>
      </w:r>
    </w:p>
    <w:p>
      <w:pPr>
        <w:pStyle w:val="Heading4"/>
        <w:jc w:val="left"/>
      </w:pPr>
      <w:r>
        <w:rPr>
          <w:rFonts w:eastAsia="黑体"/>
          <w:rFonts w:ascii="Times New Roman" w:hAnsi="Times New Roman"/>
          <w:b/>
          <w:i w:val="0"/>
          <w:color w:val="000000"/>
          <w:sz w:val="24"/>
        </w:rPr>
        <w:t>实施例 3：系统集成</w:t>
      </w:r>
    </w:p>
    <w:p>
      <w:pPr>
        <w:ind w:firstLine="480"/>
        <w:jc w:val="both"/>
      </w:pPr>
      <w:r>
        <w:rPr>
          <w:rFonts w:eastAsia="宋体"/>
          <w:rFonts w:ascii="Times New Roman" w:hAnsi="Times New Roman"/>
          <w:b w:val="0"/>
          <w:i w:val="0"/>
          <w:sz w:val="24"/>
        </w:rPr>
        <w:t>将本发明方法集成至基于 FastAPI 的 Web 标注系统 BALF-Analyzer 中，系统包括以下模块：</w:t>
      </w:r>
    </w:p>
    <w:p>
      <w:pPr>
        <w:ind w:firstLine="480"/>
        <w:jc w:val="both"/>
      </w:pPr>
      <w:r>
        <w:rPr>
          <w:rFonts w:eastAsia="宋体"/>
          <w:rFonts w:ascii="Times New Roman" w:hAnsi="Times New Roman"/>
          <w:b w:val="0"/>
          <w:i w:val="0"/>
          <w:sz w:val="24"/>
        </w:rPr>
        <w:t>（a）分割模块：封装 Cellpose 和 SAM3 级联分割逻辑；</w:t>
      </w:r>
    </w:p>
    <w:p>
      <w:pPr>
        <w:ind w:firstLine="480"/>
        <w:jc w:val="both"/>
      </w:pPr>
      <w:r>
        <w:rPr>
          <w:rFonts w:eastAsia="宋体"/>
          <w:rFonts w:ascii="Times New Roman" w:hAnsi="Times New Roman"/>
          <w:b w:val="0"/>
          <w:i w:val="0"/>
          <w:sz w:val="24"/>
        </w:rPr>
        <w:t>（b）特征提取模块：并行调用三个 VFM 模型并缓存特征；</w:t>
      </w:r>
    </w:p>
    <w:p>
      <w:pPr>
        <w:ind w:firstLine="480"/>
        <w:jc w:val="both"/>
      </w:pPr>
      <w:r>
        <w:rPr>
          <w:rFonts w:eastAsia="宋体"/>
          <w:rFonts w:ascii="Times New Roman" w:hAnsi="Times New Roman"/>
          <w:b w:val="0"/>
          <w:i w:val="0"/>
          <w:sz w:val="24"/>
        </w:rPr>
        <w:t>（c）Support 集管理模块：支持操作者通过界面选择、标注、修改 support 样本；</w:t>
      </w:r>
    </w:p>
    <w:p>
      <w:pPr>
        <w:ind w:firstLine="480"/>
        <w:jc w:val="both"/>
      </w:pPr>
      <w:r>
        <w:rPr>
          <w:rFonts w:eastAsia="宋体"/>
          <w:rFonts w:ascii="Times New Roman" w:hAnsi="Times New Roman"/>
          <w:b w:val="0"/>
          <w:i w:val="0"/>
          <w:sz w:val="24"/>
        </w:rPr>
        <w:t>（d）混淆检测模块：自动计算当前 support 集的双视图混淆对；</w:t>
      </w:r>
    </w:p>
    <w:p>
      <w:pPr>
        <w:ind w:firstLine="480"/>
        <w:jc w:val="both"/>
      </w:pPr>
      <w:r>
        <w:rPr>
          <w:rFonts w:eastAsia="宋体"/>
          <w:rFonts w:ascii="Times New Roman" w:hAnsi="Times New Roman"/>
          <w:b w:val="0"/>
          <w:i w:val="0"/>
          <w:sz w:val="24"/>
        </w:rPr>
        <w:t>（e）原型解耦模块：按本发明权利要求 8 实施 Ledoit-Wolf Fisher 方向计算和扰动；</w:t>
      </w:r>
    </w:p>
    <w:p>
      <w:pPr>
        <w:ind w:firstLine="480"/>
        <w:jc w:val="both"/>
      </w:pPr>
      <w:r>
        <w:rPr>
          <w:rFonts w:eastAsia="宋体"/>
          <w:rFonts w:ascii="Times New Roman" w:hAnsi="Times New Roman"/>
          <w:b w:val="0"/>
          <w:i w:val="0"/>
          <w:sz w:val="24"/>
        </w:rPr>
        <w:t>（f）分类决策模块：按权利要求 10 的多骨干加权 kNN 对查询细胞分类；</w:t>
      </w:r>
    </w:p>
    <w:p>
      <w:pPr>
        <w:ind w:firstLine="480"/>
        <w:jc w:val="both"/>
      </w:pPr>
      <w:r>
        <w:rPr>
          <w:rFonts w:eastAsia="宋体"/>
          <w:rFonts w:ascii="Times New Roman" w:hAnsi="Times New Roman"/>
          <w:b w:val="0"/>
          <w:i w:val="0"/>
          <w:sz w:val="24"/>
        </w:rPr>
        <w:t>（g）人机交互模块：提供批量预标注、低置信度审核、结果导出等功能。</w:t>
      </w:r>
    </w:p>
    <w:p>
      <w:pPr>
        <w:ind w:firstLine="480"/>
        <w:jc w:val="both"/>
      </w:pPr>
      <w:r>
        <w:rPr>
          <w:rFonts w:eastAsia="宋体"/>
          <w:rFonts w:ascii="Times New Roman" w:hAnsi="Times New Roman"/>
          <w:b w:val="0"/>
          <w:i w:val="0"/>
          <w:sz w:val="24"/>
        </w:rPr>
        <w:t>实际测试中，针对一份包含约 500 个细胞的 BALF 视野图像，传统人工全标注耗时约 45 分钟；使用本系统后，操作者仅需约 5 分钟完成 support 选择，余下细胞由系统自动预标注，操作者仅审核低置信度预测（约占 15%），总耗时降至约 10 分钟，标注效率提升约 4.5 倍。</w:t>
      </w:r>
    </w:p>
    <w:p>
      <w:pPr>
        <w:pStyle w:val="Heading4"/>
        <w:jc w:val="left"/>
      </w:pPr>
      <w:r>
        <w:rPr>
          <w:rFonts w:eastAsia="黑体"/>
          <w:rFonts w:ascii="Times New Roman" w:hAnsi="Times New Roman"/>
          <w:b/>
          <w:i w:val="0"/>
          <w:color w:val="000000"/>
          <w:sz w:val="24"/>
        </w:rPr>
        <w:t>实施例 4：参数选择与替代实施方式</w:t>
      </w:r>
    </w:p>
    <w:p>
      <w:pPr>
        <w:ind w:firstLine="480"/>
        <w:jc w:val="both"/>
      </w:pPr>
      <w:r>
        <w:rPr>
          <w:rFonts w:eastAsia="宋体"/>
          <w:rFonts w:ascii="Times New Roman" w:hAnsi="Times New Roman"/>
          <w:b w:val="0"/>
          <w:i w:val="0"/>
          <w:sz w:val="24"/>
        </w:rPr>
        <w:t>本发明中的主要参数及其优选范围：</w:t>
      </w:r>
    </w:p>
    <w:p>
      <w:pPr>
        <w:pStyle w:val="ListBullet"/>
      </w:pPr>
      <w:r>
        <w:rPr>
          <w:rFonts w:eastAsia="宋体"/>
          <w:rFonts w:ascii="Times New Roman" w:hAnsi="Times New Roman"/>
          <w:b w:val="0"/>
          <w:i w:val="0"/>
          <w:sz w:val="24"/>
        </w:rPr>
        <w:t>Support 样本数 N：5 至 20，优选 N = 10；</w:t>
      </w:r>
    </w:p>
    <w:p>
      <w:pPr>
        <w:pStyle w:val="ListBullet"/>
      </w:pPr>
      <w:r>
        <w:rPr>
          <w:rFonts w:eastAsia="宋体"/>
          <w:rFonts w:ascii="Times New Roman" w:hAnsi="Times New Roman"/>
          <w:b w:val="0"/>
          <w:i w:val="0"/>
          <w:sz w:val="24"/>
        </w:rPr>
        <w:t>混淆阈值 τ：0.10 至 0.20，优选 τ = 0.15；</w:t>
      </w:r>
    </w:p>
    <w:p>
      <w:pPr>
        <w:pStyle w:val="ListBullet"/>
      </w:pPr>
      <w:r>
        <w:rPr>
          <w:rFonts w:eastAsia="宋体"/>
          <w:rFonts w:ascii="Times New Roman" w:hAnsi="Times New Roman"/>
          <w:b w:val="0"/>
          <w:i w:val="0"/>
          <w:sz w:val="24"/>
        </w:rPr>
        <w:t>分离强度 α：0.05 至 0.20，优选 α = 0.10；</w:t>
      </w:r>
    </w:p>
    <w:p>
      <w:pPr>
        <w:pStyle w:val="ListBullet"/>
      </w:pPr>
      <w:r>
        <w:rPr>
          <w:rFonts w:eastAsia="宋体"/>
          <w:rFonts w:ascii="Times New Roman" w:hAnsi="Times New Roman"/>
          <w:b w:val="0"/>
          <w:i w:val="0"/>
          <w:sz w:val="24"/>
        </w:rPr>
        <w:t>混淆检测 kNN 的 k_det：3 至 10，优选 k_det = 5；</w:t>
      </w:r>
    </w:p>
    <w:p>
      <w:pPr>
        <w:pStyle w:val="ListBullet"/>
      </w:pPr>
      <w:r>
        <w:rPr>
          <w:rFonts w:eastAsia="宋体"/>
          <w:rFonts w:ascii="Times New Roman" w:hAnsi="Times New Roman"/>
          <w:b w:val="0"/>
          <w:i w:val="0"/>
          <w:sz w:val="24"/>
        </w:rPr>
        <w:t>分类 kNN 的 k_cls：5 至 10，优选 k_cls = 7；</w:t>
      </w:r>
    </w:p>
    <w:p>
      <w:pPr>
        <w:pStyle w:val="ListBullet"/>
      </w:pPr>
      <w:r>
        <w:rPr>
          <w:rFonts w:eastAsia="宋体"/>
          <w:rFonts w:ascii="Times New Roman" w:hAnsi="Times New Roman"/>
          <w:b w:val="0"/>
          <w:i w:val="0"/>
          <w:sz w:val="24"/>
        </w:rPr>
        <w:t>骨干权重 (w_BC, w_PH, w_DN, w_m)：优选 (0.42, 0.18, 0.07, 0.33)；</w:t>
      </w:r>
    </w:p>
    <w:p>
      <w:pPr>
        <w:pStyle w:val="ListBullet"/>
      </w:pPr>
      <w:r>
        <w:rPr>
          <w:rFonts w:eastAsia="宋体"/>
          <w:rFonts w:ascii="Times New Roman" w:hAnsi="Times New Roman"/>
          <w:b w:val="0"/>
          <w:i w:val="0"/>
          <w:sz w:val="24"/>
        </w:rPr>
        <w:t>细胞裁剪扩展比例：5% 至 15%，优选 10%；</w:t>
      </w:r>
    </w:p>
    <w:p>
      <w:pPr>
        <w:pStyle w:val="ListBullet"/>
      </w:pPr>
      <w:r>
        <w:rPr>
          <w:rFonts w:eastAsia="宋体"/>
          <w:rFonts w:ascii="Times New Roman" w:hAnsi="Times New Roman"/>
          <w:b w:val="0"/>
          <w:i w:val="0"/>
          <w:sz w:val="24"/>
        </w:rPr>
        <w:t>上下文裁剪扩展比例：30% 至 70%，优选 50%；</w:t>
      </w:r>
    </w:p>
    <w:p>
      <w:pPr>
        <w:pStyle w:val="ListBullet"/>
      </w:pPr>
      <w:r>
        <w:rPr>
          <w:rFonts w:eastAsia="宋体"/>
          <w:rFonts w:ascii="Times New Roman" w:hAnsi="Times New Roman"/>
          <w:b w:val="0"/>
          <w:i w:val="0"/>
          <w:sz w:val="24"/>
        </w:rPr>
        <w:t>裁剪权重：细胞裁剪优选 0.9，上下文裁剪优选 0.1；</w:t>
      </w:r>
    </w:p>
    <w:p>
      <w:pPr>
        <w:pStyle w:val="ListBullet"/>
      </w:pPr>
      <w:r>
        <w:rPr>
          <w:rFonts w:eastAsia="宋体"/>
          <w:rFonts w:ascii="Times New Roman" w:hAnsi="Times New Roman"/>
          <w:b w:val="0"/>
          <w:i w:val="0"/>
          <w:sz w:val="24"/>
        </w:rPr>
        <w:t>Ledoit-Wolf 对角正则常数 ε：1e-6 至 1e-3，优选 1e-4。</w:t>
      </w:r>
    </w:p>
    <w:p>
      <w:pPr>
        <w:ind w:firstLine="480"/>
        <w:jc w:val="both"/>
      </w:pPr>
      <w:r>
        <w:rPr>
          <w:rFonts w:eastAsia="宋体"/>
          <w:rFonts w:ascii="Times New Roman" w:hAnsi="Times New Roman"/>
          <w:b w:val="0"/>
          <w:i w:val="0"/>
          <w:sz w:val="24"/>
        </w:rPr>
        <w:t>本发明不限于上述具体视觉基础模型。替代实施方式中，BiomedCLIP 可替换为 PLIP、PathChat 等其他生物医学预训练 CLIP 模型；Phikon-v2 可替换为 UNI、CONCH 等其他病理基础模型；DINOv2 可替换为 MAE、MoCo 等其他自监督模型。替代细胞分割方案可采用 Cellpose3、StarDist 或 Mesmer。</w:t>
      </w:r>
    </w:p>
    <w:p>
      <w:pPr>
        <w:ind w:firstLine="480"/>
        <w:jc w:val="both"/>
      </w:pPr>
      <w:r>
        <w:rPr>
          <w:rFonts w:eastAsia="宋体"/>
          <w:rFonts w:ascii="Times New Roman" w:hAnsi="Times New Roman"/>
          <w:b w:val="0"/>
          <w:i w:val="0"/>
          <w:sz w:val="24"/>
        </w:rPr>
        <w:t>本发明不限于 BALF 四分类场景，可扩展至其他细胞类型分类任务，例如血液细胞（中性、嗜酸、嗜碱、淋巴、单核、红细胞、血小板等七分类）、痰液细胞（鳞状上皮、柱状上皮、巨噬、各类炎症细胞等）、骨髓涂片细胞（各期造血细胞）等。</w:t>
      </w:r>
    </w:p>
    <w:p>
      <w:pPr>
        <w:pStyle w:val="Heading3"/>
        <w:jc w:val="left"/>
      </w:pPr>
      <w:r>
        <w:rPr>
          <w:rFonts w:eastAsia="黑体"/>
          <w:rFonts w:ascii="Times New Roman" w:hAnsi="Times New Roman"/>
          <w:b/>
          <w:i w:val="0"/>
          <w:color w:val="000000"/>
          <w:sz w:val="26"/>
        </w:rPr>
        <w:t>6. 关键公式汇总</w:t>
      </w:r>
    </w:p>
    <w:p>
      <w:pPr>
        <w:ind w:firstLine="480"/>
        <w:jc w:val="both"/>
      </w:pPr>
      <w:r>
        <w:rPr>
          <w:rFonts w:eastAsia="宋体"/>
          <w:rFonts w:ascii="Times New Roman" w:hAnsi="Times New Roman"/>
          <w:b w:val="0"/>
          <w:i w:val="0"/>
          <w:sz w:val="24"/>
        </w:rPr>
        <w:t>为便于审查人员查看，本发明涉及的关键公式统一列示如下：</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1（细胞最终特征）</w:t>
      </w:r>
      <w:r>
        <w:rPr>
          <w:rFonts w:eastAsia="宋体"/>
          <w:rFonts w:ascii="Times New Roman" w:hAnsi="Times New Roman"/>
          <w:b w:val="0"/>
          <w:i w:val="0"/>
          <w:sz w:val="24"/>
        </w:rPr>
      </w:r>
    </w:p>
    <w:p>
      <w:pPr>
        <w:jc w:val="center"/>
      </w:pPr>
      <w:r>
        <w:rPr>
          <w:rFonts w:eastAsia="宋体"/>
          <w:rFonts w:ascii="Cambria Math" w:hAnsi="Cambria Math"/>
          <w:i/>
          <w:sz w:val="22"/>
        </w:rPr>
        <w:t>f = 0.9 × f_cell + 0.1 × f_context</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2（特征视图混淆率）</w:t>
      </w:r>
      <w:r>
        <w:rPr>
          <w:rFonts w:eastAsia="宋体"/>
          <w:rFonts w:ascii="Times New Roman" w:hAnsi="Times New Roman"/>
          <w:b w:val="0"/>
          <w:i w:val="0"/>
          <w:sz w:val="24"/>
        </w:rPr>
      </w:r>
    </w:p>
    <w:p>
      <w:pPr>
        <w:jc w:val="center"/>
      </w:pPr>
      <w:r>
        <w:rPr>
          <w:rFonts w:eastAsia="宋体"/>
          <w:rFonts w:ascii="Cambria Math" w:hAnsi="Cambria Math"/>
          <w:i/>
          <w:sz w:val="22"/>
        </w:rPr>
        <w:t>R_feat(i, j) = (1/|S_i|) × #{x ∈ S_i : ŷ_LOO(x) = j} + (1/|S_j|) × #{x ∈ S_j : ŷ_LOO(x) = i}</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3（形态学视图混淆率）</w:t>
      </w:r>
      <w:r>
        <w:rPr>
          <w:rFonts w:eastAsia="宋体"/>
          <w:rFonts w:ascii="Times New Roman" w:hAnsi="Times New Roman"/>
          <w:b w:val="0"/>
          <w:i w:val="0"/>
          <w:sz w:val="24"/>
        </w:rPr>
      </w:r>
    </w:p>
    <w:p>
      <w:pPr>
        <w:ind w:firstLine="480"/>
        <w:jc w:val="both"/>
      </w:pPr>
      <w:r>
        <w:rPr>
          <w:rFonts w:eastAsia="宋体"/>
          <w:rFonts w:ascii="Times New Roman" w:hAnsi="Times New Roman"/>
          <w:b w:val="0"/>
          <w:i w:val="0"/>
          <w:sz w:val="24"/>
        </w:rPr>
        <w:t>R_morph(i, j) 与公式 2 同形，但以 z-score 归一化后的欧氏距离为相似度度量</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4（并集混淆对筛选）</w:t>
      </w:r>
      <w:r>
        <w:rPr>
          <w:rFonts w:eastAsia="宋体"/>
          <w:rFonts w:ascii="Times New Roman" w:hAnsi="Times New Roman"/>
          <w:b w:val="0"/>
          <w:i w:val="0"/>
          <w:sz w:val="24"/>
        </w:rPr>
      </w:r>
    </w:p>
    <w:p>
      <w:pPr>
        <w:jc w:val="center"/>
      </w:pPr>
      <w:r>
        <w:rPr>
          <w:rFonts w:eastAsia="宋体"/>
          <w:rFonts w:ascii="Cambria Math" w:hAnsi="Cambria Math"/>
          <w:i/>
          <w:sz w:val="22"/>
        </w:rPr>
        <w:t>P = { (i, j) | R_feat(i, j) ≥ τ 或 R_morph(i, j) ≥ τ }</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5（Ledoit-Wolf 最优收缩强度）</w:t>
      </w:r>
      <w:r>
        <w:rPr>
          <w:rFonts w:eastAsia="宋体"/>
          <w:rFonts w:ascii="Times New Roman" w:hAnsi="Times New Roman"/>
          <w:b w:val="0"/>
          <w:i w:val="0"/>
          <w:sz w:val="24"/>
        </w:rPr>
      </w:r>
    </w:p>
    <w:p>
      <w:pPr>
        <w:jc w:val="center"/>
      </w:pPr>
      <w:r>
        <w:rPr>
          <w:rFonts w:eastAsia="宋体"/>
          <w:rFonts w:ascii="Cambria Math" w:hAnsi="Cambria Math"/>
          <w:i/>
          <w:sz w:val="22"/>
        </w:rPr>
        <w:t>ρ_c = min(1, max(0, π_c / (γ_c × N)))</w:t>
      </w:r>
    </w:p>
    <w:p>
      <w:pPr>
        <w:jc w:val="center"/>
      </w:pPr>
      <w:r>
        <w:rPr>
          <w:rFonts w:eastAsia="宋体"/>
          <w:rFonts w:ascii="Cambria Math" w:hAnsi="Cambria Math"/>
          <w:i/>
          <w:sz w:val="22"/>
        </w:rPr>
        <w:t>π_c = Σ_{p,q} Var(S_c,pq)</w:t>
      </w:r>
    </w:p>
    <w:p>
      <w:pPr>
        <w:jc w:val="center"/>
      </w:pPr>
      <w:r>
        <w:rPr>
          <w:rFonts w:eastAsia="宋体"/>
          <w:rFonts w:ascii="Cambria Math" w:hAnsi="Cambria Math"/>
          <w:i/>
          <w:sz w:val="22"/>
        </w:rPr>
        <w:t>γ_c = ‖S_c − (tr(S_c)/D) × I‖_F²</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6（收缩协方差）</w:t>
      </w:r>
      <w:r>
        <w:rPr>
          <w:rFonts w:eastAsia="宋体"/>
          <w:rFonts w:ascii="Times New Roman" w:hAnsi="Times New Roman"/>
          <w:b w:val="0"/>
          <w:i w:val="0"/>
          <w:sz w:val="24"/>
        </w:rPr>
      </w:r>
    </w:p>
    <w:p>
      <w:pPr>
        <w:jc w:val="center"/>
      </w:pPr>
      <w:r>
        <w:rPr>
          <w:rFonts w:eastAsia="宋体"/>
          <w:rFonts w:ascii="Cambria Math" w:hAnsi="Cambria Math"/>
          <w:i/>
          <w:sz w:val="22"/>
        </w:rPr>
        <w:t>Σ_c^LW = (1 − ρ_c) × S_c + ρ_c × (tr(S_c)/D) × I</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7（Fisher 判别方向）</w:t>
      </w:r>
      <w:r>
        <w:rPr>
          <w:rFonts w:eastAsia="宋体"/>
          <w:rFonts w:ascii="Times New Roman" w:hAnsi="Times New Roman"/>
          <w:b w:val="0"/>
          <w:i w:val="0"/>
          <w:sz w:val="24"/>
        </w:rPr>
      </w:r>
    </w:p>
    <w:p>
      <w:pPr>
        <w:jc w:val="center"/>
      </w:pPr>
      <w:r>
        <w:rPr>
          <w:rFonts w:eastAsia="宋体"/>
          <w:rFonts w:ascii="Cambria Math" w:hAnsi="Cambria Math"/>
          <w:i/>
          <w:sz w:val="22"/>
        </w:rPr>
        <w:t>w_ij = (Σ_i^LW + Σ_j^LW + ε × I)^(−1) × (μ_i − μ_j)</w:t>
      </w:r>
    </w:p>
    <w:p>
      <w:pPr>
        <w:jc w:val="center"/>
      </w:pPr>
      <w:r>
        <w:rPr>
          <w:rFonts w:eastAsia="宋体"/>
          <w:rFonts w:ascii="Cambria Math" w:hAnsi="Cambria Math"/>
          <w:i/>
          <w:sz w:val="22"/>
        </w:rPr>
        <w:t>w_ij ← w_ij / ‖w_ij‖₂</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8（Support 原型定向扰动）</w:t>
      </w:r>
      <w:r>
        <w:rPr>
          <w:rFonts w:eastAsia="宋体"/>
          <w:rFonts w:ascii="Times New Roman" w:hAnsi="Times New Roman"/>
          <w:b w:val="0"/>
          <w:i w:val="0"/>
          <w:sz w:val="24"/>
        </w:rPr>
      </w:r>
    </w:p>
    <w:p>
      <w:pPr>
        <w:jc w:val="center"/>
      </w:pPr>
      <w:r>
        <w:rPr>
          <w:rFonts w:eastAsia="宋体"/>
          <w:rFonts w:ascii="Cambria Math" w:hAnsi="Cambria Math"/>
          <w:i/>
          <w:sz w:val="22"/>
        </w:rPr>
        <w:t>f^(i) ← f^(i) + α × w_ij</w:t>
      </w:r>
    </w:p>
    <w:p>
      <w:pPr>
        <w:jc w:val="center"/>
      </w:pPr>
      <w:r>
        <w:rPr>
          <w:rFonts w:eastAsia="宋体"/>
          <w:rFonts w:ascii="Cambria Math" w:hAnsi="Cambria Math"/>
          <w:i/>
          <w:sz w:val="22"/>
        </w:rPr>
        <w:t>f^(j) ← f^(j) − α × w_ij</w:t>
      </w:r>
    </w:p>
    <w:p>
      <w:pPr>
        <w:jc w:val="center"/>
      </w:pPr>
      <w:r>
        <w:rPr>
          <w:rFonts w:eastAsia="宋体"/>
          <w:rFonts w:ascii="Cambria Math" w:hAnsi="Cambria Math"/>
          <w:i/>
          <w:sz w:val="22"/>
        </w:rPr>
        <w:t>f ← f / ‖f‖₂</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9（多骨干加权 kNN 评分）</w:t>
      </w:r>
      <w:r>
        <w:rPr>
          <w:rFonts w:eastAsia="宋体"/>
          <w:rFonts w:ascii="Times New Roman" w:hAnsi="Times New Roman"/>
          <w:b w:val="0"/>
          <w:i w:val="0"/>
          <w:sz w:val="24"/>
        </w:rPr>
      </w:r>
    </w:p>
    <w:p>
      <w:pPr>
        <w:jc w:val="center"/>
      </w:pPr>
      <w:r>
        <w:rPr>
          <w:rFonts w:eastAsia="宋体"/>
          <w:rFonts w:ascii="Cambria Math" w:hAnsi="Cambria Math"/>
          <w:i/>
          <w:sz w:val="22"/>
        </w:rPr>
        <w:t>s(q, c) = (1/k) × Σ_{j ∈ top-k} [ w_BC × cos(f_j^BC, q^BC) + w_PH × cos(f_j^PH, q^PH) + w_DN × cos(f_j^DN, q^DN) + w_m / (1 + ‖m_j^z − q_m^z‖₂) ]</w:t>
      </w:r>
    </w:p>
    <w:p>
      <w:pPr>
        <w:ind w:firstLine="480"/>
        <w:jc w:val="both"/>
      </w:pPr>
      <w:r>
        <w:rPr>
          <w:rFonts w:eastAsia="宋体"/>
          <w:rFonts w:ascii="Times New Roman" w:hAnsi="Times New Roman"/>
          <w:b w:val="0"/>
          <w:i w:val="0"/>
          <w:sz w:val="24"/>
        </w:rPr>
      </w:r>
      <w:r>
        <w:rPr>
          <w:rFonts w:eastAsia="宋体"/>
          <w:rFonts w:ascii="Times New Roman" w:hAnsi="Times New Roman"/>
          <w:b/>
          <w:i w:val="0"/>
          <w:sz w:val="24"/>
        </w:rPr>
        <w:t>公式 10（最终分类决策）</w:t>
      </w:r>
      <w:r>
        <w:rPr>
          <w:rFonts w:eastAsia="宋体"/>
          <w:rFonts w:ascii="Times New Roman" w:hAnsi="Times New Roman"/>
          <w:b w:val="0"/>
          <w:i w:val="0"/>
          <w:sz w:val="24"/>
        </w:rPr>
      </w:r>
    </w:p>
    <w:p>
      <w:pPr>
        <w:jc w:val="center"/>
      </w:pPr>
      <w:r>
        <w:rPr>
          <w:rFonts w:eastAsia="宋体"/>
          <w:rFonts w:ascii="Cambria Math" w:hAnsi="Cambria Math"/>
          <w:i/>
          <w:sz w:val="22"/>
        </w:rPr>
        <w:t>ŷ(q) = arg max_c s(q,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