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after="60"/>
      </w:pPr>
      <w:r>
        <w:rPr>
          <w:rFonts w:ascii="Aptos" w:hAnsi="Aptos"/>
          <w:b/>
          <w:color w:val="2E6797"/>
          <w:sz w:val="18"/>
        </w:rPr>
        <w:t>智能芯片设计 · 任务 2 · LENET</w:t>
      </w:r>
    </w:p>
    <w:p>
      <w:pPr>
        <w:spacing w:after="240"/>
      </w:pPr>
      <w:r>
        <w:rPr>
          <w:rFonts w:ascii="Microsoft YaHei" w:hAnsi="Microsoft YaHei" w:eastAsia="微软雅黑"/>
          <w:b/>
          <w:color w:val="14213D"/>
          <w:sz w:val="60"/>
        </w:rPr>
        <w:t>LeNet HLS 与 Vivado</w:t>
        <w:br/>
        <w:t>设计空间探索报告</w:t>
      </w:r>
    </w:p>
    <w:p>
      <w:pPr>
        <w:pStyle w:val="Subtitle"/>
      </w:pPr>
      <w:r>
        <w:t>成员 E：陈正堃  ·  Vitis HLS / Vivado 2022.2  ·  XC7Z020</w:t>
      </w:r>
    </w:p>
    <w:p>
      <w:pPr>
        <w:spacing w:after="9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BF2DC"/>
          </w:tcPr>
          <w:p>
            <w:pPr>
              <w:spacing w:after="40"/>
            </w:pPr>
            <w:r/>
            <w:r>
              <w:rPr>
                <w:b/>
                <w:color w:val="14213D"/>
              </w:rPr>
              <w:t>最终选择：clk_10ns_baseline</w:t>
            </w:r>
          </w:p>
          <w:p>
            <w:pPr>
              <w:spacing w:after="0" w:line="276" w:lineRule="auto"/>
            </w:pPr>
            <w:r>
              <w:t>该配置在 5 组时钟约束中同时具有最少调度周期、最低按目标周期换算的总延迟和最低 LUT；Vivado post-route 时序通过。</w:t>
            </w:r>
          </w:p>
        </w:tc>
      </w:tr>
    </w:tbl>
    <w:p>
      <w:pPr>
        <w:spacing w:after="0"/>
      </w:pPr>
    </w:p>
    <w:p>
      <w:pPr>
        <w:spacing w:after="1640"/>
      </w:pPr>
    </w:p>
    <w:p>
      <w:pPr>
        <w:jc w:val="center"/>
      </w:pPr>
      <w:r>
        <w:rPr>
          <w:color w:val="64748B"/>
          <w:sz w:val="18"/>
        </w:rPr>
        <w:t>交付内容：两张核验 CSV · 三张 DSE 图 · 原始报告 · Vivado 证据 · 可复现实验包 · 3 页答辩 PPT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2E6797"/>
          <w:sz w:val="18"/>
        </w:rPr>
        <w:t>EXECUTIVE SUMMARY</w:t>
      </w:r>
    </w:p>
    <w:p>
      <w:pPr>
        <w:spacing w:after="100"/>
      </w:pPr>
      <w:r>
        <w:rPr>
          <w:rFonts w:ascii="Microsoft YaHei" w:hAnsi="Microsoft YaHei" w:eastAsia="微软雅黑"/>
          <w:b/>
          <w:color w:val="14213D"/>
          <w:sz w:val="46"/>
        </w:rPr>
        <w:t>结论先行</w:t>
      </w:r>
    </w:p>
    <w:p>
      <w:pPr>
        <w:pStyle w:val="Subtitle"/>
      </w:pPr>
      <w:r>
        <w:t>成员 E 只负责 HLS/Vivado 设计空间探索与实现证据归档</w:t>
      </w:r>
    </w:p>
    <w:p>
      <w:pPr>
        <w:spacing w:after="140" w:line="300" w:lineRule="auto"/>
      </w:pPr>
      <w:r>
        <w:t>本次工作复核了 5 组时钟约束和 3 组 MAC 循环展开实验，数据均由原始 Vitis HLS `csynth.xml` 重新提取，并与项目已有 CSV 逐项比对。所有比较均使用同一 LeNet FP32 网络、同一 XC7Z020 器件和相同接口边界。</w:t>
      </w:r>
    </w:p>
    <w:p>
      <w:pPr>
        <w:pStyle w:val="ListBullet"/>
        <w:spacing w:after="80"/>
      </w:pPr>
      <w:r>
        <w:t>时钟约束从 10 ns 收紧到 7 ns 时，HLS 估计 Fmax 由 120.77 MHz 提升到 185.98 MHz，但调度周期从 1,647,854 增至 2,847,628。</w:t>
      </w:r>
    </w:p>
    <w:p>
      <w:pPr>
        <w:pStyle w:val="ListBullet"/>
        <w:spacing w:after="80"/>
      </w:pPr>
      <w:r>
        <w:t>10 ns 基线按目标时钟换算的总延迟为 16.479 ms，低于其余 4 个配置的 19.115–20.374 ms，同时 LUT 最少（17,108）。</w:t>
      </w:r>
    </w:p>
    <w:p>
      <w:pPr>
        <w:pStyle w:val="ListBullet"/>
        <w:spacing w:after="80"/>
      </w:pPr>
      <w:r>
        <w:t>baseline、Unroll ×2、Unroll ×5 的延迟和资源完全一致，说明当前简单展开没有改变综合后的有效并行度。</w:t>
      </w:r>
    </w:p>
    <w:p>
      <w:pPr>
        <w:pStyle w:val="ListBullet"/>
        <w:spacing w:after="80"/>
      </w:pPr>
      <w:r>
        <w:t>Vivado post-route：WNS +0.415 ns、WHS +0.028 ns；LUT 11,612、寄存器 17,612、BRAM 37 tiles、DSP 5；总片上功耗估算 1.848 W。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0F8"/>
          </w:tcPr>
          <w:p>
            <w:pPr>
              <w:spacing w:after="40"/>
            </w:pPr>
            <w:r/>
            <w:r>
              <w:rPr>
                <w:b/>
                <w:color w:val="14213D"/>
              </w:rPr>
              <w:t>停止条件已满足</w:t>
            </w:r>
          </w:p>
          <w:p>
            <w:pPr>
              <w:spacing w:after="0" w:line="276" w:lineRule="auto"/>
            </w:pPr>
            <w:r>
              <w:t>E任务优化方案规定：若现有 DSE 证据足以形成独立贡献，可停止继续改代码。因此本次不引入会影响其他成员接口或数值口径的新优化。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2E6797"/>
          <w:sz w:val="18"/>
        </w:rPr>
        <w:t>01 · SCOPE &amp; METHOD</w:t>
      </w:r>
    </w:p>
    <w:p>
      <w:pPr>
        <w:spacing w:after="100"/>
      </w:pPr>
      <w:r>
        <w:rPr>
          <w:rFonts w:ascii="Microsoft YaHei" w:hAnsi="Microsoft YaHei" w:eastAsia="微软雅黑"/>
          <w:b/>
          <w:color w:val="14213D"/>
          <w:sz w:val="46"/>
        </w:rPr>
        <w:t>实验范围与核验方法</w:t>
      </w:r>
    </w:p>
    <w:p>
      <w:pPr>
        <w:pStyle w:val="Heading2"/>
      </w:pPr>
      <w:r>
        <w:t>成员 E 的交付边界</w:t>
      </w:r>
    </w:p>
    <w:p>
      <w:pPr>
        <w:spacing w:after="140" w:line="300" w:lineRule="auto"/>
      </w:pPr>
      <w:r>
        <w:t>负责 HLS 时钟约束 DSE、结构探索、Pareto 解释、最终 Vivado 布线后结果归档与答辩材料；不承担量化训练、接口集成或其他成员的模块任务。</w:t>
      </w:r>
    </w:p>
    <w:p>
      <w:pPr>
        <w:pStyle w:val="Heading2"/>
      </w:pPr>
      <w:r>
        <w:t>实验矩阵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40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880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配置</w:t>
            </w:r>
          </w:p>
        </w:tc>
        <w:tc>
          <w:tcPr>
            <w:tcW w:type="dxa" w:w="2592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唯一变量</w:t>
            </w:r>
          </w:p>
        </w:tc>
        <w:tc>
          <w:tcPr>
            <w:tcW w:type="dxa" w:w="3024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144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Clock DSE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10 / 9 / 8 / 7.5 / 7 ns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create_clock 目标周期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延迟、Fmax、LUT/FF/BRAM/DSP</w:t>
            </w:r>
          </w:p>
        </w:tc>
      </w:tr>
      <w:tr>
        <w:tc>
          <w:tcPr>
            <w:tcW w:type="dxa" w:w="1440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Structural DSE</w:t>
            </w:r>
          </w:p>
        </w:tc>
        <w:tc>
          <w:tcPr>
            <w:tcW w:type="dxa" w:w="2880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baseline / Unroll ×2 / ×5</w:t>
            </w:r>
          </w:p>
        </w:tc>
        <w:tc>
          <w:tcPr>
            <w:tcW w:type="dxa" w:w="2592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MAC 循环展开因子</w:t>
            </w:r>
          </w:p>
        </w:tc>
        <w:tc>
          <w:tcPr>
            <w:tcW w:type="dxa" w:w="3024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是否产生有效并行度</w:t>
            </w:r>
          </w:p>
        </w:tc>
      </w:tr>
      <w:tr>
        <w:tc>
          <w:tcPr>
            <w:tcW w:type="dxa" w:w="144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Vivado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10 ns baseline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最终候选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post-route 时序、资源、功耗</w:t>
            </w:r>
          </w:p>
        </w:tc>
      </w:tr>
    </w:tbl>
    <w:p>
      <w:pPr>
        <w:spacing w:after="0"/>
      </w:pPr>
    </w:p>
    <w:p>
      <w:pPr>
        <w:pStyle w:val="Heading2"/>
      </w:pPr>
      <w:r>
        <w:t>证据链</w:t>
      </w:r>
    </w:p>
    <w:p>
      <w:pPr>
        <w:pStyle w:val="ListBullet"/>
        <w:spacing w:after="80"/>
      </w:pPr>
      <w:r>
        <w:t>HLS：每个配置的 `solution1/syn/report/lenet_full_top_csynth.xml`。</w:t>
      </w:r>
    </w:p>
    <w:p>
      <w:pPr>
        <w:pStyle w:val="ListBullet"/>
        <w:spacing w:after="80"/>
      </w:pPr>
      <w:r>
        <w:t>Vivado：timing summary、placed utilization、routed power、route status 原始报告。</w:t>
      </w:r>
    </w:p>
    <w:p>
      <w:pPr>
        <w:pStyle w:val="ListBullet"/>
        <w:spacing w:after="80"/>
      </w:pPr>
      <w:r>
        <w:t>自动核验：`build_member_e_results.py` 重新提取所有指标并检查与原汇总 CSV 一致；不一致即终止。</w:t>
      </w:r>
    </w:p>
    <w:p>
      <w:pPr>
        <w:pStyle w:val="ListBullet"/>
        <w:spacing w:after="80"/>
      </w:pPr>
      <w:r>
        <w:t>图表：从核验后的 CSV 生成，基线用金色高亮，每个点均直接标注。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BF2DC"/>
          </w:tcPr>
          <w:p>
            <w:pPr>
              <w:spacing w:after="40"/>
            </w:pPr>
            <w:r/>
            <w:r>
              <w:rPr>
                <w:b/>
                <w:color w:val="14213D"/>
              </w:rPr>
              <w:t>单位约定</w:t>
            </w:r>
          </w:p>
          <w:p>
            <w:pPr>
              <w:spacing w:after="0" w:line="276" w:lineRule="auto"/>
            </w:pPr>
            <w:r>
              <w:t>HLS 使用 BRAM_18K；Vivado 使用 Block RAM Tile。两者是不同报告口径，不能直接做数值差。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2E6797"/>
          <w:sz w:val="18"/>
        </w:rPr>
        <w:t>02 · CLOCK DSE</w:t>
      </w:r>
    </w:p>
    <w:p>
      <w:pPr>
        <w:spacing w:after="100"/>
      </w:pPr>
      <w:r>
        <w:rPr>
          <w:rFonts w:ascii="Microsoft YaHei" w:hAnsi="Microsoft YaHei" w:eastAsia="微软雅黑"/>
          <w:b/>
          <w:color w:val="14213D"/>
          <w:sz w:val="46"/>
        </w:rPr>
        <w:t>收紧时钟并未缩短端到端延迟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195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配置</w:t>
            </w:r>
          </w:p>
        </w:tc>
        <w:tc>
          <w:tcPr>
            <w:tcW w:type="dxa" w:w="936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估计周期</w:t>
              <w:br/>
              <w:t>ns</w:t>
            </w:r>
          </w:p>
        </w:tc>
        <w:tc>
          <w:tcPr>
            <w:tcW w:type="dxa" w:w="1037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估计 Fmax</w:t>
              <w:br/>
              <w:t>MHz</w:t>
            </w:r>
          </w:p>
        </w:tc>
        <w:tc>
          <w:tcPr>
            <w:tcW w:type="dxa" w:w="1325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延迟</w:t>
              <w:br/>
              <w:t>cycles</w:t>
            </w:r>
          </w:p>
        </w:tc>
        <w:tc>
          <w:tcPr>
            <w:tcW w:type="dxa" w:w="1080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目标延迟</w:t>
              <w:br/>
              <w:t>ms</w:t>
            </w:r>
          </w:p>
        </w:tc>
        <w:tc>
          <w:tcPr>
            <w:tcW w:type="dxa" w:w="936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LUT</w:t>
            </w:r>
          </w:p>
        </w:tc>
        <w:tc>
          <w:tcPr>
            <w:tcW w:type="dxa" w:w="936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FF</w:t>
            </w:r>
          </w:p>
        </w:tc>
        <w:tc>
          <w:tcPr>
            <w:tcW w:type="dxa" w:w="1123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BRAM18K</w:t>
              <w:br/>
              <w:t>/ DSP</w:t>
            </w:r>
          </w:p>
        </w:tc>
      </w:tr>
      <w:tr>
        <w:tc>
          <w:tcPr>
            <w:tcW w:type="dxa" w:w="1195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4213D"/>
                <w:sz w:val="15"/>
              </w:rPr>
              <w:t>10 ns 基线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4213D"/>
                <w:sz w:val="15"/>
              </w:rPr>
              <w:t>8.280</w:t>
            </w:r>
          </w:p>
        </w:tc>
        <w:tc>
          <w:tcPr>
            <w:tcW w:type="dxa" w:w="103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4213D"/>
                <w:sz w:val="15"/>
              </w:rPr>
              <w:t>120.77</w:t>
            </w:r>
          </w:p>
        </w:tc>
        <w:tc>
          <w:tcPr>
            <w:tcW w:type="dxa" w:w="1325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4213D"/>
                <w:sz w:val="15"/>
              </w:rPr>
              <w:t>1,647,854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4213D"/>
                <w:sz w:val="15"/>
              </w:rPr>
              <w:t>16.479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4213D"/>
                <w:sz w:val="15"/>
              </w:rPr>
              <w:t>17,108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4213D"/>
                <w:sz w:val="15"/>
              </w:rPr>
              <w:t>13,452</w:t>
            </w:r>
          </w:p>
        </w:tc>
        <w:tc>
          <w:tcPr>
            <w:tcW w:type="dxa" w:w="1123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4213D"/>
                <w:sz w:val="15"/>
              </w:rPr>
              <w:t>70 / 5</w:t>
            </w:r>
          </w:p>
        </w:tc>
      </w:tr>
      <w:tr>
        <w:tc>
          <w:tcPr>
            <w:tcW w:type="dxa" w:w="1195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9 ns</w:t>
            </w:r>
          </w:p>
        </w:tc>
        <w:tc>
          <w:tcPr>
            <w:tcW w:type="dxa" w:w="936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7.466</w:t>
            </w:r>
          </w:p>
        </w:tc>
        <w:tc>
          <w:tcPr>
            <w:tcW w:type="dxa" w:w="1037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133.94</w:t>
            </w:r>
          </w:p>
        </w:tc>
        <w:tc>
          <w:tcPr>
            <w:tcW w:type="dxa" w:w="1325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2,247,712</w:t>
            </w:r>
          </w:p>
        </w:tc>
        <w:tc>
          <w:tcPr>
            <w:tcW w:type="dxa" w:w="1080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20.229</w:t>
            </w:r>
          </w:p>
        </w:tc>
        <w:tc>
          <w:tcPr>
            <w:tcW w:type="dxa" w:w="936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17,789</w:t>
            </w:r>
          </w:p>
        </w:tc>
        <w:tc>
          <w:tcPr>
            <w:tcW w:type="dxa" w:w="936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13,916</w:t>
            </w:r>
          </w:p>
        </w:tc>
        <w:tc>
          <w:tcPr>
            <w:tcW w:type="dxa" w:w="1123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70 / 5</w:t>
            </w:r>
          </w:p>
        </w:tc>
      </w:tr>
      <w:tr>
        <w:tc>
          <w:tcPr>
            <w:tcW w:type="dxa" w:w="1195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8 ns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6.726</w:t>
            </w:r>
          </w:p>
        </w:tc>
        <w:tc>
          <w:tcPr>
            <w:tcW w:type="dxa" w:w="103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148.68</w:t>
            </w:r>
          </w:p>
        </w:tc>
        <w:tc>
          <w:tcPr>
            <w:tcW w:type="dxa" w:w="1325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2,546,729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20.374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18,423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14,329</w:t>
            </w:r>
          </w:p>
        </w:tc>
        <w:tc>
          <w:tcPr>
            <w:tcW w:type="dxa" w:w="1123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70 / 5</w:t>
            </w:r>
          </w:p>
        </w:tc>
      </w:tr>
      <w:tr>
        <w:tc>
          <w:tcPr>
            <w:tcW w:type="dxa" w:w="1195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7.5 ns</w:t>
            </w:r>
          </w:p>
        </w:tc>
        <w:tc>
          <w:tcPr>
            <w:tcW w:type="dxa" w:w="936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6.418</w:t>
            </w:r>
          </w:p>
        </w:tc>
        <w:tc>
          <w:tcPr>
            <w:tcW w:type="dxa" w:w="1037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155.81</w:t>
            </w:r>
          </w:p>
        </w:tc>
        <w:tc>
          <w:tcPr>
            <w:tcW w:type="dxa" w:w="1325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2,548,619</w:t>
            </w:r>
          </w:p>
        </w:tc>
        <w:tc>
          <w:tcPr>
            <w:tcW w:type="dxa" w:w="1080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19.115</w:t>
            </w:r>
          </w:p>
        </w:tc>
        <w:tc>
          <w:tcPr>
            <w:tcW w:type="dxa" w:w="936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18,396</w:t>
            </w:r>
          </w:p>
        </w:tc>
        <w:tc>
          <w:tcPr>
            <w:tcW w:type="dxa" w:w="936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14,473</w:t>
            </w:r>
          </w:p>
        </w:tc>
        <w:tc>
          <w:tcPr>
            <w:tcW w:type="dxa" w:w="1123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70 / 5</w:t>
            </w:r>
          </w:p>
        </w:tc>
      </w:tr>
      <w:tr>
        <w:tc>
          <w:tcPr>
            <w:tcW w:type="dxa" w:w="1195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7 ns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5.377</w:t>
            </w:r>
          </w:p>
        </w:tc>
        <w:tc>
          <w:tcPr>
            <w:tcW w:type="dxa" w:w="1037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185.98</w:t>
            </w:r>
          </w:p>
        </w:tc>
        <w:tc>
          <w:tcPr>
            <w:tcW w:type="dxa" w:w="1325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2,847,628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19.933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18,945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15,272</w:t>
            </w:r>
          </w:p>
        </w:tc>
        <w:tc>
          <w:tcPr>
            <w:tcW w:type="dxa" w:w="1123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70 / 5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16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_latency_cyc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1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Target_ns 与最坏情况延迟周期；10 ns 基线调度周期最少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2E6797"/>
          <w:sz w:val="18"/>
        </w:rPr>
        <w:t>02 · CLOCK DSE</w:t>
      </w:r>
    </w:p>
    <w:p>
      <w:pPr>
        <w:spacing w:after="100"/>
      </w:pPr>
      <w:r>
        <w:rPr>
          <w:rFonts w:ascii="Microsoft YaHei" w:hAnsi="Microsoft YaHei" w:eastAsia="微软雅黑"/>
          <w:b/>
          <w:color w:val="14213D"/>
          <w:sz w:val="46"/>
        </w:rPr>
        <w:t>10 ns 位于延迟—LUT 左下角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29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latency_l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2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延迟周期与 LUT 的 Pareto 对比；左下方向更优</w:t>
      </w:r>
    </w:p>
    <w:p>
      <w:pPr>
        <w:spacing w:after="140" w:line="300" w:lineRule="auto"/>
      </w:pPr>
      <w:r>
        <w:t>10 ns 基线同时具有最低延迟周期（1,647,854）与最低 LUT（17,108），因此对其余 4 个时钟配置形成弱支配。即使按各自目标周期换算，10 ns 的 16.479 ms 仍低于其他配置。</w:t>
      </w:r>
    </w:p>
    <w:p>
      <w:pPr>
        <w:pStyle w:val="Heading2"/>
      </w:pPr>
      <w:r>
        <w:t>机制解释</w:t>
      </w:r>
    </w:p>
    <w:p>
      <w:pPr>
        <w:spacing w:after="140" w:line="300" w:lineRule="auto"/>
      </w:pPr>
      <w:r>
        <w:t>时钟约束变紧会推动工具提高组合路径速度，所以估计 Fmax 上升；但为了满足更短周期，HLS 可能插入更多流水级、延长浮点运算调度或改变资源复用时序，使总周期数明显增加。频率收益不足以抵消周期数增加，端到端延迟反而恶化。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BF2DC"/>
          </w:tcPr>
          <w:p>
            <w:pPr>
              <w:spacing w:after="40"/>
            </w:pPr>
            <w:r/>
            <w:r>
              <w:rPr>
                <w:b/>
                <w:color w:val="14213D"/>
              </w:rPr>
              <w:t>选择依据</w:t>
            </w:r>
          </w:p>
          <w:p>
            <w:pPr>
              <w:spacing w:after="0" w:line="276" w:lineRule="auto"/>
            </w:pPr>
            <w:r>
              <w:t>保留 clk_10ns_baseline：它不是频率最高的点，但在当前架构和接口下提供最低总延迟、最低 LUT，并已有完整 Vivado post-route 证据。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2E6797"/>
          <w:sz w:val="18"/>
        </w:rPr>
        <w:t>03 · STRUCTURAL DSE</w:t>
      </w:r>
    </w:p>
    <w:p>
      <w:pPr>
        <w:spacing w:after="100"/>
      </w:pPr>
      <w:r>
        <w:rPr>
          <w:rFonts w:ascii="Microsoft YaHei" w:hAnsi="Microsoft YaHei" w:eastAsia="微软雅黑"/>
          <w:b/>
          <w:color w:val="14213D"/>
          <w:sz w:val="46"/>
        </w:rPr>
        <w:t>单独展开 MAC 循环没有产生收益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40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配置</w:t>
            </w:r>
          </w:p>
        </w:tc>
        <w:tc>
          <w:tcPr>
            <w:tcW w:type="dxa" w:w="936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CSim</w:t>
            </w:r>
          </w:p>
        </w:tc>
        <w:tc>
          <w:tcPr>
            <w:tcW w:type="dxa" w:w="1656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Latency cycles</w:t>
            </w:r>
          </w:p>
        </w:tc>
        <w:tc>
          <w:tcPr>
            <w:tcW w:type="dxa" w:w="1080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LUT</w:t>
            </w:r>
          </w:p>
        </w:tc>
        <w:tc>
          <w:tcPr>
            <w:tcW w:type="dxa" w:w="1080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FF</w:t>
            </w:r>
          </w:p>
        </w:tc>
        <w:tc>
          <w:tcPr>
            <w:tcW w:type="dxa" w:w="1080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BRAM18K</w:t>
            </w:r>
          </w:p>
        </w:tc>
        <w:tc>
          <w:tcPr>
            <w:tcW w:type="dxa" w:w="792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DSP</w:t>
            </w:r>
          </w:p>
        </w:tc>
      </w:tr>
      <w:tr>
        <w:tc>
          <w:tcPr>
            <w:tcW w:type="dxa" w:w="144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baseline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PASS</w:t>
            </w:r>
          </w:p>
        </w:tc>
        <w:tc>
          <w:tcPr>
            <w:tcW w:type="dxa" w:w="165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1,647,854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17,108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13,452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70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5</w:t>
            </w:r>
          </w:p>
        </w:tc>
      </w:tr>
      <w:tr>
        <w:tc>
          <w:tcPr>
            <w:tcW w:type="dxa" w:w="1440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Unroll ×2</w:t>
            </w:r>
          </w:p>
        </w:tc>
        <w:tc>
          <w:tcPr>
            <w:tcW w:type="dxa" w:w="936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PASS</w:t>
            </w:r>
          </w:p>
        </w:tc>
        <w:tc>
          <w:tcPr>
            <w:tcW w:type="dxa" w:w="1656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1,647,854</w:t>
            </w:r>
          </w:p>
        </w:tc>
        <w:tc>
          <w:tcPr>
            <w:tcW w:type="dxa" w:w="1080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17,108</w:t>
            </w:r>
          </w:p>
        </w:tc>
        <w:tc>
          <w:tcPr>
            <w:tcW w:type="dxa" w:w="1080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13,452</w:t>
            </w:r>
          </w:p>
        </w:tc>
        <w:tc>
          <w:tcPr>
            <w:tcW w:type="dxa" w:w="1080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70</w:t>
            </w:r>
          </w:p>
        </w:tc>
        <w:tc>
          <w:tcPr>
            <w:tcW w:type="dxa" w:w="792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5</w:t>
            </w:r>
          </w:p>
        </w:tc>
      </w:tr>
      <w:tr>
        <w:tc>
          <w:tcPr>
            <w:tcW w:type="dxa" w:w="144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Unroll ×5</w:t>
            </w:r>
          </w:p>
        </w:tc>
        <w:tc>
          <w:tcPr>
            <w:tcW w:type="dxa" w:w="9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PASS</w:t>
            </w:r>
          </w:p>
        </w:tc>
        <w:tc>
          <w:tcPr>
            <w:tcW w:type="dxa" w:w="165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1,647,854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17,108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13,452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70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5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437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al_ds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三组结构实验的延迟、LUT 与 DSP 完全相同</w:t>
      </w:r>
    </w:p>
    <w:p>
      <w:pPr>
        <w:pStyle w:val="Heading2"/>
      </w:pPr>
      <w:r>
        <w:t>为什么结果相同（基于报告与代码结构的推断）</w:t>
      </w:r>
    </w:p>
    <w:p>
      <w:pPr>
        <w:pStyle w:val="ListBullet"/>
        <w:spacing w:after="80"/>
      </w:pPr>
      <w:r>
        <w:t>四个 `m_axi` 外存接口带来的访问等待可能限制数据供给；MAC 循环展开无法绕过存储带宽瓶颈。</w:t>
      </w:r>
    </w:p>
    <w:p>
      <w:pPr>
        <w:pStyle w:val="ListBullet"/>
        <w:spacing w:after="80"/>
      </w:pPr>
      <w:r>
        <w:t>FP32 运算单元仍被综合器共享，展开指令未必实例化额外乘加资源；DSP 数固定为 5 支持这一判断。</w:t>
      </w:r>
    </w:p>
    <w:p>
      <w:pPr>
        <w:pStyle w:val="ListBullet"/>
        <w:spacing w:after="80"/>
      </w:pPr>
      <w:r>
        <w:t>上层循环、函数调用和依赖关系决定总体调度，局部 MAC 循环不是主导临界路径。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2E6797"/>
          <w:sz w:val="18"/>
        </w:rPr>
        <w:t>04 · VIVADO POST-ROUTE</w:t>
      </w:r>
    </w:p>
    <w:p>
      <w:pPr>
        <w:spacing w:after="100"/>
      </w:pPr>
      <w:r>
        <w:rPr>
          <w:rFonts w:ascii="Microsoft YaHei" w:hAnsi="Microsoft YaHei" w:eastAsia="微软雅黑"/>
          <w:b/>
          <w:color w:val="14213D"/>
          <w:sz w:val="46"/>
        </w:rPr>
        <w:t>最终基线已完成布线后闭环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52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944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88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3240"/>
            <w:shd w:fill="14213D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判定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时序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WNS / WHS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+0.415 / +0.028 ns</w:t>
            </w:r>
          </w:p>
        </w:tc>
        <w:tc>
          <w:tcPr>
            <w:tcW w:type="dxa" w:w="324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满足 setup/hold</w:t>
            </w:r>
          </w:p>
        </w:tc>
      </w:tr>
      <w:tr>
        <w:tc>
          <w:tcPr>
            <w:tcW w:type="dxa" w:w="1152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资源</w:t>
            </w:r>
          </w:p>
        </w:tc>
        <w:tc>
          <w:tcPr>
            <w:tcW w:type="dxa" w:w="1944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LUT / Registers</w:t>
            </w:r>
          </w:p>
        </w:tc>
        <w:tc>
          <w:tcPr>
            <w:tcW w:type="dxa" w:w="2088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11,612 / 17,612</w:t>
            </w:r>
          </w:p>
        </w:tc>
        <w:tc>
          <w:tcPr>
            <w:tcW w:type="dxa" w:w="3240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21.83% / 16.55%</w:t>
            </w:r>
          </w:p>
        </w:tc>
      </w:tr>
      <w:tr>
        <w:tc>
          <w:tcPr>
            <w:tcW w:type="dxa" w:w="1152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资源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BRAM tiles / DSP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37 / 5</w:t>
            </w:r>
          </w:p>
        </w:tc>
        <w:tc>
          <w:tcPr>
            <w:tcW w:type="dxa" w:w="3240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26.43% / 2.27%</w:t>
            </w:r>
          </w:p>
        </w:tc>
      </w:tr>
      <w:tr>
        <w:tc>
          <w:tcPr>
            <w:tcW w:type="dxa" w:w="1152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功耗</w:t>
            </w:r>
          </w:p>
        </w:tc>
        <w:tc>
          <w:tcPr>
            <w:tcW w:type="dxa" w:w="1944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Total On-Chip</w:t>
            </w:r>
          </w:p>
        </w:tc>
        <w:tc>
          <w:tcPr>
            <w:tcW w:type="dxa" w:w="2088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1.848 W</w:t>
            </w:r>
          </w:p>
        </w:tc>
        <w:tc>
          <w:tcPr>
            <w:tcW w:type="dxa" w:w="3240"/>
            <w:shd w:fill="F2F5F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4213D"/>
                <w:sz w:val="15"/>
              </w:rPr>
              <w:t>Medium confidence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741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timing_report_excer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7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Vivado 2022.2 timing summary 原始报告摘录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2E6797"/>
          <w:sz w:val="18"/>
        </w:rPr>
        <w:t>04 · VIVADO POST-ROUTE</w:t>
      </w:r>
    </w:p>
    <w:p>
      <w:pPr>
        <w:spacing w:after="100"/>
      </w:pPr>
      <w:r>
        <w:rPr>
          <w:rFonts w:ascii="Microsoft YaHei" w:hAnsi="Microsoft YaHei" w:eastAsia="微软雅黑"/>
          <w:b/>
          <w:color w:val="14213D"/>
          <w:sz w:val="46"/>
        </w:rPr>
        <w:t>资源与功耗证据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991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resource_report_excer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9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Vivado placed utilization 原始报告摘录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991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power_report_excerp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9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Vivado routed power 原始报告摘录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0F8"/>
          </w:tcPr>
          <w:p>
            <w:pPr>
              <w:spacing w:after="40"/>
            </w:pPr>
            <w:r/>
            <w:r>
              <w:rPr>
                <w:b/>
                <w:color w:val="14213D"/>
              </w:rPr>
              <w:t>功耗口径限制</w:t>
            </w:r>
          </w:p>
          <w:p>
            <w:pPr>
              <w:spacing w:after="0" w:line="276" w:lineRule="auto"/>
            </w:pPr>
            <w:r>
              <w:t>1.848 W 未使用仿真活动文件，报告 Confidence Level 为 Medium，其中 PS7 约 1.530 W。因此只能写作 Vivado 估算，不能写成板级实测功耗。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2E6797"/>
          <w:sz w:val="18"/>
        </w:rPr>
        <w:t>05 · DECISION &amp; NEXT STEP</w:t>
      </w:r>
    </w:p>
    <w:p>
      <w:pPr>
        <w:spacing w:after="100"/>
      </w:pPr>
      <w:r>
        <w:rPr>
          <w:rFonts w:ascii="Microsoft YaHei" w:hAnsi="Microsoft YaHei" w:eastAsia="微软雅黑"/>
          <w:b/>
          <w:color w:val="14213D"/>
          <w:sz w:val="46"/>
        </w:rPr>
        <w:t>交付结论与后续条件</w:t>
      </w:r>
    </w:p>
    <w:p>
      <w:pPr>
        <w:pStyle w:val="Heading2"/>
      </w:pPr>
      <w:r>
        <w:t>最终结论</w:t>
      </w:r>
    </w:p>
    <w:p>
      <w:pPr>
        <w:pStyle w:val="ListBullet"/>
        <w:spacing w:after="80"/>
      </w:pPr>
      <w:r>
        <w:t>选择 10 ns 基线作为成员 E 的最终方案；不继续以更紧的时钟约束换取名义 Fmax。</w:t>
      </w:r>
    </w:p>
    <w:p>
      <w:pPr>
        <w:pStyle w:val="ListBullet"/>
        <w:spacing w:after="80"/>
      </w:pPr>
      <w:r>
        <w:t>单独应用 MAC Unroll ×2/×5 无效，不应把它描述为性能优化；该负结果本身说明了架构瓶颈。</w:t>
      </w:r>
    </w:p>
    <w:p>
      <w:pPr>
        <w:pStyle w:val="ListBullet"/>
        <w:spacing w:after="80"/>
      </w:pPr>
      <w:r>
        <w:t>最终 Vivado 实现 fully routed 且时序通过，资源与功耗均有可追溯原始报告。</w:t>
      </w:r>
    </w:p>
    <w:p>
      <w:pPr>
        <w:pStyle w:val="Heading2"/>
      </w:pPr>
      <w:r>
        <w:t>仅在教师明确要求“必须改代码”时</w:t>
      </w:r>
    </w:p>
    <w:p>
      <w:pPr>
        <w:spacing w:after="140" w:line="300" w:lineRule="auto"/>
      </w:pPr>
      <w:r>
        <w:t>新建独立候选版本，不覆盖基线；把权重缓存到片上数组，对缓存维度使用 ARRAY_PARTITION，并设计明确的并行 PE/MAC 数据通路。该候选必须依次通过 CSim 数值一致性、HLS 延迟/资源比较、导出 IP 和 Vivado post-route，才可称为有效优化。</w:t>
      </w:r>
    </w:p>
    <w:p>
      <w:pPr>
        <w:pStyle w:val="Heading2"/>
      </w:pPr>
      <w:r>
        <w:t>可复现文件</w:t>
      </w:r>
    </w:p>
    <w:p>
      <w:pPr>
        <w:pStyle w:val="ListBullet"/>
        <w:spacing w:after="80"/>
      </w:pPr>
      <w:r>
        <w:t>`data/clock_dse_validated.csv`、`data/structural_dse_validated.csv`、`data/vivado_post_route_summary.csv`：最终汇总。</w:t>
      </w:r>
    </w:p>
    <w:p>
      <w:pPr>
        <w:pStyle w:val="ListBullet"/>
        <w:spacing w:after="80"/>
      </w:pPr>
      <w:r>
        <w:t>`data/validation_report.md`：逐项核验记录。</w:t>
      </w:r>
    </w:p>
    <w:p>
      <w:pPr>
        <w:pStyle w:val="ListBullet"/>
        <w:spacing w:after="80"/>
      </w:pPr>
      <w:r>
        <w:t>`scripts/build_member_e_results.py`：提取报告、校验 CSV、生成图表。</w:t>
      </w:r>
    </w:p>
    <w:p>
      <w:pPr>
        <w:pStyle w:val="ListBullet"/>
        <w:spacing w:after="80"/>
      </w:pPr>
      <w:r>
        <w:t>`scripts/build_vivado_evidence.mjs`：从原始 Vivado 报告生成可读证据图。</w:t>
      </w:r>
    </w:p>
    <w:p>
      <w:pPr>
        <w:pStyle w:val="ListBullet"/>
        <w:spacing w:after="80"/>
      </w:pPr>
      <w:r>
        <w:t>`dse_package/`：配置、指令、源码、模型、变体、脚本与结果快照。</w:t>
      </w:r>
    </w:p>
    <w:p>
      <w:pPr>
        <w:pStyle w:val="ListBullet"/>
        <w:spacing w:after="80"/>
      </w:pPr>
      <w:r>
        <w:t>`source_reports/`：10 ns HLS csynth 报告及 Vivado post-route 原始报告；复现命令见交付目录 README。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成员 E 实验交付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8096"/>
        <w:sz w:val="16"/>
      </w:rPr>
      <w:t>LE NET · MEMBER E · DSE &amp; VIVADO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color w:val="14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67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421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b w:val="0"/>
      <w:i/>
      <w:iCs/>
      <w:color w:val="5565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64748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