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D11382">
      <w:pPr>
        <w:widowControl/>
        <w:autoSpaceDE/>
        <w:autoSpaceDN/>
        <w:rPr>
          <w:rFonts w:eastAsiaTheme="minorEastAsia"/>
          <w:lang w:eastAsia="zh-CN"/>
        </w:rPr>
      </w:pPr>
      <w:r>
        <w:rPr>
          <w:rFonts w:eastAsiaTheme="minorEastAsia"/>
          <w:lang w:eastAsia="zh-CN"/>
        </w:rPr>
        <w:drawing>
          <wp:anchor distT="0" distB="0" distL="114300" distR="114300" simplePos="0" relativeHeight="251661312" behindDoc="0" locked="0" layoutInCell="1" allowOverlap="1">
            <wp:simplePos x="0" y="0"/>
            <wp:positionH relativeFrom="column">
              <wp:posOffset>-850900</wp:posOffset>
            </wp:positionH>
            <wp:positionV relativeFrom="paragraph">
              <wp:posOffset>-929640</wp:posOffset>
            </wp:positionV>
            <wp:extent cx="7803515" cy="10137775"/>
            <wp:effectExtent l="0" t="0" r="6985" b="15875"/>
            <wp:wrapNone/>
            <wp:docPr id="16696008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0863"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804545" cy="10137775"/>
                    </a:xfrm>
                    <a:prstGeom prst="rect">
                      <a:avLst/>
                    </a:prstGeom>
                    <a:noFill/>
                    <a:ln>
                      <a:noFill/>
                    </a:ln>
                  </pic:spPr>
                </pic:pic>
              </a:graphicData>
            </a:graphic>
          </wp:anchor>
        </w:drawing>
      </w:r>
    </w:p>
    <w:p w14:paraId="78E62223">
      <w:pPr>
        <w:widowControl/>
        <w:autoSpaceDE/>
        <w:autoSpaceDN/>
        <w:rPr>
          <w:lang w:eastAsia="zh-CN"/>
        </w:rPr>
      </w:pPr>
      <w:r>
        <w:rPr>
          <w:lang w:eastAsia="zh-CN"/>
        </w:rPr>
        <w:br w:type="page"/>
      </w:r>
    </w:p>
    <w:p w14:paraId="0C258605">
      <w:pPr>
        <w:pStyle w:val="13"/>
        <w:spacing w:after="120"/>
        <w:ind w:firstLine="420"/>
        <w:rPr>
          <w:rFonts w:cstheme="minorEastAsia"/>
          <w:sz w:val="21"/>
          <w:szCs w:val="24"/>
        </w:rPr>
      </w:pPr>
    </w:p>
    <w:p w14:paraId="169320D8">
      <w:pPr>
        <w:pStyle w:val="13"/>
        <w:spacing w:after="120"/>
        <w:ind w:firstLine="420"/>
        <w:rPr>
          <w:rFonts w:cstheme="minorEastAsia"/>
          <w:sz w:val="21"/>
          <w:szCs w:val="24"/>
        </w:rPr>
      </w:pPr>
    </w:p>
    <w:p w14:paraId="255FCCB2">
      <w:pPr>
        <w:pStyle w:val="13"/>
        <w:spacing w:after="120"/>
        <w:ind w:firstLine="420"/>
        <w:rPr>
          <w:rFonts w:cstheme="minorEastAsia"/>
          <w:sz w:val="21"/>
          <w:szCs w:val="24"/>
          <w:lang w:eastAsia="zh-CN"/>
        </w:rPr>
      </w:pPr>
    </w:p>
    <w:p w14:paraId="7FBE7F8D">
      <w:pPr>
        <w:pStyle w:val="13"/>
        <w:spacing w:after="120"/>
        <w:ind w:firstLine="420"/>
        <w:rPr>
          <w:rFonts w:cstheme="minorEastAsia"/>
          <w:sz w:val="21"/>
          <w:szCs w:val="24"/>
          <w:lang w:eastAsia="zh-CN"/>
        </w:rPr>
      </w:pPr>
    </w:p>
    <w:p w14:paraId="397E72C1">
      <w:pPr>
        <w:pStyle w:val="13"/>
        <w:spacing w:after="120"/>
        <w:ind w:firstLine="420"/>
        <w:rPr>
          <w:rFonts w:cstheme="minorEastAsia"/>
          <w:sz w:val="21"/>
          <w:szCs w:val="24"/>
          <w:lang w:eastAsia="zh-CN"/>
        </w:rPr>
      </w:pPr>
    </w:p>
    <w:p w14:paraId="39F08B19">
      <w:pPr>
        <w:pStyle w:val="13"/>
        <w:spacing w:after="120"/>
        <w:ind w:firstLine="420"/>
        <w:rPr>
          <w:rFonts w:cstheme="minorEastAsia"/>
          <w:sz w:val="21"/>
          <w:szCs w:val="24"/>
          <w:lang w:eastAsia="zh-CN"/>
        </w:rPr>
      </w:pPr>
    </w:p>
    <w:p w14:paraId="2D668B63">
      <w:pPr>
        <w:pStyle w:val="13"/>
        <w:spacing w:after="120"/>
        <w:ind w:firstLine="420"/>
        <w:rPr>
          <w:rFonts w:cstheme="minorEastAsia"/>
          <w:sz w:val="21"/>
          <w:szCs w:val="24"/>
          <w:lang w:eastAsia="zh-CN"/>
        </w:rPr>
      </w:pPr>
    </w:p>
    <w:p w14:paraId="1BC72F82">
      <w:pPr>
        <w:pStyle w:val="13"/>
        <w:spacing w:after="120"/>
        <w:ind w:firstLine="420"/>
        <w:rPr>
          <w:rFonts w:cstheme="minorEastAsia"/>
          <w:sz w:val="21"/>
          <w:szCs w:val="24"/>
          <w:lang w:eastAsia="zh-CN"/>
        </w:rPr>
      </w:pPr>
    </w:p>
    <w:p w14:paraId="2AFFC559">
      <w:pPr>
        <w:pStyle w:val="13"/>
        <w:spacing w:after="120"/>
        <w:ind w:firstLine="420"/>
        <w:rPr>
          <w:rFonts w:cstheme="minorEastAsia"/>
          <w:sz w:val="21"/>
          <w:szCs w:val="24"/>
          <w:lang w:eastAsia="zh-CN"/>
        </w:rPr>
      </w:pPr>
    </w:p>
    <w:p w14:paraId="676FB85F">
      <w:pPr>
        <w:pStyle w:val="13"/>
        <w:spacing w:after="120"/>
        <w:ind w:firstLine="420"/>
        <w:rPr>
          <w:rFonts w:cstheme="minorEastAsia"/>
          <w:sz w:val="21"/>
          <w:szCs w:val="24"/>
          <w:lang w:eastAsia="zh-CN"/>
        </w:rPr>
      </w:pPr>
    </w:p>
    <w:p w14:paraId="76D275AD">
      <w:pPr>
        <w:pStyle w:val="13"/>
        <w:spacing w:after="120"/>
        <w:ind w:firstLine="420"/>
        <w:rPr>
          <w:rFonts w:cstheme="minorEastAsia"/>
          <w:sz w:val="21"/>
          <w:szCs w:val="24"/>
          <w:lang w:eastAsia="zh-CN"/>
        </w:rPr>
      </w:pPr>
    </w:p>
    <w:p w14:paraId="37334CB5">
      <w:pPr>
        <w:pStyle w:val="13"/>
        <w:spacing w:after="120"/>
        <w:ind w:firstLine="420"/>
        <w:rPr>
          <w:rFonts w:cstheme="minorEastAsia"/>
          <w:sz w:val="21"/>
          <w:szCs w:val="24"/>
          <w:lang w:eastAsia="zh-CN"/>
        </w:rPr>
      </w:pPr>
    </w:p>
    <w:p w14:paraId="512FFA55">
      <w:pPr>
        <w:pStyle w:val="13"/>
        <w:spacing w:after="120"/>
        <w:ind w:firstLine="420"/>
        <w:rPr>
          <w:rFonts w:cstheme="minorEastAsia"/>
          <w:sz w:val="21"/>
          <w:szCs w:val="24"/>
          <w:lang w:eastAsia="zh-CN"/>
        </w:rPr>
      </w:pPr>
    </w:p>
    <w:p w14:paraId="735F0533">
      <w:pPr>
        <w:pStyle w:val="13"/>
        <w:spacing w:after="120"/>
        <w:ind w:firstLine="420"/>
        <w:rPr>
          <w:rFonts w:cstheme="minorEastAsia"/>
          <w:sz w:val="21"/>
          <w:szCs w:val="24"/>
          <w:lang w:eastAsia="zh-CN"/>
        </w:rPr>
      </w:pPr>
    </w:p>
    <w:p w14:paraId="757544E8">
      <w:pPr>
        <w:pStyle w:val="13"/>
        <w:spacing w:after="120"/>
        <w:ind w:firstLine="420"/>
        <w:rPr>
          <w:rFonts w:cstheme="minorEastAsia"/>
          <w:sz w:val="21"/>
          <w:szCs w:val="24"/>
          <w:lang w:eastAsia="zh-CN"/>
        </w:rPr>
      </w:pPr>
    </w:p>
    <w:p w14:paraId="1A50E4CD">
      <w:pPr>
        <w:pStyle w:val="13"/>
        <w:spacing w:after="120"/>
        <w:ind w:firstLine="420"/>
        <w:rPr>
          <w:rFonts w:cstheme="minorEastAsia"/>
          <w:sz w:val="21"/>
          <w:szCs w:val="24"/>
          <w:lang w:eastAsia="zh-CN"/>
        </w:rPr>
      </w:pPr>
    </w:p>
    <w:p w14:paraId="69E6BC7D">
      <w:pPr>
        <w:pStyle w:val="13"/>
        <w:spacing w:after="120"/>
        <w:ind w:firstLine="420"/>
        <w:rPr>
          <w:rFonts w:cstheme="minorEastAsia"/>
          <w:sz w:val="21"/>
          <w:szCs w:val="24"/>
          <w:lang w:eastAsia="zh-CN"/>
        </w:rPr>
      </w:pPr>
    </w:p>
    <w:p w14:paraId="6E154732">
      <w:pPr>
        <w:pStyle w:val="13"/>
        <w:spacing w:after="120"/>
        <w:ind w:firstLine="420"/>
        <w:rPr>
          <w:rFonts w:cstheme="minorEastAsia"/>
          <w:sz w:val="21"/>
          <w:szCs w:val="24"/>
          <w:lang w:eastAsia="zh-CN"/>
        </w:rPr>
      </w:pPr>
    </w:p>
    <w:p w14:paraId="18BC9458">
      <w:pPr>
        <w:pStyle w:val="13"/>
        <w:spacing w:after="120"/>
        <w:ind w:firstLine="420"/>
        <w:rPr>
          <w:rFonts w:cstheme="minorEastAsia"/>
          <w:sz w:val="21"/>
          <w:szCs w:val="24"/>
          <w:lang w:eastAsia="zh-CN"/>
        </w:rPr>
      </w:pPr>
    </w:p>
    <w:p w14:paraId="5F4612A8">
      <w:pPr>
        <w:pStyle w:val="13"/>
        <w:spacing w:after="120"/>
        <w:ind w:firstLine="420"/>
        <w:rPr>
          <w:rFonts w:cstheme="minorEastAsia"/>
          <w:sz w:val="21"/>
          <w:szCs w:val="24"/>
          <w:lang w:eastAsia="zh-CN"/>
        </w:rPr>
      </w:pPr>
    </w:p>
    <w:p w14:paraId="1946B21A">
      <w:pPr>
        <w:pStyle w:val="13"/>
        <w:spacing w:after="120"/>
        <w:ind w:firstLine="420"/>
        <w:rPr>
          <w:rFonts w:cstheme="minorEastAsia"/>
          <w:sz w:val="21"/>
          <w:szCs w:val="24"/>
          <w:lang w:eastAsia="zh-CN"/>
        </w:rPr>
      </w:pPr>
    </w:p>
    <w:p w14:paraId="409333CF">
      <w:pPr>
        <w:pStyle w:val="13"/>
        <w:spacing w:after="120"/>
        <w:ind w:firstLine="420"/>
        <w:rPr>
          <w:rFonts w:cstheme="minorEastAsia"/>
          <w:sz w:val="21"/>
          <w:szCs w:val="24"/>
          <w:lang w:eastAsia="zh-CN"/>
        </w:rPr>
      </w:pPr>
    </w:p>
    <w:p w14:paraId="6A9A3C12">
      <w:pPr>
        <w:pStyle w:val="13"/>
        <w:autoSpaceDE/>
        <w:autoSpaceDN/>
        <w:spacing w:before="0" w:after="120" w:line="360" w:lineRule="auto"/>
        <w:ind w:firstLine="0" w:firstLineChars="0"/>
        <w:rPr>
          <w:rFonts w:hint="eastAsia" w:asciiTheme="minorAscii" w:hAnsiTheme="minorAscii" w:eastAsiaTheme="minorEastAsia" w:cstheme="minorEastAsia"/>
          <w:kern w:val="2"/>
          <w:sz w:val="21"/>
          <w:szCs w:val="24"/>
          <w:lang w:val="zh-CN" w:eastAsia="zh-CN"/>
        </w:rPr>
      </w:pPr>
    </w:p>
    <w:p w14:paraId="79A55806">
      <w:pPr>
        <w:pStyle w:val="13"/>
        <w:autoSpaceDE/>
        <w:autoSpaceDN/>
        <w:spacing w:before="0" w:after="120" w:line="360" w:lineRule="auto"/>
        <w:ind w:firstLine="0" w:firstLineChars="0"/>
        <w:rPr>
          <w:rFonts w:hint="eastAsia" w:ascii="宋体" w:hAnsi="宋体" w:cstheme="minorEastAsia"/>
          <w:sz w:val="21"/>
          <w:szCs w:val="24"/>
          <w:lang w:val="zh-CN" w:eastAsia="zh-CN"/>
        </w:rPr>
      </w:pPr>
      <w:r>
        <w:rPr>
          <w:rFonts w:hint="eastAsia" w:asciiTheme="minorAscii" w:hAnsiTheme="minorAscii" w:eastAsiaTheme="minorEastAsia" w:cstheme="minorEastAsia"/>
          <w:kern w:val="2"/>
          <w:sz w:val="21"/>
          <w:szCs w:val="24"/>
          <w:lang w:val="zh-CN" w:eastAsia="zh-CN"/>
        </w:rPr>
        <w:t>@2025 云安全联盟大中华区－保留所有权利。你可以在你的电脑上下载.储存.展示.查看及打印，或者访问云安全联盟大中华区官网（https://www.c-csa.cn）。须遵守以下：（a）本文只可作个人.信息获取.非商业用途；（b） 本文内容不得篡改；（c）本文不得转发；（d）该商标.版权或其他声明不得删除。在遵循中华人民共和国著作权法相关条款情况下合理使用本文内容，使用时请注明引用于云安全联盟大中华区。</w:t>
      </w:r>
      <w:r>
        <w:rPr>
          <w:rFonts w:hint="eastAsia" w:ascii="宋体" w:hAnsi="宋体" w:cstheme="minorEastAsia"/>
          <w:sz w:val="21"/>
          <w:szCs w:val="24"/>
          <w:lang w:val="zh-CN" w:eastAsia="zh-CN"/>
        </w:rPr>
        <w:br w:type="page"/>
      </w:r>
    </w:p>
    <w:p w14:paraId="3D639859">
      <w:pPr>
        <w:widowControl/>
        <w:autoSpaceDE/>
        <w:autoSpaceDN/>
        <w:rPr>
          <w:rFonts w:hint="eastAsia" w:ascii="黑体" w:hAnsi="黑体" w:eastAsia="黑体" w:cs="黑体"/>
          <w:b/>
          <w:kern w:val="44"/>
          <w:sz w:val="36"/>
          <w:szCs w:val="36"/>
          <w:lang w:eastAsia="zh-CN"/>
        </w:rPr>
      </w:pPr>
      <w:r>
        <w:drawing>
          <wp:anchor distT="0" distB="0" distL="114300" distR="114300" simplePos="0" relativeHeight="251662336" behindDoc="0" locked="0" layoutInCell="1" allowOverlap="1">
            <wp:simplePos x="0" y="0"/>
            <wp:positionH relativeFrom="column">
              <wp:posOffset>-854710</wp:posOffset>
            </wp:positionH>
            <wp:positionV relativeFrom="paragraph">
              <wp:posOffset>-869315</wp:posOffset>
            </wp:positionV>
            <wp:extent cx="7803515" cy="10084435"/>
            <wp:effectExtent l="0" t="0" r="6985" b="12065"/>
            <wp:wrapNone/>
            <wp:docPr id="1177906608" name="图片 1" descr="C:/Users/Hazel/Desktop/0403.jpg0403"/>
            <wp:cNvGraphicFramePr/>
            <a:graphic xmlns:a="http://schemas.openxmlformats.org/drawingml/2006/main">
              <a:graphicData uri="http://schemas.openxmlformats.org/drawingml/2006/picture">
                <pic:pic xmlns:pic="http://schemas.openxmlformats.org/drawingml/2006/picture">
                  <pic:nvPicPr>
                    <pic:cNvPr id="1177906608" name="图片 1" descr="C:/Users/Hazel/Desktop/0403.jpg0403"/>
                    <pic:cNvPicPr>
                      <a:picLocks noChangeArrowheads="1"/>
                    </pic:cNvPicPr>
                  </pic:nvPicPr>
                  <pic:blipFill>
                    <a:blip r:embed="rId11"/>
                    <a:srcRect l="2375" r="2375"/>
                    <a:stretch>
                      <a:fillRect/>
                    </a:stretch>
                  </pic:blipFill>
                  <pic:spPr>
                    <a:xfrm>
                      <a:off x="0" y="0"/>
                      <a:ext cx="7803515" cy="10084435"/>
                    </a:xfrm>
                    <a:prstGeom prst="rect">
                      <a:avLst/>
                    </a:prstGeom>
                    <a:noFill/>
                  </pic:spPr>
                </pic:pic>
              </a:graphicData>
            </a:graphic>
          </wp:anchor>
        </w:drawing>
      </w:r>
    </w:p>
    <w:p w14:paraId="2D50B999">
      <w:pPr>
        <w:rPr>
          <w:rFonts w:hint="eastAsia" w:ascii="黑体" w:hAnsi="黑体" w:eastAsia="黑体" w:cs="黑体"/>
          <w:b/>
          <w:kern w:val="44"/>
          <w:sz w:val="36"/>
          <w:szCs w:val="36"/>
          <w:lang w:eastAsia="zh-CN"/>
        </w:rPr>
      </w:pPr>
      <w:r>
        <w:rPr>
          <w:rFonts w:hint="eastAsia" w:ascii="黑体" w:hAnsi="黑体" w:eastAsia="黑体" w:cs="黑体"/>
          <w:b/>
          <w:kern w:val="44"/>
          <w:sz w:val="36"/>
          <w:szCs w:val="36"/>
          <w:lang w:eastAsia="zh-CN"/>
        </w:rPr>
        <w:br w:type="page"/>
      </w:r>
    </w:p>
    <w:p w14:paraId="5776250D">
      <w:pPr>
        <w:pStyle w:val="2"/>
        <w:autoSpaceDE/>
        <w:autoSpaceDN/>
        <w:spacing w:before="300" w:after="300"/>
        <w:jc w:val="both"/>
        <w:rPr>
          <w:rFonts w:hint="eastAsia" w:ascii="黑体" w:hAnsi="黑体" w:cs="黑体"/>
          <w:b/>
          <w:color w:val="auto"/>
          <w:kern w:val="44"/>
          <w:szCs w:val="36"/>
          <w:lang w:eastAsia="zh-CN"/>
        </w:rPr>
      </w:pPr>
      <w:bookmarkStart w:id="0" w:name="_Toc195018702"/>
      <w:r>
        <w:rPr>
          <w:rFonts w:hint="eastAsia" w:ascii="黑体" w:hAnsi="黑体" w:cs="黑体"/>
          <w:b/>
          <w:color w:val="auto"/>
          <w:kern w:val="44"/>
          <w:szCs w:val="36"/>
          <w:lang w:eastAsia="zh-CN"/>
        </w:rPr>
        <w:t>致谢</w:t>
      </w:r>
      <w:bookmarkEnd w:id="0"/>
    </w:p>
    <w:p w14:paraId="6A7849C6">
      <w:pPr>
        <w:pStyle w:val="58"/>
        <w:keepNext w:val="0"/>
        <w:keepLines w:val="0"/>
        <w:pageBreakBefore w:val="0"/>
        <w:widowControl w:val="0"/>
        <w:kinsoku/>
        <w:wordWrap/>
        <w:overflowPunct/>
        <w:topLinePunct w:val="0"/>
        <w:autoSpaceDE/>
        <w:autoSpaceDN/>
        <w:bidi w:val="0"/>
        <w:adjustRightInd/>
        <w:snapToGrid/>
        <w:spacing w:before="625" w:beforeLines="200" w:after="469" w:afterLines="150" w:line="360" w:lineRule="auto"/>
        <w:ind w:firstLine="0" w:firstLineChars="0"/>
        <w:jc w:val="both"/>
        <w:textAlignment w:val="auto"/>
        <w:rPr>
          <w:rFonts w:hint="eastAsia" w:ascii="宋体" w:hAnsi="宋体" w:eastAsia="宋体" w:cs="宋体"/>
          <w:kern w:val="2"/>
          <w:lang w:eastAsia="zh-CN"/>
        </w:rPr>
      </w:pPr>
      <w:bookmarkStart w:id="1" w:name="_Hlk179907052"/>
      <w:bookmarkStart w:id="2" w:name="_Hlk194930617"/>
      <w:r>
        <w:rPr>
          <w:rFonts w:hint="eastAsia" w:ascii="宋体" w:hAnsi="宋体" w:eastAsia="宋体" w:cs="宋体"/>
          <w:kern w:val="2"/>
          <w:lang w:eastAsia="zh-CN"/>
        </w:rPr>
        <w:t>《AI模型风险管理框架》由CSA云安全联盟专家编写，并由CSA大中华区AI安全工作组完成翻译并审校。（以下排名不分先后）：</w:t>
      </w:r>
    </w:p>
    <w:p w14:paraId="28F59F1E">
      <w:pPr>
        <w:keepNext w:val="0"/>
        <w:keepLines w:val="0"/>
        <w:pageBreakBefore w:val="0"/>
        <w:widowControl w:val="0"/>
        <w:tabs>
          <w:tab w:val="left" w:pos="3498"/>
        </w:tabs>
        <w:kinsoku/>
        <w:wordWrap/>
        <w:overflowPunct/>
        <w:topLinePunct w:val="0"/>
        <w:autoSpaceDE/>
        <w:autoSpaceDN/>
        <w:bidi w:val="0"/>
        <w:adjustRightInd/>
        <w:snapToGrid/>
        <w:spacing w:before="0" w:beforeLines="100" w:after="0" w:afterLines="100" w:line="360" w:lineRule="auto"/>
        <w:jc w:val="both"/>
        <w:textAlignment w:val="auto"/>
        <w:rPr>
          <w:rFonts w:hint="eastAsia" w:ascii="宋体" w:hAnsi="宋体" w:eastAsia="宋体" w:cs="宋体"/>
          <w:b/>
          <w:color w:val="156082" w:themeColor="accent1"/>
          <w:kern w:val="44"/>
          <w:sz w:val="36"/>
          <w:szCs w:val="21"/>
          <w:lang w:eastAsia="zh-CN"/>
          <w14:textFill>
            <w14:solidFill>
              <w14:schemeClr w14:val="accent1"/>
            </w14:solidFill>
          </w14:textFill>
        </w:rPr>
      </w:pPr>
      <w:r>
        <w:rPr>
          <w:rFonts w:hint="eastAsia" w:ascii="宋体" w:hAnsi="宋体" w:eastAsia="宋体" w:cs="宋体"/>
          <w:b/>
          <w:color w:val="5B9BD5"/>
          <w:kern w:val="44"/>
          <w:sz w:val="36"/>
          <w:szCs w:val="21"/>
          <w:lang w:eastAsia="zh-CN"/>
        </w:rPr>
        <w:t>中文版翻译专家组</w:t>
      </w:r>
      <w:r>
        <w:rPr>
          <w:rFonts w:hint="eastAsia" w:ascii="宋体" w:hAnsi="宋体" w:eastAsia="宋体" w:cs="宋体"/>
          <w:b/>
          <w:color w:val="156082" w:themeColor="accent1"/>
          <w:kern w:val="44"/>
          <w:sz w:val="36"/>
          <w:szCs w:val="21"/>
          <w:lang w:eastAsia="zh-CN"/>
          <w14:textFill>
            <w14:solidFill>
              <w14:schemeClr w14:val="accent1"/>
            </w14:solidFill>
          </w14:textFill>
        </w:rPr>
        <w:tab/>
      </w:r>
    </w:p>
    <w:bookmarkEnd w:id="1"/>
    <w:p w14:paraId="71E60076">
      <w:pPr>
        <w:keepNext w:val="0"/>
        <w:keepLines w:val="0"/>
        <w:pageBreakBefore w:val="0"/>
        <w:widowControl w:val="0"/>
        <w:tabs>
          <w:tab w:val="left" w:pos="7980"/>
        </w:tabs>
        <w:kinsoku/>
        <w:wordWrap/>
        <w:overflowPunct/>
        <w:topLinePunct w:val="0"/>
        <w:autoSpaceDE/>
        <w:autoSpaceDN/>
        <w:bidi w:val="0"/>
        <w:adjustRightInd/>
        <w:snapToGrid/>
        <w:spacing w:before="0" w:beforeLines="100" w:after="0" w:afterLines="100" w:line="360" w:lineRule="auto"/>
        <w:ind w:right="4231" w:rightChars="1923" w:firstLine="0" w:firstLineChars="0"/>
        <w:jc w:val="both"/>
        <w:textAlignment w:val="auto"/>
        <w:rPr>
          <w:rFonts w:hint="eastAsia" w:eastAsia="宋体" w:cs="宋体" w:asciiTheme="minorHAnsi" w:hAnsiTheme="minorHAnsi"/>
          <w:b/>
          <w:bCs/>
          <w:kern w:val="2"/>
          <w:sz w:val="28"/>
          <w:szCs w:val="28"/>
          <w:lang w:eastAsia="zh-CN"/>
        </w:rPr>
      </w:pPr>
      <w:bookmarkStart w:id="3" w:name="_Hlk179907086"/>
      <w:r>
        <w:rPr>
          <w:rFonts w:hint="eastAsia" w:eastAsia="宋体" w:cs="宋体" w:asciiTheme="minorHAnsi" w:hAnsiTheme="minorHAnsi"/>
          <w:b/>
          <w:bCs/>
          <w:kern w:val="2"/>
          <w:sz w:val="28"/>
          <w:szCs w:val="28"/>
          <w:lang w:eastAsia="zh-CN"/>
        </w:rPr>
        <w:t>翻译组成员：</w:t>
      </w:r>
    </w:p>
    <w:p w14:paraId="1FACA269">
      <w:pPr>
        <w:keepNext w:val="0"/>
        <w:keepLines w:val="0"/>
        <w:pageBreakBefore w:val="0"/>
        <w:widowControl w:val="0"/>
        <w:tabs>
          <w:tab w:val="left" w:pos="7980"/>
        </w:tabs>
        <w:kinsoku/>
        <w:wordWrap/>
        <w:overflowPunct/>
        <w:topLinePunct w:val="0"/>
        <w:bidi w:val="0"/>
        <w:adjustRightInd/>
        <w:snapToGrid/>
        <w:spacing w:before="0" w:beforeLines="100" w:after="0" w:afterLines="100" w:line="360" w:lineRule="auto"/>
        <w:ind w:right="528" w:rightChars="240"/>
        <w:textAlignment w:val="auto"/>
        <w:rPr>
          <w:rFonts w:hint="eastAsia" w:eastAsia="宋体" w:cs="宋体"/>
          <w:sz w:val="24"/>
          <w:szCs w:val="24"/>
          <w:lang w:eastAsia="zh-CN"/>
        </w:rPr>
      </w:pPr>
      <w:r>
        <w:rPr>
          <w:rFonts w:hint="eastAsia" w:eastAsia="宋体" w:cs="宋体"/>
          <w:sz w:val="24"/>
          <w:szCs w:val="24"/>
          <w:lang w:eastAsia="zh-CN"/>
        </w:rPr>
        <w:t>郭建领   卞超轶   黄鹏华   王绪国    卜宋博   张  淼   潘季明   张  亮</w:t>
      </w:r>
    </w:p>
    <w:p w14:paraId="30549877">
      <w:pPr>
        <w:keepNext w:val="0"/>
        <w:keepLines w:val="0"/>
        <w:pageBreakBefore w:val="0"/>
        <w:widowControl w:val="0"/>
        <w:tabs>
          <w:tab w:val="left" w:pos="7980"/>
        </w:tabs>
        <w:kinsoku/>
        <w:wordWrap/>
        <w:overflowPunct/>
        <w:topLinePunct w:val="0"/>
        <w:autoSpaceDE/>
        <w:autoSpaceDN/>
        <w:bidi w:val="0"/>
        <w:adjustRightInd/>
        <w:snapToGrid/>
        <w:spacing w:before="0" w:beforeLines="100" w:after="0" w:afterLines="100" w:line="360" w:lineRule="auto"/>
        <w:ind w:right="4231" w:rightChars="1923" w:firstLine="0" w:firstLineChars="0"/>
        <w:jc w:val="both"/>
        <w:textAlignment w:val="auto"/>
        <w:rPr>
          <w:rFonts w:hint="eastAsia" w:eastAsia="宋体" w:cs="宋体" w:asciiTheme="minorHAnsi" w:hAnsiTheme="minorHAnsi"/>
          <w:b/>
          <w:bCs/>
          <w:kern w:val="2"/>
          <w:sz w:val="28"/>
          <w:szCs w:val="28"/>
          <w:lang w:eastAsia="zh-CN"/>
        </w:rPr>
      </w:pPr>
      <w:r>
        <w:rPr>
          <w:rFonts w:hint="eastAsia" w:eastAsia="宋体" w:cs="宋体" w:asciiTheme="minorHAnsi" w:hAnsiTheme="minorHAnsi"/>
          <w:b/>
          <w:bCs/>
          <w:kern w:val="2"/>
          <w:sz w:val="28"/>
          <w:szCs w:val="28"/>
          <w:lang w:eastAsia="zh-CN"/>
        </w:rPr>
        <w:t>审校组成员：</w:t>
      </w:r>
    </w:p>
    <w:bookmarkEnd w:id="3"/>
    <w:p w14:paraId="45A780AA">
      <w:pPr>
        <w:keepNext w:val="0"/>
        <w:keepLines w:val="0"/>
        <w:pageBreakBefore w:val="0"/>
        <w:widowControl w:val="0"/>
        <w:tabs>
          <w:tab w:val="left" w:pos="7980"/>
        </w:tabs>
        <w:kinsoku/>
        <w:wordWrap/>
        <w:overflowPunct/>
        <w:topLinePunct w:val="0"/>
        <w:bidi w:val="0"/>
        <w:adjustRightInd/>
        <w:snapToGrid/>
        <w:spacing w:before="0" w:beforeLines="100" w:after="0" w:afterLines="100" w:line="360" w:lineRule="auto"/>
        <w:ind w:right="4231" w:rightChars="1923"/>
        <w:textAlignment w:val="auto"/>
        <w:rPr>
          <w:rFonts w:hint="eastAsia" w:eastAsia="宋体" w:cs="宋体"/>
          <w:sz w:val="24"/>
          <w:szCs w:val="24"/>
          <w:lang w:eastAsia="zh-CN"/>
        </w:rPr>
      </w:pPr>
      <w:r>
        <w:rPr>
          <w:rFonts w:hint="eastAsia" w:eastAsia="宋体" w:cs="宋体"/>
          <w:sz w:val="24"/>
          <w:szCs w:val="24"/>
          <w:lang w:eastAsia="zh-CN"/>
        </w:rPr>
        <w:t>高健凯   卜宋博</w:t>
      </w:r>
      <w:bookmarkEnd w:id="2"/>
    </w:p>
    <w:p w14:paraId="301603E1">
      <w:pPr>
        <w:keepNext w:val="0"/>
        <w:keepLines w:val="0"/>
        <w:pageBreakBefore w:val="0"/>
        <w:widowControl w:val="0"/>
        <w:tabs>
          <w:tab w:val="left" w:pos="7980"/>
        </w:tabs>
        <w:kinsoku/>
        <w:wordWrap/>
        <w:overflowPunct/>
        <w:topLinePunct w:val="0"/>
        <w:bidi w:val="0"/>
        <w:adjustRightInd/>
        <w:snapToGrid/>
        <w:spacing w:before="0" w:beforeLines="100" w:after="0" w:afterLines="100" w:line="360" w:lineRule="auto"/>
        <w:ind w:right="4231" w:rightChars="1923"/>
        <w:textAlignment w:val="auto"/>
        <w:rPr>
          <w:rFonts w:hint="eastAsia" w:eastAsia="宋体" w:cs="宋体"/>
          <w:sz w:val="24"/>
          <w:szCs w:val="24"/>
          <w:lang w:eastAsia="zh-CN"/>
        </w:rPr>
      </w:pPr>
    </w:p>
    <w:p w14:paraId="24D33CEE">
      <w:pPr>
        <w:keepNext w:val="0"/>
        <w:keepLines w:val="0"/>
        <w:pageBreakBefore w:val="0"/>
        <w:widowControl w:val="0"/>
        <w:tabs>
          <w:tab w:val="left" w:pos="3498"/>
        </w:tabs>
        <w:kinsoku/>
        <w:wordWrap/>
        <w:overflowPunct/>
        <w:topLinePunct w:val="0"/>
        <w:autoSpaceDE/>
        <w:autoSpaceDN/>
        <w:bidi w:val="0"/>
        <w:adjustRightInd/>
        <w:snapToGrid/>
        <w:spacing w:before="0" w:beforeLines="100" w:after="0" w:afterLines="100" w:line="360" w:lineRule="auto"/>
        <w:jc w:val="both"/>
        <w:textAlignment w:val="auto"/>
        <w:rPr>
          <w:rFonts w:hint="eastAsia" w:ascii="宋体" w:hAnsi="宋体" w:eastAsia="宋体" w:cs="宋体"/>
          <w:b/>
          <w:color w:val="5B9BD5"/>
          <w:kern w:val="44"/>
          <w:sz w:val="36"/>
          <w:szCs w:val="21"/>
          <w:lang w:eastAsia="zh-CN"/>
        </w:rPr>
      </w:pPr>
      <w:r>
        <w:rPr>
          <w:rFonts w:hint="eastAsia" w:ascii="宋体" w:hAnsi="宋体" w:eastAsia="宋体" w:cs="宋体"/>
          <w:b/>
          <w:color w:val="5B9BD5"/>
          <w:kern w:val="44"/>
          <w:sz w:val="36"/>
          <w:szCs w:val="21"/>
          <w:lang w:eastAsia="zh-CN"/>
        </w:rPr>
        <w:t>英文版编写专家组</w:t>
      </w:r>
    </w:p>
    <w:p w14:paraId="404A9CBF">
      <w:pPr>
        <w:pStyle w:val="13"/>
        <w:ind w:left="0" w:leftChars="0" w:firstLine="0" w:firstLineChars="0"/>
        <w:rPr>
          <w:rFonts w:hint="eastAsia" w:eastAsia="宋体"/>
          <w:b/>
          <w:bCs/>
          <w:sz w:val="28"/>
          <w:szCs w:val="28"/>
          <w:lang w:eastAsia="zh-CN"/>
        </w:rPr>
      </w:pPr>
      <w:r>
        <w:rPr>
          <w:rFonts w:hint="eastAsia"/>
          <w:b/>
          <w:bCs/>
          <w:sz w:val="28"/>
          <w:szCs w:val="28"/>
        </w:rPr>
        <w:t>主要作者</w:t>
      </w:r>
      <w:r>
        <w:rPr>
          <w:rFonts w:hint="eastAsia"/>
          <w:b/>
          <w:bCs/>
          <w:sz w:val="28"/>
          <w:szCs w:val="28"/>
          <w:lang w:eastAsia="zh-CN"/>
        </w:rPr>
        <w:t>：</w:t>
      </w:r>
    </w:p>
    <w:p w14:paraId="1607E64C">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sz w:val="26"/>
        </w:rPr>
      </w:pPr>
      <w:r>
        <w:rPr>
          <w:color w:val="111A25"/>
          <w:spacing w:val="-2"/>
          <w:szCs w:val="24"/>
        </w:rPr>
        <w:t>Maria</w:t>
      </w:r>
      <w:r>
        <w:rPr>
          <w:color w:val="111A25"/>
          <w:spacing w:val="-12"/>
          <w:szCs w:val="24"/>
        </w:rPr>
        <w:t xml:space="preserve"> </w:t>
      </w:r>
      <w:r>
        <w:rPr>
          <w:color w:val="111A25"/>
          <w:spacing w:val="-2"/>
          <w:szCs w:val="24"/>
        </w:rPr>
        <w:t xml:space="preserve">Schwenger </w:t>
      </w:r>
      <w:r>
        <w:rPr>
          <w:color w:val="111A25"/>
          <w:szCs w:val="24"/>
        </w:rPr>
        <w:t>Vani</w:t>
      </w:r>
      <w:r>
        <w:rPr>
          <w:color w:val="111A25"/>
          <w:spacing w:val="-3"/>
          <w:szCs w:val="24"/>
        </w:rPr>
        <w:t xml:space="preserve"> </w:t>
      </w:r>
      <w:r>
        <w:rPr>
          <w:color w:val="111A25"/>
          <w:szCs w:val="24"/>
        </w:rPr>
        <w:t>Mittal</w:t>
      </w:r>
    </w:p>
    <w:p w14:paraId="41FA3A85">
      <w:pPr>
        <w:keepNext w:val="0"/>
        <w:keepLines w:val="0"/>
        <w:pageBreakBefore w:val="0"/>
        <w:widowControl w:val="0"/>
        <w:tabs>
          <w:tab w:val="left" w:pos="7980"/>
        </w:tabs>
        <w:kinsoku/>
        <w:wordWrap/>
        <w:overflowPunct/>
        <w:topLinePunct w:val="0"/>
        <w:autoSpaceDE/>
        <w:autoSpaceDN/>
        <w:bidi w:val="0"/>
        <w:adjustRightInd/>
        <w:snapToGrid/>
        <w:spacing w:before="0" w:beforeLines="100" w:after="0" w:afterLines="100" w:line="360" w:lineRule="auto"/>
        <w:ind w:right="4231" w:rightChars="1923" w:firstLine="0" w:firstLineChars="0"/>
        <w:jc w:val="both"/>
        <w:textAlignment w:val="auto"/>
        <w:rPr>
          <w:rFonts w:hint="eastAsia" w:eastAsia="宋体" w:cs="宋体" w:asciiTheme="minorHAnsi" w:hAnsiTheme="minorHAnsi"/>
          <w:b/>
          <w:bCs/>
          <w:kern w:val="2"/>
          <w:sz w:val="28"/>
          <w:szCs w:val="28"/>
          <w:lang w:eastAsia="zh-CN"/>
        </w:rPr>
      </w:pPr>
      <w:r>
        <w:rPr>
          <w:rFonts w:hint="eastAsia" w:ascii="Arial" w:hAnsi="Arial" w:cs="Arial"/>
          <w:b/>
          <w:bCs/>
          <w:sz w:val="28"/>
          <w:szCs w:val="28"/>
        </w:rPr>
        <w:t>其他贡献者</w:t>
      </w:r>
      <w:r>
        <w:rPr>
          <w:rFonts w:hint="eastAsia" w:eastAsia="宋体" w:cs="宋体" w:asciiTheme="minorHAnsi" w:hAnsiTheme="minorHAnsi"/>
          <w:b/>
          <w:bCs/>
          <w:kern w:val="2"/>
          <w:sz w:val="28"/>
          <w:szCs w:val="28"/>
          <w:lang w:eastAsia="zh-CN"/>
        </w:rPr>
        <w:t>：</w:t>
      </w:r>
    </w:p>
    <w:p w14:paraId="402DDAD2">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rFonts w:ascii="Arial" w:hAnsi="Arial" w:cs="Arial"/>
          <w:color w:val="111A25"/>
          <w:spacing w:val="-2"/>
          <w:szCs w:val="24"/>
        </w:rPr>
      </w:pPr>
      <w:r>
        <w:rPr>
          <w:rFonts w:ascii="Arial" w:hAnsi="Arial" w:cs="Arial"/>
          <w:color w:val="111A25"/>
          <w:spacing w:val="-2"/>
          <w:szCs w:val="24"/>
        </w:rPr>
        <w:t>Eric Tierling Hadir Labib Michael Roza Renata Budko</w:t>
      </w:r>
    </w:p>
    <w:p w14:paraId="72C831F8">
      <w:pPr>
        <w:pStyle w:val="13"/>
        <w:ind w:left="0" w:leftChars="0" w:firstLine="0" w:firstLineChars="0"/>
        <w:rPr>
          <w:rFonts w:hint="eastAsia" w:ascii="Arial" w:hAnsi="Arial" w:eastAsia="宋体" w:cs="Arial"/>
          <w:b/>
          <w:bCs/>
          <w:sz w:val="28"/>
          <w:szCs w:val="28"/>
          <w:lang w:val="en-US" w:eastAsia="zh-CN"/>
        </w:rPr>
      </w:pPr>
      <w:r>
        <w:rPr>
          <w:rFonts w:hint="eastAsia" w:ascii="Arial" w:hAnsi="Arial" w:cs="Arial"/>
          <w:b/>
          <w:bCs/>
          <w:sz w:val="28"/>
          <w:szCs w:val="28"/>
        </w:rPr>
        <w:t>审稿人</w:t>
      </w:r>
      <w:r>
        <w:rPr>
          <w:rFonts w:hint="eastAsia" w:eastAsia="宋体" w:cs="宋体" w:asciiTheme="minorHAnsi" w:hAnsiTheme="minorHAnsi"/>
          <w:b/>
          <w:bCs/>
          <w:kern w:val="2"/>
          <w:sz w:val="28"/>
          <w:szCs w:val="28"/>
          <w:lang w:eastAsia="zh-CN"/>
        </w:rPr>
        <w:t>：</w:t>
      </w:r>
    </w:p>
    <w:p w14:paraId="0531DAFA">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Candy Alexander Daniel C</w:t>
      </w:r>
    </w:p>
    <w:p w14:paraId="78971FCF">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rFonts w:hint="eastAsia"/>
          <w:color w:val="111A25"/>
          <w:spacing w:val="-2"/>
          <w:szCs w:val="24"/>
          <w:lang w:eastAsia="zh-CN"/>
        </w:rPr>
      </w:pPr>
      <w:r>
        <w:rPr>
          <w:color w:val="111A25"/>
          <w:spacing w:val="-2"/>
          <w:szCs w:val="24"/>
        </w:rPr>
        <w:t>Elier Cruz</w:t>
      </w:r>
    </w:p>
    <w:p w14:paraId="776158BE">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Harie Srinivasa Bangalore Ram Thilak Karan Goenka</w:t>
      </w:r>
    </w:p>
    <w:p w14:paraId="6C966D54">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Kenneth Thomas Moras Namal Kulathunga Nicolas Ray</w:t>
      </w:r>
    </w:p>
    <w:p w14:paraId="61ED168A">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Otto Sulin Rohit Valia Sanitra Angram </w:t>
      </w:r>
    </w:p>
    <w:p w14:paraId="5F86A30B">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Tom Bowyer </w:t>
      </w:r>
    </w:p>
    <w:p w14:paraId="4B29C0F3">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Vaibhav Malik</w:t>
      </w:r>
    </w:p>
    <w:p w14:paraId="697F3812">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rFonts w:hint="eastAsia"/>
          <w:lang w:eastAsia="zh-CN"/>
        </w:rPr>
      </w:pPr>
      <w:r>
        <w:rPr>
          <w:color w:val="111A25"/>
          <w:spacing w:val="-2"/>
          <w:szCs w:val="24"/>
        </w:rPr>
        <w:t>Yuvaraj Madheswaran</w:t>
      </w:r>
    </w:p>
    <w:p w14:paraId="5C754927">
      <w:pPr>
        <w:pStyle w:val="13"/>
        <w:ind w:left="0" w:leftChars="0" w:firstLine="0" w:firstLineChars="0"/>
        <w:rPr>
          <w:rFonts w:hint="eastAsia" w:ascii="Arial" w:hAnsi="Arial" w:cs="Arial"/>
          <w:b/>
          <w:bCs/>
          <w:sz w:val="28"/>
          <w:szCs w:val="28"/>
          <w:lang w:eastAsia="zh-CN"/>
        </w:rPr>
      </w:pPr>
      <w:r>
        <w:rPr>
          <w:rFonts w:hint="eastAsia" w:ascii="Arial" w:hAnsi="Arial" w:cs="Arial"/>
          <w:b/>
          <w:bCs/>
          <w:sz w:val="28"/>
          <w:szCs w:val="28"/>
          <w:lang w:eastAsia="zh-CN"/>
        </w:rPr>
        <w:t>联席组长</w:t>
      </w:r>
      <w:r>
        <w:rPr>
          <w:rFonts w:hint="eastAsia" w:eastAsia="宋体" w:cs="宋体" w:asciiTheme="minorHAnsi" w:hAnsiTheme="minorHAnsi"/>
          <w:b/>
          <w:bCs/>
          <w:kern w:val="2"/>
          <w:sz w:val="28"/>
          <w:szCs w:val="28"/>
          <w:lang w:eastAsia="zh-CN"/>
        </w:rPr>
        <w:t>：</w:t>
      </w:r>
    </w:p>
    <w:p w14:paraId="1A84403A">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Chris Kirschke </w:t>
      </w:r>
    </w:p>
    <w:p w14:paraId="411626D5">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b/>
          <w:bCs/>
          <w:szCs w:val="24"/>
        </w:rPr>
      </w:pPr>
      <w:r>
        <w:rPr>
          <w:color w:val="111A25"/>
          <w:spacing w:val="-2"/>
          <w:szCs w:val="24"/>
        </w:rPr>
        <w:t xml:space="preserve">Mark Yanalitis </w:t>
      </w:r>
    </w:p>
    <w:p w14:paraId="2A0C6795">
      <w:pPr>
        <w:pStyle w:val="13"/>
        <w:ind w:left="0" w:leftChars="0" w:firstLine="0" w:firstLineChars="0"/>
        <w:rPr>
          <w:rFonts w:hint="eastAsia" w:ascii="Arial" w:hAnsi="Arial" w:eastAsia="宋体" w:cs="Arial"/>
          <w:b/>
          <w:bCs/>
          <w:sz w:val="28"/>
          <w:szCs w:val="28"/>
          <w:lang w:eastAsia="zh-CN"/>
        </w:rPr>
      </w:pPr>
      <w:r>
        <w:rPr>
          <w:rFonts w:hint="eastAsia" w:ascii="Arial" w:hAnsi="Arial" w:cs="Arial"/>
          <w:b/>
          <w:bCs/>
          <w:sz w:val="28"/>
          <w:szCs w:val="28"/>
        </w:rPr>
        <w:t>CSA全球工作人员</w:t>
      </w:r>
      <w:r>
        <w:rPr>
          <w:rFonts w:hint="eastAsia" w:eastAsia="宋体" w:cs="宋体" w:asciiTheme="minorHAnsi" w:hAnsiTheme="minorHAnsi"/>
          <w:b/>
          <w:bCs/>
          <w:kern w:val="2"/>
          <w:sz w:val="28"/>
          <w:szCs w:val="28"/>
          <w:lang w:eastAsia="zh-CN"/>
        </w:rPr>
        <w:t>：</w:t>
      </w:r>
    </w:p>
    <w:p w14:paraId="38EE7FB8">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Josh Buker </w:t>
      </w:r>
    </w:p>
    <w:p w14:paraId="30A67F5A">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Marina Bregkou </w:t>
      </w:r>
    </w:p>
    <w:p w14:paraId="7E705A70">
      <w:pPr>
        <w:pStyle w:val="13"/>
        <w:keepNext w:val="0"/>
        <w:keepLines w:val="0"/>
        <w:pageBreakBefore w:val="0"/>
        <w:widowControl w:val="0"/>
        <w:kinsoku/>
        <w:wordWrap/>
        <w:overflowPunct/>
        <w:topLinePunct w:val="0"/>
        <w:autoSpaceDE w:val="0"/>
        <w:autoSpaceDN w:val="0"/>
        <w:bidi w:val="0"/>
        <w:adjustRightInd/>
        <w:snapToGrid/>
        <w:spacing w:before="0" w:beforeLines="100" w:after="0" w:afterLines="100"/>
        <w:ind w:left="0" w:leftChars="0" w:right="1429" w:firstLine="0" w:firstLineChars="0"/>
        <w:textAlignment w:val="auto"/>
        <w:rPr>
          <w:color w:val="111A25"/>
          <w:spacing w:val="-2"/>
          <w:szCs w:val="24"/>
        </w:rPr>
      </w:pPr>
      <w:r>
        <w:rPr>
          <w:color w:val="111A25"/>
          <w:spacing w:val="-2"/>
          <w:szCs w:val="24"/>
        </w:rPr>
        <w:t xml:space="preserve">Stephen Smith </w:t>
      </w:r>
    </w:p>
    <w:p w14:paraId="55868B4E">
      <w:pPr>
        <w:widowControl/>
        <w:rPr>
          <w:rFonts w:eastAsiaTheme="minorEastAsia"/>
          <w:lang w:eastAsia="zh-CN"/>
        </w:rPr>
      </w:pPr>
    </w:p>
    <w:p w14:paraId="1DF7A8B7">
      <w:pPr>
        <w:widowControl/>
        <w:autoSpaceDE/>
        <w:autoSpaceDN/>
        <w:rPr>
          <w:rFonts w:eastAsiaTheme="minorEastAsia"/>
          <w:lang w:eastAsia="zh-CN"/>
        </w:rPr>
      </w:pPr>
      <w:r>
        <w:rPr>
          <w:rFonts w:eastAsiaTheme="minorEastAsia"/>
          <w:lang w:eastAsia="zh-CN"/>
        </w:rPr>
        <w:br w:type="page"/>
      </w:r>
    </w:p>
    <w:sdt>
      <w:sdtPr>
        <w:rPr>
          <w:lang w:val="zh-CN"/>
        </w:rPr>
        <w:id w:val="1812141063"/>
        <w:docPartObj>
          <w:docPartGallery w:val="Table of Contents"/>
          <w:docPartUnique/>
        </w:docPartObj>
      </w:sdtPr>
      <w:sdtEndPr>
        <w:rPr>
          <w:rFonts w:ascii="Arial" w:hAnsi="Arial" w:eastAsia="Arial" w:cs="Arial"/>
          <w:b/>
          <w:bCs/>
          <w:color w:val="auto"/>
          <w:sz w:val="22"/>
          <w:szCs w:val="22"/>
          <w:lang w:val="zh-CN" w:eastAsia="en-US"/>
        </w:rPr>
      </w:sdtEndPr>
      <w:sdtContent>
        <w:p w14:paraId="58070B1D">
          <w:pPr>
            <w:pStyle w:val="57"/>
            <w:spacing w:line="360" w:lineRule="auto"/>
            <w:jc w:val="center"/>
            <w:rPr>
              <w:rFonts w:hint="eastAsia" w:ascii="宋体" w:hAnsi="宋体" w:eastAsia="宋体"/>
              <w:b/>
              <w:bCs/>
              <w:sz w:val="36"/>
              <w:szCs w:val="36"/>
            </w:rPr>
          </w:pPr>
          <w:r>
            <w:rPr>
              <w:rFonts w:ascii="宋体" w:hAnsi="宋体" w:eastAsia="宋体"/>
              <w:b/>
              <w:bCs/>
              <w:sz w:val="36"/>
              <w:szCs w:val="36"/>
              <w:lang w:val="zh-CN"/>
            </w:rPr>
            <w:t>目录</w:t>
          </w:r>
        </w:p>
        <w:p w14:paraId="75FB0DF3">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TOC \o "1-3" \h \z \u </w:instrText>
          </w:r>
          <w:r>
            <w:rPr>
              <w:rFonts w:hint="eastAsia"/>
            </w:rPr>
            <w:fldChar w:fldCharType="separate"/>
          </w:r>
          <w:r>
            <w:fldChar w:fldCharType="begin"/>
          </w:r>
          <w:r>
            <w:instrText xml:space="preserve"> HYPERLINK \l "_Toc195018702" </w:instrText>
          </w:r>
          <w:r>
            <w:fldChar w:fldCharType="separate"/>
          </w:r>
          <w:r>
            <w:rPr>
              <w:rStyle w:val="26"/>
              <w:rFonts w:hint="eastAsia" w:ascii="宋体" w:hAnsi="宋体" w:eastAsia="宋体" w:cs="宋体"/>
              <w:kern w:val="44"/>
              <w:sz w:val="24"/>
              <w:szCs w:val="24"/>
              <w:lang w:eastAsia="zh-CN"/>
            </w:rPr>
            <w:t>致谢</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_Toc195018702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4</w:t>
          </w:r>
          <w:r>
            <w:rPr>
              <w:rFonts w:hint="eastAsia" w:ascii="宋体" w:hAnsi="宋体" w:eastAsia="宋体"/>
              <w:sz w:val="24"/>
              <w:szCs w:val="24"/>
            </w:rPr>
            <w:fldChar w:fldCharType="end"/>
          </w:r>
          <w:r>
            <w:rPr>
              <w:rFonts w:hint="eastAsia" w:ascii="宋体" w:hAnsi="宋体" w:eastAsia="宋体"/>
              <w:sz w:val="24"/>
              <w:szCs w:val="24"/>
            </w:rPr>
            <w:fldChar w:fldCharType="end"/>
          </w:r>
        </w:p>
        <w:p w14:paraId="3B530788">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"_Toc195018703" </w:instrText>
          </w:r>
          <w:r>
            <w:fldChar w:fldCharType="separate"/>
          </w:r>
          <w:r>
            <w:rPr>
              <w:rStyle w:val="26"/>
              <w:rFonts w:hint="eastAsia" w:ascii="宋体" w:hAnsi="宋体" w:eastAsia="宋体" w:cs="宋体"/>
              <w:kern w:val="44"/>
              <w:sz w:val="24"/>
              <w:szCs w:val="24"/>
              <w:lang w:eastAsia="zh-CN"/>
            </w:rPr>
            <w:t>前言</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_Toc195018703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7B54C7BE">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"_Toc195018704" </w:instrText>
          </w:r>
          <w:r>
            <w:fldChar w:fldCharType="separate"/>
          </w:r>
          <w:r>
            <w:rPr>
              <w:rStyle w:val="26"/>
              <w:rFonts w:hint="eastAsia" w:ascii="宋体" w:hAnsi="宋体" w:eastAsia="宋体" w:cs="宋体"/>
              <w:kern w:val="44"/>
              <w:sz w:val="24"/>
              <w:szCs w:val="24"/>
              <w:lang w:eastAsia="zh-CN"/>
            </w:rPr>
            <w:t>目标读者</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_Toc195018704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7E7FADF8">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"_Toc195018705" </w:instrText>
          </w:r>
          <w:r>
            <w:fldChar w:fldCharType="separate"/>
          </w:r>
          <w:r>
            <w:rPr>
              <w:rStyle w:val="26"/>
              <w:rFonts w:hint="eastAsia" w:ascii="宋体" w:hAnsi="宋体" w:eastAsia="宋体" w:cs="宋体"/>
              <w:kern w:val="44"/>
              <w:sz w:val="24"/>
              <w:szCs w:val="24"/>
              <w:lang w:eastAsia="zh-CN"/>
            </w:rPr>
            <w:t>范围</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_Toc195018705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10</w:t>
          </w:r>
          <w:r>
            <w:rPr>
              <w:rFonts w:hint="eastAsia" w:ascii="宋体" w:hAnsi="宋体" w:eastAsia="宋体"/>
              <w:sz w:val="24"/>
              <w:szCs w:val="24"/>
            </w:rPr>
            <w:fldChar w:fldCharType="end"/>
          </w:r>
          <w:r>
            <w:rPr>
              <w:rFonts w:hint="eastAsia" w:ascii="宋体" w:hAnsi="宋体" w:eastAsia="宋体"/>
              <w:sz w:val="24"/>
              <w:szCs w:val="24"/>
            </w:rPr>
            <w:fldChar w:fldCharType="end"/>
          </w:r>
        </w:p>
        <w:p w14:paraId="0341FD4E">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"_Toc195018706" </w:instrText>
          </w:r>
          <w:r>
            <w:fldChar w:fldCharType="separate"/>
          </w:r>
          <w:r>
            <w:rPr>
              <w:rStyle w:val="26"/>
              <w:rFonts w:hint="eastAsia" w:ascii="宋体" w:hAnsi="宋体" w:eastAsia="宋体" w:cs="宋体"/>
              <w:kern w:val="44"/>
              <w:sz w:val="24"/>
              <w:szCs w:val="24"/>
              <w:lang w:eastAsia="zh-CN"/>
            </w:rPr>
            <w:t>引言</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_Toc195018706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10</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59F56B5">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"_Toc195018707" </w:instrText>
          </w:r>
          <w:r>
            <w:fldChar w:fldCharType="separate"/>
          </w:r>
          <w:r>
            <w:rPr>
              <w:rStyle w:val="26"/>
              <w:rFonts w:hint="eastAsia" w:ascii="宋体" w:hAnsi="宋体" w:eastAsia="宋体" w:cs="宋体"/>
              <w:kern w:val="44"/>
              <w:sz w:val="24"/>
              <w:szCs w:val="24"/>
              <w:lang w:eastAsia="zh-CN"/>
            </w:rPr>
            <w:t>一、四大支柱：模型卡片，数据手册，风</w:t>
          </w:r>
          <w:bookmarkStart w:id="72" w:name="_GoBack"/>
          <w:bookmarkEnd w:id="72"/>
          <w:r>
            <w:rPr>
              <w:rStyle w:val="26"/>
              <w:rFonts w:hint="eastAsia" w:ascii="宋体" w:hAnsi="宋体" w:eastAsia="宋体" w:cs="宋体"/>
              <w:kern w:val="44"/>
              <w:sz w:val="24"/>
              <w:szCs w:val="24"/>
              <w:lang w:eastAsia="zh-CN"/>
            </w:rPr>
            <w:t>险卡片，场景规划</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_Toc195018707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15</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CCE082B">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"_Toc195018708" </w:instrText>
          </w:r>
          <w:r>
            <w:fldChar w:fldCharType="separate"/>
          </w:r>
          <w:r>
            <w:rPr>
              <w:rStyle w:val="26"/>
              <w:rFonts w:hint="eastAsia" w:ascii="宋体" w:hAnsi="宋体" w:eastAsia="宋体" w:cs="宋体"/>
              <w:kern w:val="44"/>
              <w:sz w:val="24"/>
              <w:szCs w:val="24"/>
              <w:lang w:eastAsia="zh-CN"/>
            </w:rPr>
            <w:t>二、全面框架的好处</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_Toc195018708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17</w:t>
          </w:r>
          <w:r>
            <w:rPr>
              <w:rFonts w:hint="eastAsia" w:ascii="宋体" w:hAnsi="宋体" w:eastAsia="宋体"/>
              <w:sz w:val="24"/>
              <w:szCs w:val="24"/>
            </w:rPr>
            <w:fldChar w:fldCharType="end"/>
          </w:r>
          <w:r>
            <w:rPr>
              <w:rFonts w:hint="eastAsia" w:ascii="宋体" w:hAnsi="宋体" w:eastAsia="宋体"/>
              <w:sz w:val="24"/>
              <w:szCs w:val="24"/>
            </w:rPr>
            <w:fldChar w:fldCharType="end"/>
          </w:r>
        </w:p>
        <w:p w14:paraId="271C1CC2">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"_Toc195018709" </w:instrText>
          </w:r>
          <w:r>
            <w:fldChar w:fldCharType="separate"/>
          </w:r>
          <w:r>
            <w:rPr>
              <w:rStyle w:val="26"/>
              <w:rFonts w:hint="eastAsia" w:ascii="宋体" w:hAnsi="宋体" w:eastAsia="宋体"/>
              <w:sz w:val="24"/>
              <w:szCs w:val="24"/>
              <w:lang w:eastAsia="zh-CN"/>
            </w:rPr>
            <w:t>1.</w:t>
          </w:r>
          <w:r>
            <w:rPr>
              <w:rStyle w:val="26"/>
              <w:rFonts w:hint="eastAsia" w:ascii="宋体" w:hAnsi="宋体" w:eastAsia="宋体" w:cs="宋体"/>
              <w:sz w:val="24"/>
              <w:szCs w:val="24"/>
              <w:lang w:eastAsia="zh-CN"/>
            </w:rPr>
            <w:t>增强透明度，可解释性和问责制</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_Toc195018709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17</w:t>
          </w:r>
          <w:r>
            <w:rPr>
              <w:rFonts w:hint="eastAsia" w:ascii="宋体" w:hAnsi="宋体" w:eastAsia="宋体"/>
              <w:sz w:val="24"/>
              <w:szCs w:val="24"/>
            </w:rPr>
            <w:fldChar w:fldCharType="end"/>
          </w:r>
          <w:r>
            <w:rPr>
              <w:rFonts w:hint="eastAsia" w:ascii="宋体" w:hAnsi="宋体" w:eastAsia="宋体"/>
              <w:sz w:val="24"/>
              <w:szCs w:val="24"/>
            </w:rPr>
            <w:fldChar w:fldCharType="end"/>
          </w:r>
        </w:p>
        <w:p w14:paraId="7C880EB9">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"_Toc195018710" </w:instrText>
          </w:r>
          <w:r>
            <w:fldChar w:fldCharType="separate"/>
          </w:r>
          <w:r>
            <w:rPr>
              <w:rStyle w:val="26"/>
              <w:rFonts w:hint="eastAsia" w:ascii="宋体" w:hAnsi="宋体" w:eastAsia="宋体"/>
              <w:sz w:val="24"/>
              <w:szCs w:val="24"/>
              <w:lang w:eastAsia="zh-CN"/>
            </w:rPr>
            <w:t>2.</w:t>
          </w:r>
          <w:r>
            <w:rPr>
              <w:rStyle w:val="26"/>
              <w:rFonts w:hint="eastAsia" w:ascii="宋体" w:hAnsi="宋体" w:eastAsia="宋体" w:cs="宋体"/>
              <w:sz w:val="24"/>
              <w:szCs w:val="24"/>
              <w:lang w:eastAsia="zh-CN"/>
            </w:rPr>
            <w:t>主动风险评估和场景分析</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_Toc195018710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0AA9BDA8">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"_Toc195018711" </w:instrText>
          </w:r>
          <w:r>
            <w:fldChar w:fldCharType="separate"/>
          </w:r>
          <w:r>
            <w:rPr>
              <w:rStyle w:val="26"/>
              <w:rFonts w:hint="eastAsia" w:ascii="宋体" w:hAnsi="宋体" w:eastAsia="宋体"/>
              <w:sz w:val="24"/>
              <w:szCs w:val="24"/>
              <w:lang w:eastAsia="zh-CN"/>
            </w:rPr>
            <w:t>3.</w:t>
          </w:r>
          <w:r>
            <w:rPr>
              <w:rStyle w:val="26"/>
              <w:rFonts w:hint="eastAsia" w:ascii="宋体" w:hAnsi="宋体" w:eastAsia="宋体" w:cs="宋体"/>
              <w:sz w:val="24"/>
              <w:szCs w:val="24"/>
              <w:lang w:eastAsia="zh-CN"/>
            </w:rPr>
            <w:t>制定风险缓解策略</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_Toc195018711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2CDD7F9E">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"_Toc195018712" </w:instrText>
          </w:r>
          <w:r>
            <w:fldChar w:fldCharType="separate"/>
          </w:r>
          <w:r>
            <w:rPr>
              <w:rStyle w:val="26"/>
              <w:rFonts w:hint="eastAsia" w:ascii="宋体" w:hAnsi="宋体" w:eastAsia="宋体"/>
              <w:sz w:val="24"/>
              <w:szCs w:val="24"/>
              <w:lang w:eastAsia="zh-CN"/>
            </w:rPr>
            <w:t>4.</w:t>
          </w:r>
          <w:r>
            <w:rPr>
              <w:rStyle w:val="26"/>
              <w:rFonts w:hint="eastAsia" w:ascii="宋体" w:hAnsi="宋体" w:eastAsia="宋体" w:cs="宋体"/>
              <w:sz w:val="24"/>
              <w:szCs w:val="24"/>
              <w:lang w:eastAsia="zh-CN"/>
            </w:rPr>
            <w:t>明智决策与模型治理</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_Toc195018712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4875A2F8">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"_Toc195018713" </w:instrText>
          </w:r>
          <w:r>
            <w:fldChar w:fldCharType="separate"/>
          </w:r>
          <w:r>
            <w:rPr>
              <w:rStyle w:val="26"/>
              <w:rFonts w:hint="eastAsia" w:ascii="宋体" w:hAnsi="宋体" w:eastAsia="宋体"/>
              <w:sz w:val="24"/>
              <w:szCs w:val="24"/>
              <w:lang w:eastAsia="zh-CN"/>
            </w:rPr>
            <w:t>5.</w:t>
          </w:r>
          <w:r>
            <w:rPr>
              <w:rStyle w:val="26"/>
              <w:rFonts w:hint="eastAsia" w:ascii="宋体" w:hAnsi="宋体" w:eastAsia="宋体" w:cs="宋体"/>
              <w:sz w:val="24"/>
              <w:szCs w:val="24"/>
              <w:lang w:eastAsia="zh-CN"/>
            </w:rPr>
            <w:t>健壮模型验证</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_Toc195018713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63F9E460">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"_Toc195018714" </w:instrText>
          </w:r>
          <w:r>
            <w:fldChar w:fldCharType="separate"/>
          </w:r>
          <w:r>
            <w:rPr>
              <w:rStyle w:val="26"/>
              <w:rFonts w:hint="eastAsia" w:ascii="宋体" w:hAnsi="宋体" w:eastAsia="宋体"/>
              <w:sz w:val="24"/>
              <w:szCs w:val="24"/>
              <w:lang w:eastAsia="zh-CN"/>
            </w:rPr>
            <w:t>6.</w:t>
          </w:r>
          <w:r>
            <w:rPr>
              <w:rStyle w:val="26"/>
              <w:rFonts w:hint="eastAsia" w:ascii="宋体" w:hAnsi="宋体" w:eastAsia="宋体" w:cs="宋体"/>
              <w:sz w:val="24"/>
              <w:szCs w:val="24"/>
              <w:lang w:eastAsia="zh-CN"/>
            </w:rPr>
            <w:t>建立信任并增强模型采纳</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_Toc195018714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04BB2061">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"_Toc195018715" </w:instrText>
          </w:r>
          <w:r>
            <w:fldChar w:fldCharType="separate"/>
          </w:r>
          <w:r>
            <w:rPr>
              <w:rStyle w:val="26"/>
              <w:rFonts w:hint="eastAsia" w:ascii="宋体" w:hAnsi="宋体" w:eastAsia="宋体"/>
              <w:sz w:val="24"/>
              <w:szCs w:val="24"/>
              <w:lang w:eastAsia="zh-CN"/>
            </w:rPr>
            <w:t>7.</w:t>
          </w:r>
          <w:r>
            <w:rPr>
              <w:rStyle w:val="26"/>
              <w:rFonts w:hint="eastAsia" w:ascii="宋体" w:hAnsi="宋体" w:eastAsia="宋体" w:cs="宋体"/>
              <w:sz w:val="24"/>
              <w:szCs w:val="24"/>
              <w:lang w:eastAsia="zh-CN"/>
            </w:rPr>
            <w:t>持续监控和改进</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_Toc195018715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9D5D320">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"_Toc195018716" </w:instrText>
          </w:r>
          <w:r>
            <w:fldChar w:fldCharType="separate"/>
          </w:r>
          <w:r>
            <w:rPr>
              <w:rStyle w:val="26"/>
              <w:rFonts w:hint="eastAsia" w:ascii="宋体" w:hAnsi="宋体" w:eastAsia="宋体"/>
              <w:sz w:val="24"/>
              <w:szCs w:val="24"/>
              <w:lang w:eastAsia="zh-CN"/>
            </w:rPr>
            <w:t>8.</w:t>
          </w:r>
          <w:r>
            <w:rPr>
              <w:rStyle w:val="26"/>
              <w:rFonts w:hint="eastAsia" w:ascii="宋体" w:hAnsi="宋体" w:eastAsia="宋体" w:cs="宋体"/>
              <w:sz w:val="24"/>
              <w:szCs w:val="24"/>
              <w:lang w:eastAsia="zh-CN"/>
            </w:rPr>
            <w:t>积极社会与伦理影响</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_Toc195018716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3B113AB5">
          <w:pPr>
            <w:pStyle w:val="20"/>
            <w:tabs>
              <w:tab w:val="left" w:pos="1100"/>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"_Toc195018717" </w:instrText>
          </w:r>
          <w:r>
            <w:fldChar w:fldCharType="separate"/>
          </w:r>
          <w:r>
            <w:rPr>
              <w:rStyle w:val="26"/>
              <w:rFonts w:hint="eastAsia" w:ascii="宋体" w:hAnsi="宋体" w:eastAsia="宋体"/>
              <w:sz w:val="24"/>
              <w:szCs w:val="24"/>
              <w:lang w:eastAsia="zh-CN"/>
            </w:rPr>
            <w:t>9.</w:t>
          </w:r>
          <w:r>
            <w:rPr>
              <w:rStyle w:val="26"/>
              <w:rFonts w:hint="eastAsia" w:ascii="宋体" w:hAnsi="宋体" w:eastAsia="宋体" w:cs="宋体"/>
              <w:sz w:val="24"/>
              <w:szCs w:val="24"/>
              <w:lang w:eastAsia="zh-CN"/>
            </w:rPr>
            <w:t>强有力的治理和监督</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_Toc195018717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19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F06018E">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"_Toc195018718" </w:instrText>
          </w:r>
          <w:r>
            <w:fldChar w:fldCharType="separate"/>
          </w:r>
          <w:r>
            <w:rPr>
              <w:rStyle w:val="26"/>
              <w:rFonts w:hint="eastAsia" w:ascii="宋体" w:hAnsi="宋体" w:eastAsia="宋体" w:cs="宋体"/>
              <w:sz w:val="24"/>
              <w:szCs w:val="24"/>
              <w:lang w:eastAsia="zh-CN"/>
            </w:rPr>
            <w:t>三、关键组成部分</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_Toc195018718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20</w:t>
          </w:r>
          <w:r>
            <w:rPr>
              <w:rFonts w:hint="eastAsia" w:ascii="宋体" w:hAnsi="宋体" w:eastAsia="宋体"/>
              <w:sz w:val="24"/>
              <w:szCs w:val="24"/>
            </w:rPr>
            <w:fldChar w:fldCharType="end"/>
          </w:r>
          <w:r>
            <w:rPr>
              <w:rFonts w:hint="eastAsia" w:ascii="宋体" w:hAnsi="宋体" w:eastAsia="宋体"/>
              <w:sz w:val="24"/>
              <w:szCs w:val="24"/>
            </w:rPr>
            <w:fldChar w:fldCharType="end"/>
          </w:r>
        </w:p>
        <w:p w14:paraId="44766938">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"_Toc195018719" </w:instrText>
          </w:r>
          <w:r>
            <w:fldChar w:fldCharType="separate"/>
          </w:r>
          <w:r>
            <w:rPr>
              <w:rStyle w:val="26"/>
              <w:rFonts w:hint="eastAsia" w:ascii="宋体" w:hAnsi="宋体" w:eastAsia="宋体"/>
              <w:sz w:val="24"/>
              <w:szCs w:val="24"/>
              <w:lang w:eastAsia="zh-CN"/>
            </w:rPr>
            <w:t>1.</w:t>
          </w:r>
          <w:r>
            <w:rPr>
              <w:rStyle w:val="26"/>
              <w:rFonts w:hint="eastAsia" w:ascii="宋体" w:hAnsi="宋体" w:eastAsia="宋体" w:cs="宋体"/>
              <w:sz w:val="24"/>
              <w:szCs w:val="24"/>
              <w:lang w:eastAsia="zh-CN"/>
            </w:rPr>
            <w:t>模型卡片：理解模型</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_Toc195018719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20</w:t>
          </w:r>
          <w:r>
            <w:rPr>
              <w:rFonts w:hint="eastAsia" w:ascii="宋体" w:hAnsi="宋体" w:eastAsia="宋体"/>
              <w:sz w:val="24"/>
              <w:szCs w:val="24"/>
            </w:rPr>
            <w:fldChar w:fldCharType="end"/>
          </w:r>
          <w:r>
            <w:rPr>
              <w:rFonts w:hint="eastAsia" w:ascii="宋体" w:hAnsi="宋体" w:eastAsia="宋体"/>
              <w:sz w:val="24"/>
              <w:szCs w:val="24"/>
            </w:rPr>
            <w:fldChar w:fldCharType="end"/>
          </w:r>
        </w:p>
        <w:p w14:paraId="0DAF71DF">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"_Toc195018720" </w:instrText>
          </w:r>
          <w:r>
            <w:fldChar w:fldCharType="separate"/>
          </w:r>
          <w:r>
            <w:rPr>
              <w:rStyle w:val="26"/>
              <w:rFonts w:hint="eastAsia" w:ascii="宋体" w:hAnsi="宋体" w:eastAsia="宋体" w:cstheme="minorBidi"/>
              <w:sz w:val="24"/>
              <w:szCs w:val="24"/>
              <w:lang w:eastAsia="zh-CN"/>
            </w:rPr>
            <w:t>2.</w:t>
          </w:r>
          <w:r>
            <w:rPr>
              <w:rStyle w:val="26"/>
              <w:rFonts w:hint="eastAsia" w:ascii="宋体" w:hAnsi="宋体" w:eastAsia="宋体" w:cs="宋体"/>
              <w:sz w:val="24"/>
              <w:szCs w:val="24"/>
              <w:lang w:eastAsia="zh-CN"/>
            </w:rPr>
            <w:t>数据手册：检查训练数据</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_Toc195018720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24</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EB03A67">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"_Toc195018721" </w:instrText>
          </w:r>
          <w:r>
            <w:fldChar w:fldCharType="separate"/>
          </w:r>
          <w:r>
            <w:rPr>
              <w:rStyle w:val="26"/>
              <w:rFonts w:hint="eastAsia" w:ascii="宋体" w:hAnsi="宋体" w:eastAsia="宋体" w:cstheme="minorBidi"/>
              <w:sz w:val="24"/>
              <w:szCs w:val="24"/>
              <w:lang w:eastAsia="zh-CN"/>
            </w:rPr>
            <w:t>3.</w:t>
          </w:r>
          <w:r>
            <w:rPr>
              <w:rStyle w:val="26"/>
              <w:rFonts w:hint="eastAsia" w:ascii="宋体" w:hAnsi="宋体" w:eastAsia="宋体" w:cs="宋体"/>
              <w:sz w:val="24"/>
              <w:szCs w:val="24"/>
              <w:lang w:eastAsia="zh-CN"/>
            </w:rPr>
            <w:t>风险卡片：识别潜在问题</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_Toc195018721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27</w:t>
          </w:r>
          <w:r>
            <w:rPr>
              <w:rFonts w:hint="eastAsia" w:ascii="宋体" w:hAnsi="宋体" w:eastAsia="宋体"/>
              <w:sz w:val="24"/>
              <w:szCs w:val="24"/>
            </w:rPr>
            <w:fldChar w:fldCharType="end"/>
          </w:r>
          <w:r>
            <w:rPr>
              <w:rFonts w:hint="eastAsia" w:ascii="宋体" w:hAnsi="宋体" w:eastAsia="宋体"/>
              <w:sz w:val="24"/>
              <w:szCs w:val="24"/>
            </w:rPr>
            <w:fldChar w:fldCharType="end"/>
          </w:r>
        </w:p>
        <w:p w14:paraId="69BD3258">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"_Toc195018722" </w:instrText>
          </w:r>
          <w:r>
            <w:fldChar w:fldCharType="separate"/>
          </w:r>
          <w:r>
            <w:rPr>
              <w:rStyle w:val="26"/>
              <w:rFonts w:hint="eastAsia" w:ascii="宋体" w:hAnsi="宋体" w:eastAsia="宋体" w:cstheme="minorBidi"/>
              <w:sz w:val="24"/>
              <w:szCs w:val="24"/>
              <w:lang w:eastAsia="zh-CN"/>
            </w:rPr>
            <w:t>4.</w:t>
          </w:r>
          <w:r>
            <w:rPr>
              <w:rStyle w:val="26"/>
              <w:rFonts w:hint="eastAsia" w:ascii="宋体" w:hAnsi="宋体" w:eastAsia="宋体" w:cs="宋体"/>
              <w:sz w:val="24"/>
              <w:szCs w:val="24"/>
              <w:lang w:eastAsia="zh-CN"/>
            </w:rPr>
            <w:t>场景规划：“假设”方法</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_Toc195018722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31</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A414B43">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"_Toc195018723" </w:instrText>
          </w:r>
          <w:r>
            <w:fldChar w:fldCharType="separate"/>
          </w:r>
          <w:r>
            <w:rPr>
              <w:rStyle w:val="26"/>
              <w:rFonts w:hint="eastAsia" w:ascii="宋体" w:hAnsi="宋体" w:eastAsia="宋体" w:cs="宋体"/>
              <w:kern w:val="44"/>
              <w:sz w:val="24"/>
              <w:szCs w:val="24"/>
              <w:lang w:eastAsia="zh-CN"/>
            </w:rPr>
            <w:t>四、总体技术：一种整合方法</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_Toc195018723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38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55F11564">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"_Toc195018724" </w:instrText>
          </w:r>
          <w:r>
            <w:fldChar w:fldCharType="separate"/>
          </w:r>
          <w:r>
            <w:rPr>
              <w:rStyle w:val="26"/>
              <w:rFonts w:hint="eastAsia" w:ascii="宋体" w:hAnsi="宋体" w:eastAsia="宋体"/>
              <w:sz w:val="24"/>
              <w:szCs w:val="24"/>
              <w:lang w:eastAsia="zh-CN"/>
            </w:rPr>
            <w:t>1.利用模型卡信息创建风险卡</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_Toc195018724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38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CCE852E">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"_Toc195018725" </w:instrText>
          </w:r>
          <w:r>
            <w:fldChar w:fldCharType="separate"/>
          </w:r>
          <w:r>
            <w:rPr>
              <w:rStyle w:val="26"/>
              <w:rFonts w:hint="eastAsia" w:ascii="宋体" w:hAnsi="宋体" w:eastAsia="宋体"/>
              <w:sz w:val="24"/>
              <w:szCs w:val="24"/>
              <w:lang w:eastAsia="zh-CN"/>
            </w:rPr>
            <w:t>2.使用数据手册加强模型理解</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_Toc195018725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38</w:t>
          </w:r>
          <w:r>
            <w:rPr>
              <w:rFonts w:hint="eastAsia" w:ascii="宋体" w:hAnsi="宋体" w:eastAsia="宋体"/>
              <w:sz w:val="24"/>
              <w:szCs w:val="24"/>
            </w:rPr>
            <w:fldChar w:fldCharType="end"/>
          </w:r>
          <w:r>
            <w:rPr>
              <w:rFonts w:hint="eastAsia" w:ascii="宋体" w:hAnsi="宋体" w:eastAsia="宋体"/>
              <w:sz w:val="24"/>
              <w:szCs w:val="24"/>
            </w:rPr>
            <w:fldChar w:fldCharType="end"/>
          </w:r>
        </w:p>
        <w:p w14:paraId="39D8061C">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"_Toc195018726" </w:instrText>
          </w:r>
          <w:r>
            <w:fldChar w:fldCharType="separate"/>
          </w:r>
          <w:r>
            <w:rPr>
              <w:rStyle w:val="26"/>
              <w:rFonts w:hint="eastAsia" w:ascii="宋体" w:hAnsi="宋体" w:eastAsia="宋体"/>
              <w:sz w:val="24"/>
              <w:szCs w:val="24"/>
              <w:lang w:eastAsia="zh-CN"/>
            </w:rPr>
            <w:t>3.使用风险卡指导场景规划</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_Toc195018726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39</w:t>
          </w:r>
          <w:r>
            <w:rPr>
              <w:rFonts w:hint="eastAsia" w:ascii="宋体" w:hAnsi="宋体" w:eastAsia="宋体"/>
              <w:sz w:val="24"/>
              <w:szCs w:val="24"/>
            </w:rPr>
            <w:fldChar w:fldCharType="end"/>
          </w:r>
          <w:r>
            <w:rPr>
              <w:rFonts w:hint="eastAsia" w:ascii="宋体" w:hAnsi="宋体" w:eastAsia="宋体"/>
              <w:sz w:val="24"/>
              <w:szCs w:val="24"/>
            </w:rPr>
            <w:fldChar w:fldCharType="end"/>
          </w:r>
        </w:p>
        <w:p w14:paraId="2F6F3631">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"_Toc195018727" </w:instrText>
          </w:r>
          <w:r>
            <w:fldChar w:fldCharType="separate"/>
          </w:r>
          <w:r>
            <w:rPr>
              <w:rStyle w:val="26"/>
              <w:rFonts w:hint="eastAsia" w:ascii="宋体" w:hAnsi="宋体" w:eastAsia="宋体"/>
              <w:sz w:val="24"/>
              <w:szCs w:val="24"/>
              <w:lang w:eastAsia="zh-CN"/>
            </w:rPr>
            <w:t>4.场景规划对风险管理和开发的反馈</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_Toc195018727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43</w:t>
          </w:r>
          <w:r>
            <w:rPr>
              <w:rFonts w:hint="eastAsia" w:ascii="宋体" w:hAnsi="宋体" w:eastAsia="宋体"/>
              <w:sz w:val="24"/>
              <w:szCs w:val="24"/>
            </w:rPr>
            <w:fldChar w:fldCharType="end"/>
          </w:r>
          <w:r>
            <w:rPr>
              <w:rFonts w:hint="eastAsia" w:ascii="宋体" w:hAnsi="宋体" w:eastAsia="宋体"/>
              <w:sz w:val="24"/>
              <w:szCs w:val="24"/>
            </w:rPr>
            <w:fldChar w:fldCharType="end"/>
          </w:r>
        </w:p>
        <w:p w14:paraId="587EBD5B">
          <w:pPr>
            <w:pStyle w:val="20"/>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"_Toc195018728" </w:instrText>
          </w:r>
          <w:r>
            <w:fldChar w:fldCharType="separate"/>
          </w:r>
          <w:r>
            <w:rPr>
              <w:rStyle w:val="26"/>
              <w:rFonts w:hint="eastAsia" w:ascii="宋体" w:hAnsi="宋体" w:eastAsia="宋体"/>
              <w:sz w:val="24"/>
              <w:szCs w:val="24"/>
              <w:lang w:eastAsia="zh-CN"/>
            </w:rPr>
            <w:t>5.AI MRM 在行动</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_Toc195018728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45</w:t>
          </w:r>
          <w:r>
            <w:rPr>
              <w:rFonts w:hint="eastAsia" w:ascii="宋体" w:hAnsi="宋体" w:eastAsia="宋体"/>
              <w:sz w:val="24"/>
              <w:szCs w:val="24"/>
            </w:rPr>
            <w:fldChar w:fldCharType="end"/>
          </w:r>
          <w:r>
            <w:rPr>
              <w:rFonts w:hint="eastAsia" w:ascii="宋体" w:hAnsi="宋体" w:eastAsia="宋体"/>
              <w:sz w:val="24"/>
              <w:szCs w:val="24"/>
            </w:rPr>
            <w:fldChar w:fldCharType="end"/>
          </w:r>
        </w:p>
        <w:p w14:paraId="113337CF">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"_Toc195018729" </w:instrText>
          </w:r>
          <w:r>
            <w:fldChar w:fldCharType="separate"/>
          </w:r>
          <w:r>
            <w:rPr>
              <w:rStyle w:val="26"/>
              <w:rFonts w:hint="eastAsia" w:ascii="宋体" w:hAnsi="宋体" w:eastAsia="宋体" w:cs="黑体"/>
              <w:kern w:val="44"/>
              <w:sz w:val="24"/>
              <w:szCs w:val="24"/>
              <w:lang w:eastAsia="zh-CN"/>
            </w:rPr>
            <w:t>五、结论与展望</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_Toc195018729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50</w:t>
          </w:r>
          <w:r>
            <w:rPr>
              <w:rFonts w:hint="eastAsia" w:ascii="宋体" w:hAnsi="宋体" w:eastAsia="宋体"/>
              <w:sz w:val="24"/>
              <w:szCs w:val="24"/>
            </w:rPr>
            <w:fldChar w:fldCharType="end"/>
          </w:r>
          <w:r>
            <w:rPr>
              <w:rFonts w:hint="eastAsia" w:ascii="宋体" w:hAnsi="宋体" w:eastAsia="宋体"/>
              <w:sz w:val="24"/>
              <w:szCs w:val="24"/>
            </w:rPr>
            <w:fldChar w:fldCharType="end"/>
          </w:r>
        </w:p>
        <w:p w14:paraId="74F0BB51">
          <w:pPr>
            <w:pStyle w:val="17"/>
            <w:tabs>
              <w:tab w:val="right" w:leader="dot" w:pos="9590"/>
            </w:tabs>
            <w:spacing w:line="360" w:lineRule="auto"/>
            <w:rPr>
              <w:rFonts w:hint="eastAsia" w:ascii="宋体" w:hAnsi="宋体" w:eastAsia="宋体" w:cstheme="minorBidi"/>
              <w:kern w:val="2"/>
              <w:sz w:val="28"/>
              <w:szCs w:val="32"/>
              <w:lang w:eastAsia="zh-CN"/>
              <w14:ligatures w14:val="standardContextual"/>
            </w:rPr>
          </w:pPr>
          <w:r>
            <w:fldChar w:fldCharType="begin"/>
          </w:r>
          <w:r>
            <w:instrText xml:space="preserve"> HYPERLINK \l "_Toc195018730" </w:instrText>
          </w:r>
          <w:r>
            <w:fldChar w:fldCharType="separate"/>
          </w:r>
          <w:r>
            <w:rPr>
              <w:rStyle w:val="26"/>
              <w:rFonts w:hint="eastAsia" w:ascii="宋体" w:hAnsi="宋体" w:eastAsia="宋体" w:cs="宋体"/>
              <w:kern w:val="44"/>
              <w:sz w:val="24"/>
              <w:szCs w:val="24"/>
              <w:lang w:eastAsia="zh-CN"/>
            </w:rPr>
            <w:t>参考文献</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_Toc195018730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51</w:t>
          </w:r>
          <w:r>
            <w:rPr>
              <w:rFonts w:hint="eastAsia" w:ascii="宋体" w:hAnsi="宋体" w:eastAsia="宋体"/>
              <w:sz w:val="24"/>
              <w:szCs w:val="24"/>
            </w:rPr>
            <w:fldChar w:fldCharType="end"/>
          </w:r>
          <w:r>
            <w:rPr>
              <w:rFonts w:hint="eastAsia" w:ascii="宋体" w:hAnsi="宋体" w:eastAsia="宋体"/>
              <w:sz w:val="24"/>
              <w:szCs w:val="24"/>
            </w:rPr>
            <w:fldChar w:fldCharType="end"/>
          </w:r>
        </w:p>
        <w:p w14:paraId="524EF854">
          <w:pPr>
            <w:pStyle w:val="17"/>
            <w:tabs>
              <w:tab w:val="right" w:leader="dot" w:pos="9590"/>
            </w:tabs>
            <w:spacing w:line="360" w:lineRule="auto"/>
            <w:rPr>
              <w:rFonts w:hint="eastAsia" w:asciiTheme="minorHAnsi" w:hAnsiTheme="minorHAnsi" w:eastAsiaTheme="minorEastAsia" w:cstheme="minorBidi"/>
              <w:kern w:val="2"/>
              <w:sz w:val="22"/>
              <w:szCs w:val="24"/>
              <w:lang w:eastAsia="zh-CN"/>
              <w14:ligatures w14:val="standardContextual"/>
            </w:rPr>
          </w:pPr>
          <w:r>
            <w:fldChar w:fldCharType="begin"/>
          </w:r>
          <w:r>
            <w:instrText xml:space="preserve"> HYPERLINK \l "_Toc195018731" </w:instrText>
          </w:r>
          <w:r>
            <w:fldChar w:fldCharType="separate"/>
          </w:r>
          <w:r>
            <w:rPr>
              <w:rStyle w:val="26"/>
              <w:rFonts w:hint="eastAsia" w:ascii="宋体" w:hAnsi="宋体" w:eastAsia="宋体" w:cs="宋体"/>
              <w:kern w:val="44"/>
              <w:sz w:val="24"/>
              <w:szCs w:val="24"/>
              <w:lang w:eastAsia="zh-CN"/>
            </w:rPr>
            <w:t>附录</w:t>
          </w:r>
          <w:r>
            <w:rPr>
              <w:rStyle w:val="26"/>
              <w:rFonts w:hint="eastAsia" w:ascii="宋体" w:hAnsi="宋体" w:eastAsia="宋体" w:cs="黑体"/>
              <w:kern w:val="44"/>
              <w:sz w:val="24"/>
              <w:szCs w:val="24"/>
              <w:lang w:eastAsia="zh-CN"/>
            </w:rPr>
            <w:t>1:</w:t>
          </w:r>
          <w:r>
            <w:rPr>
              <w:rStyle w:val="26"/>
              <w:rFonts w:hint="eastAsia" w:ascii="宋体" w:hAnsi="宋体" w:eastAsia="宋体" w:cs="宋体"/>
              <w:kern w:val="44"/>
              <w:sz w:val="24"/>
              <w:szCs w:val="24"/>
              <w:lang w:eastAsia="zh-CN"/>
            </w:rPr>
            <w:t>人工智能框架、法规和指南</w:t>
          </w:r>
          <w:r>
            <w:rPr>
              <w:rFonts w:hint="eastAsia" w:ascii="宋体" w:hAnsi="宋体" w:eastAsia="宋体"/>
              <w:sz w:val="24"/>
              <w:szCs w:val="24"/>
            </w:rPr>
            <w:tab/>
          </w:r>
          <w:r>
            <w:rPr>
              <w:rFonts w:hint="eastAsia" w:ascii="宋体" w:hAnsi="宋体" w:eastAsia="宋体"/>
              <w:sz w:val="24"/>
              <w:szCs w:val="24"/>
            </w:rPr>
            <w:fldChar w:fldCharType="begin"/>
          </w:r>
          <w:r>
            <w:rPr>
              <w:rFonts w:hint="eastAsia" w:ascii="宋体" w:hAnsi="宋体" w:eastAsia="宋体"/>
              <w:sz w:val="24"/>
              <w:szCs w:val="24"/>
            </w:rPr>
            <w:instrText xml:space="preserve"> </w:instrText>
          </w:r>
          <w:r>
            <w:rPr>
              <w:rFonts w:ascii="宋体" w:hAnsi="宋体" w:eastAsia="宋体"/>
              <w:sz w:val="24"/>
              <w:szCs w:val="24"/>
            </w:rPr>
            <w:instrText xml:space="preserve">PAGEREF _Toc195018731 \h</w:instrText>
          </w:r>
          <w:r>
            <w:rPr>
              <w:rFonts w:hint="eastAsia"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53</w:t>
          </w:r>
          <w:r>
            <w:rPr>
              <w:rFonts w:hint="eastAsia" w:ascii="宋体" w:hAnsi="宋体" w:eastAsia="宋体"/>
              <w:sz w:val="24"/>
              <w:szCs w:val="24"/>
            </w:rPr>
            <w:fldChar w:fldCharType="end"/>
          </w:r>
          <w:r>
            <w:rPr>
              <w:rFonts w:hint="eastAsia" w:ascii="宋体" w:hAnsi="宋体" w:eastAsia="宋体"/>
              <w:sz w:val="24"/>
              <w:szCs w:val="24"/>
            </w:rPr>
            <w:fldChar w:fldCharType="end"/>
          </w:r>
        </w:p>
        <w:p w14:paraId="2142495A">
          <w:pPr>
            <w:spacing w:line="360" w:lineRule="auto"/>
            <w:rPr>
              <w:rFonts w:hint="eastAsia"/>
            </w:rPr>
          </w:pPr>
          <w:r>
            <w:rPr>
              <w:b/>
              <w:bCs/>
              <w:lang w:val="zh-CN"/>
            </w:rPr>
            <w:fldChar w:fldCharType="end"/>
          </w:r>
        </w:p>
      </w:sdtContent>
    </w:sdt>
    <w:p w14:paraId="1F84048B">
      <w:pPr>
        <w:widowControl/>
        <w:autoSpaceDE/>
        <w:autoSpaceDN/>
        <w:rPr>
          <w:rFonts w:hint="eastAsia" w:eastAsiaTheme="minorEastAsia"/>
          <w:lang w:eastAsia="zh-CN"/>
        </w:rPr>
      </w:pPr>
      <w:r>
        <w:rPr>
          <w:rFonts w:eastAsiaTheme="minorEastAsia"/>
          <w:lang w:eastAsia="zh-CN"/>
        </w:rPr>
        <w:br w:type="page"/>
      </w:r>
    </w:p>
    <w:p w14:paraId="3BEF75E4">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4" w:name="_Toc195018703"/>
      <w:r>
        <w:rPr>
          <w:rFonts w:hint="eastAsia" w:ascii="黑体" w:hAnsi="黑体" w:cs="黑体"/>
          <w:b/>
          <w:color w:val="auto"/>
          <w:kern w:val="44"/>
          <w:szCs w:val="36"/>
          <w:lang w:eastAsia="zh-CN"/>
        </w:rPr>
        <w:t>前言</w:t>
      </w:r>
      <w:bookmarkEnd w:id="4"/>
    </w:p>
    <w:p w14:paraId="6C8A7EFF">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eastAsia" w:ascii="宋体" w:hAnsi="宋体" w:cs="宋体"/>
          <w:color w:val="111A25"/>
          <w:szCs w:val="24"/>
          <w:lang w:eastAsia="zh-CN"/>
        </w:rPr>
      </w:pPr>
      <w:r>
        <w:rPr>
          <w:rFonts w:hint="eastAsia" w:ascii="宋体" w:hAnsi="宋体" w:cs="宋体"/>
          <w:color w:val="111A25"/>
          <w:szCs w:val="24"/>
          <w:lang w:eastAsia="zh-CN"/>
        </w:rPr>
        <w:t>先进的机器学习（</w:t>
      </w:r>
      <w:r>
        <w:rPr>
          <w:rFonts w:hint="default" w:ascii="Calibri" w:hAnsi="Calibri" w:cs="Calibri"/>
          <w:color w:val="111A25"/>
          <w:szCs w:val="24"/>
          <w:lang w:eastAsia="zh-CN"/>
        </w:rPr>
        <w:t>ML</w:t>
      </w:r>
      <w:r>
        <w:rPr>
          <w:rFonts w:hint="eastAsia" w:ascii="宋体" w:hAnsi="宋体" w:cs="宋体"/>
          <w:color w:val="111A25"/>
          <w:szCs w:val="24"/>
          <w:lang w:eastAsia="zh-CN"/>
        </w:rPr>
        <w:t>）模型的广泛应用在诸如预测性维护、欺诈检测、个性化医疗、自动驾驶汽车和智能供应链管理等领域带来了激动人心的机遇。机器学习模型有助于推动创新性和效率的提高，但其广泛应用也带来了内在的风险，尤其是源自模型自身的风险。如果这些风险得不到有效缓解，可能导致巨大的经济损失、监管问题以及声誉损害。为了解决这些问题，我们需要一种积极的风险管理方法。</w:t>
      </w:r>
    </w:p>
    <w:p w14:paraId="1836EE4E">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模型风险管理（Model Risk Management, MRM）是推动组织在开发、部署在使用人工智能（AI）及机器学习模型时建立责任和信任文化的关键因素，它能够帮助组织最大程度发挥这些技术潜力的同时，最小化风险。</w:t>
      </w:r>
    </w:p>
    <w:p w14:paraId="0E60EEF2">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本报告探讨了模型风险管理在AI模型应用任开发、部署和使用方面的重要性，适用于对该主题有兴趣的读者群体，包括直接参与AI开发的从业者以及专注于AI治理的业务和合规监管机构。</w:t>
      </w:r>
    </w:p>
    <w:p w14:paraId="39261429">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本报告强调了与AI模型相关的内在风险，如数据偏见、事实性错误或信息不相关（通常被称为“幻觉”或“虚构”）、以及潜在的滥用行为。同时，提出了一个全面的MRM框架的需求，该框架基于四个相互关联的支柱：模型卡片（Model Cards）、数据手册（Data Sheets）、风险卡片（Risk Cards）和场景规划（Scenario Planning），上述支柱协同工作，通过持续的反馈循环来识别和减轻风险，并改进模型开发与风险管理。具体而言，模型卡片和数据手册为风险评估提供信息，风险卡片则指导场景规划，场景规划进一步优化风险管理和模型开发。</w:t>
      </w:r>
    </w:p>
    <w:p w14:paraId="1F25197D">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通过实施这一框架，组织可以确保ML模型的安全和有效使用，并带来以下关键优势</w:t>
      </w:r>
      <w:r>
        <w:rPr>
          <w:rFonts w:hint="eastAsia" w:ascii="Calibri" w:hAnsi="Calibri" w:cs="Calibri"/>
          <w:color w:val="111A25"/>
          <w:szCs w:val="24"/>
          <w:lang w:eastAsia="zh-CN"/>
        </w:rPr>
        <w:t>：</w:t>
      </w:r>
    </w:p>
    <w:p w14:paraId="6D4F9D82">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0"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kern w:val="2"/>
          <w:sz w:val="24"/>
          <w:szCs w:val="24"/>
          <w:lang w:val="en-US" w:eastAsia="zh-CN"/>
        </w:rPr>
        <w:t>提高透明度和可解释性</w:t>
      </w:r>
    </w:p>
    <w:p w14:paraId="225A80E9">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0"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kern w:val="2"/>
          <w:sz w:val="24"/>
          <w:szCs w:val="24"/>
          <w:lang w:val="en-US" w:eastAsia="zh-CN"/>
        </w:rPr>
        <w:t>主动应对风险和</w:t>
      </w:r>
      <w:r>
        <w:rPr>
          <w:rFonts w:hint="eastAsia" w:ascii="Calibri" w:hAnsi="Calibri" w:eastAsia="宋体" w:cs="Calibri"/>
          <w:kern w:val="2"/>
          <w:sz w:val="24"/>
          <w:szCs w:val="24"/>
          <w:lang w:val="en-US" w:eastAsia="zh-CN"/>
        </w:rPr>
        <w:t>“</w:t>
      </w:r>
      <w:r>
        <w:rPr>
          <w:rFonts w:hint="default" w:ascii="Calibri" w:hAnsi="Calibri" w:eastAsia="宋体" w:cs="Calibri"/>
          <w:kern w:val="2"/>
          <w:sz w:val="24"/>
          <w:szCs w:val="24"/>
          <w:lang w:val="en-US" w:eastAsia="zh-CN"/>
        </w:rPr>
        <w:t>内生安全</w:t>
      </w:r>
      <w:r>
        <w:rPr>
          <w:rFonts w:hint="eastAsia" w:ascii="Calibri" w:hAnsi="Calibri" w:eastAsia="宋体" w:cs="Calibri"/>
          <w:kern w:val="2"/>
          <w:sz w:val="24"/>
          <w:szCs w:val="24"/>
          <w:lang w:val="en-US" w:eastAsia="zh-CN"/>
        </w:rPr>
        <w:t>”</w:t>
      </w:r>
    </w:p>
    <w:p w14:paraId="051027B7">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0"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kern w:val="2"/>
          <w:sz w:val="24"/>
          <w:szCs w:val="24"/>
          <w:lang w:val="en-US" w:eastAsia="zh-CN"/>
        </w:rPr>
        <w:t>做出明智的决策</w:t>
      </w:r>
    </w:p>
    <w:p w14:paraId="57D04C61">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0"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kern w:val="2"/>
          <w:sz w:val="24"/>
          <w:szCs w:val="24"/>
          <w:lang w:val="en-US" w:eastAsia="zh-CN"/>
        </w:rPr>
        <w:t>与利益相关者和监管机构建立信任</w:t>
      </w:r>
    </w:p>
    <w:p w14:paraId="526C160F">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本报告强调了模型风险管理的重要性，以便在最大限度发挥AI和ML潜力的同时，最小化风险。</w:t>
      </w:r>
    </w:p>
    <w:p w14:paraId="04D73F92">
      <w:pPr>
        <w:pStyle w:val="13"/>
        <w:keepNext w:val="0"/>
        <w:keepLines w:val="0"/>
        <w:pageBreakBefore w:val="0"/>
        <w:kinsoku/>
        <w:wordWrap/>
        <w:overflowPunct/>
        <w:topLinePunct w:val="0"/>
        <w:bidi w:val="0"/>
        <w:adjustRightInd/>
        <w:snapToGrid/>
        <w:spacing w:after="200" w:line="360" w:lineRule="auto"/>
        <w:ind w:left="0" w:leftChars="0" w:right="0" w:firstLine="0" w:firstLineChars="0"/>
        <w:textAlignment w:val="auto"/>
        <w:rPr>
          <w:rFonts w:hint="eastAsia" w:ascii="Calibri" w:hAnsi="Calibri" w:eastAsia="宋体" w:cs="Calibri"/>
          <w:color w:val="111A25"/>
          <w:szCs w:val="24"/>
          <w:lang w:eastAsia="zh-CN"/>
        </w:rPr>
      </w:pPr>
    </w:p>
    <w:p w14:paraId="77B5A563">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5" w:name="_Toc195018704"/>
      <w:bookmarkStart w:id="6" w:name="_TOC_250019"/>
      <w:r>
        <w:rPr>
          <w:rFonts w:hint="eastAsia" w:ascii="黑体" w:hAnsi="黑体" w:cs="黑体"/>
          <w:b/>
          <w:color w:val="auto"/>
          <w:kern w:val="44"/>
          <w:szCs w:val="36"/>
          <w:lang w:eastAsia="zh-CN"/>
        </w:rPr>
        <w:t>目标读者</w:t>
      </w:r>
      <w:bookmarkEnd w:id="5"/>
      <w:bookmarkEnd w:id="6"/>
    </w:p>
    <w:p w14:paraId="0E96C273">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bookmarkStart w:id="7" w:name="_Hlk194929971"/>
      <w:r>
        <w:rPr>
          <w:rFonts w:hint="default" w:ascii="Calibri" w:hAnsi="Calibri" w:eastAsia="宋体" w:cs="Calibri"/>
          <w:color w:val="111A25"/>
          <w:szCs w:val="24"/>
          <w:lang w:eastAsia="zh-CN"/>
        </w:rPr>
        <w:t>AI模型风险管理（MRM）面向开发和部署机器学习模型且对AI风险有共同兴趣的广泛读者群体。它旨在弥合技术和非技术利益相关者之间的鸿沟，既服务于直接参与AI开发技术工作的人员，也关注AI治理和监管的相关人员。</w:t>
      </w:r>
    </w:p>
    <w:bookmarkEnd w:id="7"/>
    <w:p w14:paraId="48AE7671">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该目标读者可以分为以下两个主要群体：</w:t>
      </w:r>
    </w:p>
    <w:p w14:paraId="4761FAAA">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b/>
          <w:bCs/>
          <w:color w:val="111A25"/>
          <w:sz w:val="28"/>
          <w:szCs w:val="28"/>
          <w:lang w:eastAsia="zh-CN"/>
        </w:rPr>
      </w:pPr>
      <w:bookmarkStart w:id="8" w:name="_Hlk194930007"/>
      <w:r>
        <w:rPr>
          <w:rFonts w:hint="default" w:ascii="Calibri" w:hAnsi="Calibri" w:eastAsia="宋体" w:cs="Calibri"/>
          <w:b/>
          <w:bCs/>
          <w:color w:val="111A25"/>
          <w:sz w:val="28"/>
          <w:szCs w:val="28"/>
          <w:lang w:eastAsia="zh-CN"/>
        </w:rPr>
        <w:t>1. AI</w:t>
      </w:r>
      <w:r>
        <w:rPr>
          <w:rFonts w:hint="eastAsia" w:ascii="Calibri" w:hAnsi="Calibri" w:cs="Calibri"/>
          <w:b/>
          <w:bCs/>
          <w:color w:val="111A25"/>
          <w:sz w:val="28"/>
          <w:szCs w:val="28"/>
          <w:lang w:val="en-US" w:eastAsia="zh-CN"/>
        </w:rPr>
        <w:t xml:space="preserve"> </w:t>
      </w:r>
      <w:r>
        <w:rPr>
          <w:rFonts w:hint="default" w:ascii="Calibri" w:hAnsi="Calibri" w:eastAsia="宋体" w:cs="Calibri"/>
          <w:b/>
          <w:bCs/>
          <w:color w:val="111A25"/>
          <w:sz w:val="28"/>
          <w:szCs w:val="28"/>
          <w:lang w:eastAsia="zh-CN"/>
        </w:rPr>
        <w:t>模型开发与实施的从业者</w:t>
      </w:r>
      <w:bookmarkEnd w:id="8"/>
    </w:p>
    <w:p w14:paraId="14DA358F">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bookmarkStart w:id="9" w:name="_Hlk194930036"/>
      <w:r>
        <w:rPr>
          <w:rFonts w:hint="default" w:ascii="Calibri" w:hAnsi="Calibri" w:eastAsia="宋体" w:cs="Calibri"/>
          <w:b/>
          <w:bCs/>
          <w:kern w:val="2"/>
          <w:sz w:val="24"/>
          <w:szCs w:val="24"/>
          <w:lang w:val="en-US" w:eastAsia="zh-CN"/>
        </w:rPr>
        <w:t>机器学习工程师和数据科学家</w:t>
      </w:r>
      <w:bookmarkEnd w:id="9"/>
      <w:r>
        <w:rPr>
          <w:rFonts w:hint="eastAsia" w:ascii="Calibri" w:hAnsi="Calibri" w:eastAsia="宋体" w:cs="Calibri"/>
          <w:b/>
          <w:bCs/>
          <w:kern w:val="2"/>
          <w:sz w:val="24"/>
          <w:szCs w:val="24"/>
          <w:lang w:val="en-US" w:eastAsia="zh-CN"/>
        </w:rPr>
        <w:t>：</w:t>
      </w:r>
      <w:r>
        <w:rPr>
          <w:rFonts w:hint="default" w:ascii="Calibri" w:hAnsi="Calibri" w:eastAsia="宋体" w:cs="Calibri"/>
          <w:kern w:val="2"/>
          <w:sz w:val="24"/>
          <w:szCs w:val="24"/>
          <w:lang w:val="en-US" w:eastAsia="zh-CN"/>
        </w:rPr>
        <w:t>这一群体将从模型卡片（Model Cards）和数据手册（Data Sheets）的详细解释中获益，了解这些组件如何促进模型的理解和开发。掌握这些要素使他们能够构建更透明且负责任的模型。</w:t>
      </w:r>
    </w:p>
    <w:p w14:paraId="0D9B21B8">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bookmarkStart w:id="10" w:name="_Hlk194930044"/>
      <w:r>
        <w:rPr>
          <w:rFonts w:hint="default" w:ascii="Calibri" w:hAnsi="Calibri" w:eastAsia="宋体" w:cs="Calibri"/>
          <w:b/>
          <w:bCs/>
          <w:kern w:val="2"/>
          <w:sz w:val="24"/>
          <w:szCs w:val="24"/>
          <w:lang w:val="en-US" w:eastAsia="zh-CN"/>
        </w:rPr>
        <w:t>AI开发人员和项目经理</w:t>
      </w:r>
      <w:bookmarkEnd w:id="10"/>
      <w:r>
        <w:rPr>
          <w:rFonts w:hint="eastAsia" w:ascii="Calibri" w:hAnsi="Calibri" w:eastAsia="宋体" w:cs="Calibri"/>
          <w:b/>
          <w:bCs/>
          <w:kern w:val="2"/>
          <w:sz w:val="24"/>
          <w:szCs w:val="24"/>
          <w:lang w:val="en-US" w:eastAsia="zh-CN"/>
        </w:rPr>
        <w:t>：</w:t>
      </w:r>
      <w:r>
        <w:rPr>
          <w:rFonts w:hint="default" w:ascii="Calibri" w:hAnsi="Calibri" w:eastAsia="宋体" w:cs="Calibri"/>
          <w:kern w:val="2"/>
          <w:sz w:val="24"/>
          <w:szCs w:val="24"/>
          <w:lang w:val="en-US" w:eastAsia="zh-CN"/>
        </w:rPr>
        <w:t>这一群体将发现有助于预见AI模型生命周期中潜在问题的工具，从概念设计到实施，确保模型的负责任部署。</w:t>
      </w:r>
    </w:p>
    <w:p w14:paraId="115EF0A7">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b/>
          <w:bCs/>
          <w:color w:val="111A25"/>
          <w:sz w:val="28"/>
          <w:szCs w:val="28"/>
          <w:lang w:eastAsia="zh-CN"/>
        </w:rPr>
      </w:pPr>
      <w:bookmarkStart w:id="11" w:name="_Hlk194930014"/>
      <w:r>
        <w:rPr>
          <w:rFonts w:hint="default" w:ascii="Calibri" w:hAnsi="Calibri" w:eastAsia="宋体" w:cs="Calibri"/>
          <w:b/>
          <w:bCs/>
          <w:color w:val="111A25"/>
          <w:sz w:val="28"/>
          <w:szCs w:val="28"/>
          <w:lang w:eastAsia="zh-CN"/>
        </w:rPr>
        <w:t>2. AI</w:t>
      </w:r>
      <w:r>
        <w:rPr>
          <w:rFonts w:hint="eastAsia" w:ascii="Calibri" w:hAnsi="Calibri" w:cs="Calibri"/>
          <w:b/>
          <w:bCs/>
          <w:color w:val="111A25"/>
          <w:sz w:val="28"/>
          <w:szCs w:val="28"/>
          <w:lang w:val="en-US" w:eastAsia="zh-CN"/>
        </w:rPr>
        <w:t xml:space="preserve"> </w:t>
      </w:r>
      <w:r>
        <w:rPr>
          <w:rFonts w:hint="default" w:ascii="Calibri" w:hAnsi="Calibri" w:eastAsia="宋体" w:cs="Calibri"/>
          <w:b/>
          <w:bCs/>
          <w:color w:val="111A25"/>
          <w:sz w:val="28"/>
          <w:szCs w:val="28"/>
          <w:lang w:eastAsia="zh-CN"/>
        </w:rPr>
        <w:t>治理与监管的利益相关者</w:t>
      </w:r>
      <w:bookmarkEnd w:id="11"/>
    </w:p>
    <w:p w14:paraId="0300CABA">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bookmarkStart w:id="12" w:name="_Hlk194930060"/>
      <w:r>
        <w:rPr>
          <w:rFonts w:hint="default" w:ascii="Calibri" w:hAnsi="Calibri" w:eastAsia="宋体" w:cs="Calibri"/>
          <w:b/>
          <w:bCs/>
          <w:kern w:val="2"/>
          <w:sz w:val="24"/>
          <w:szCs w:val="24"/>
          <w:lang w:val="en-US" w:eastAsia="zh-CN"/>
        </w:rPr>
        <w:t>风险管理专业人士、合规官员和审计员</w:t>
      </w:r>
      <w:bookmarkEnd w:id="12"/>
      <w:r>
        <w:rPr>
          <w:rFonts w:hint="default" w:ascii="Calibri" w:hAnsi="Calibri" w:eastAsia="宋体" w:cs="Calibri"/>
          <w:b/>
          <w:bCs/>
          <w:kern w:val="2"/>
          <w:sz w:val="24"/>
          <w:szCs w:val="24"/>
          <w:lang w:val="en-US" w:eastAsia="zh-CN"/>
        </w:rPr>
        <w:t xml:space="preserve">: </w:t>
      </w:r>
      <w:r>
        <w:rPr>
          <w:rFonts w:hint="default" w:ascii="Calibri" w:hAnsi="Calibri" w:eastAsia="宋体" w:cs="Calibri"/>
          <w:kern w:val="2"/>
          <w:sz w:val="24"/>
          <w:szCs w:val="24"/>
          <w:lang w:val="en-US" w:eastAsia="zh-CN"/>
        </w:rPr>
        <w:t>这一群体将对MRM的重要性及其与常见行业框架的对齐部分特别感兴趣，这些内容对建立、执行和评估有效的治理实践至关重要。</w:t>
      </w:r>
    </w:p>
    <w:p w14:paraId="506DE516">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bookmarkStart w:id="13" w:name="_Hlk194930071"/>
      <w:r>
        <w:rPr>
          <w:rFonts w:hint="default" w:ascii="Calibri" w:hAnsi="Calibri" w:eastAsia="宋体" w:cs="Calibri"/>
          <w:b/>
          <w:bCs/>
          <w:kern w:val="2"/>
          <w:sz w:val="24"/>
          <w:szCs w:val="24"/>
          <w:lang w:val="en-US" w:eastAsia="zh-CN"/>
        </w:rPr>
        <w:t>业务领导者和高管</w:t>
      </w:r>
      <w:bookmarkEnd w:id="13"/>
      <w:r>
        <w:rPr>
          <w:rFonts w:hint="default" w:ascii="Calibri" w:hAnsi="Calibri" w:eastAsia="宋体" w:cs="Calibri"/>
          <w:b/>
          <w:bCs/>
          <w:kern w:val="2"/>
          <w:sz w:val="24"/>
          <w:szCs w:val="24"/>
          <w:lang w:val="en-US" w:eastAsia="zh-CN"/>
        </w:rPr>
        <w:t xml:space="preserve">: </w:t>
      </w:r>
      <w:r>
        <w:rPr>
          <w:rFonts w:hint="default" w:ascii="Calibri" w:hAnsi="Calibri" w:eastAsia="宋体" w:cs="Calibri"/>
          <w:kern w:val="2"/>
          <w:sz w:val="24"/>
          <w:szCs w:val="24"/>
          <w:lang w:val="en-US" w:eastAsia="zh-CN"/>
        </w:rPr>
        <w:t>他们将从简介和结论部分获益，这些部分强调了MRM在推动组织内负责任的AI应用中的重要性。</w:t>
      </w:r>
    </w:p>
    <w:p w14:paraId="22FA5A95">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eastAsia" w:ascii="宋体" w:hAnsi="宋体" w:eastAsia="宋体" w:cs="宋体"/>
          <w:kern w:val="2"/>
          <w:sz w:val="24"/>
          <w:szCs w:val="24"/>
          <w:lang w:val="en-US" w:eastAsia="zh-CN"/>
        </w:rPr>
      </w:pPr>
      <w:bookmarkStart w:id="14" w:name="_Hlk194930079"/>
      <w:r>
        <w:rPr>
          <w:rFonts w:hint="default" w:ascii="Calibri" w:hAnsi="Calibri" w:eastAsia="宋体" w:cs="Calibri"/>
          <w:b/>
          <w:bCs/>
          <w:kern w:val="2"/>
          <w:sz w:val="24"/>
          <w:szCs w:val="24"/>
          <w:lang w:val="en-US" w:eastAsia="zh-CN"/>
        </w:rPr>
        <w:t>沟通与公共关系专业人士</w:t>
      </w:r>
      <w:bookmarkEnd w:id="14"/>
      <w:r>
        <w:rPr>
          <w:rFonts w:hint="default" w:ascii="Calibri" w:hAnsi="Calibri" w:eastAsia="宋体" w:cs="Calibri"/>
          <w:b/>
          <w:bCs/>
          <w:kern w:val="2"/>
          <w:sz w:val="24"/>
          <w:szCs w:val="24"/>
          <w:lang w:val="en-US" w:eastAsia="zh-CN"/>
        </w:rPr>
        <w:t xml:space="preserve">: </w:t>
      </w:r>
      <w:r>
        <w:rPr>
          <w:rFonts w:hint="default" w:ascii="Calibri" w:hAnsi="Calibri" w:eastAsia="宋体" w:cs="Calibri"/>
          <w:kern w:val="2"/>
          <w:sz w:val="24"/>
          <w:szCs w:val="24"/>
          <w:lang w:val="en-US" w:eastAsia="zh-CN"/>
        </w:rPr>
        <w:t>这一群体将从有关AI模型风险与效益的沟通、利益相关者参与和声誉管理的章节中受益，以及学习如何为不同受众设计有影响力的信息。</w:t>
      </w:r>
    </w:p>
    <w:p w14:paraId="12758319">
      <w:pPr>
        <w:widowControl/>
        <w:autoSpaceDE/>
        <w:autoSpaceDN/>
        <w:rPr>
          <w:rFonts w:hint="eastAsia" w:eastAsiaTheme="minorEastAsia"/>
          <w:sz w:val="26"/>
          <w:szCs w:val="20"/>
          <w:lang w:eastAsia="zh-CN"/>
        </w:rPr>
      </w:pPr>
      <w:r>
        <w:rPr>
          <w:sz w:val="26"/>
          <w:lang w:eastAsia="zh-CN"/>
        </w:rPr>
        <w:br w:type="page"/>
      </w:r>
    </w:p>
    <w:p w14:paraId="2410EF95">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15" w:name="_TOC_250018"/>
      <w:bookmarkEnd w:id="15"/>
      <w:bookmarkStart w:id="16" w:name="_Toc195018705"/>
      <w:r>
        <w:rPr>
          <w:rFonts w:hint="eastAsia" w:ascii="黑体" w:hAnsi="黑体" w:cs="黑体"/>
          <w:b/>
          <w:color w:val="auto"/>
          <w:kern w:val="44"/>
          <w:szCs w:val="36"/>
          <w:lang w:eastAsia="zh-CN"/>
        </w:rPr>
        <w:t>范围</w:t>
      </w:r>
      <w:bookmarkEnd w:id="16"/>
    </w:p>
    <w:p w14:paraId="38C3F774">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bookmarkStart w:id="17" w:name="_Hlk194929874"/>
      <w:r>
        <w:rPr>
          <w:rFonts w:hint="default" w:ascii="Calibri" w:hAnsi="Calibri" w:eastAsia="宋体" w:cs="Calibri"/>
          <w:color w:val="111A25"/>
          <w:szCs w:val="24"/>
          <w:lang w:eastAsia="zh-CN"/>
        </w:rPr>
        <w:t>本文探讨了模型风险管理（MRM）及其在负责任的AI开发中的重要性，深入分析了有效MRM框架的四大支柱及其如何协同合作，从而形成一个全面的MRM方法。我们讨论了这些技术如何促进透明性、问责制和负责任的AI开发。</w:t>
      </w:r>
    </w:p>
    <w:p w14:paraId="50F8EC30">
      <w:pPr>
        <w:pStyle w:val="13"/>
        <w:keepNext w:val="0"/>
        <w:keepLines w:val="0"/>
        <w:pageBreakBefore w:val="0"/>
        <w:kinsoku/>
        <w:wordWrap/>
        <w:overflowPunct/>
        <w:topLinePunct w:val="0"/>
        <w:bidi w:val="0"/>
        <w:adjustRightInd/>
        <w:snapToGrid/>
        <w:spacing w:after="200" w:line="360" w:lineRule="auto"/>
        <w:ind w:left="0" w:leftChars="0" w:right="0" w:firstLine="420" w:firstLineChars="0"/>
        <w:textAlignment w:val="auto"/>
        <w:rPr>
          <w:rFonts w:hint="default" w:ascii="Calibri" w:hAnsi="Calibri" w:eastAsia="宋体" w:cs="Calibri"/>
          <w:color w:val="111A25"/>
          <w:szCs w:val="24"/>
          <w:lang w:eastAsia="zh-CN"/>
        </w:rPr>
      </w:pPr>
      <w:r>
        <w:rPr>
          <w:rFonts w:hint="default" w:ascii="Calibri" w:hAnsi="Calibri" w:eastAsia="宋体" w:cs="Calibri"/>
          <w:color w:val="111A25"/>
          <w:szCs w:val="24"/>
          <w:lang w:eastAsia="zh-CN"/>
        </w:rPr>
        <w:t>本文强调了MRM在塑造未来伦理和负责任AI中的作用。需要注意的是，本文主要关注MRM的概念和方法论方面，而不涉及以人为中心的内容，例如角色分配、责任归属、RACI矩阵以及跨职能参与等问题，这些内容在CSA出版物《AI组织职责——核心安全职责》中已有详细阐述。</w:t>
      </w:r>
    </w:p>
    <w:bookmarkEnd w:id="17"/>
    <w:p w14:paraId="7889DF7A">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18" w:name="_TOC_250017"/>
      <w:bookmarkEnd w:id="18"/>
      <w:bookmarkStart w:id="19" w:name="_Toc195018706"/>
      <w:r>
        <w:rPr>
          <w:rFonts w:hint="eastAsia" w:ascii="黑体" w:hAnsi="黑体" w:cs="黑体"/>
          <w:b/>
          <w:color w:val="auto"/>
          <w:kern w:val="44"/>
          <w:szCs w:val="36"/>
          <w:lang w:eastAsia="zh-CN"/>
        </w:rPr>
        <w:t>引言</w:t>
      </w:r>
      <w:bookmarkEnd w:id="19"/>
    </w:p>
    <w:p w14:paraId="5C4F36B1">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default" w:ascii="黑体" w:hAnsi="黑体" w:cs="黑体"/>
          <w:b/>
          <w:color w:val="auto"/>
          <w:kern w:val="44"/>
          <w:sz w:val="32"/>
          <w:szCs w:val="32"/>
          <w:lang w:eastAsia="zh-CN"/>
        </w:rPr>
      </w:pPr>
      <w:bookmarkStart w:id="20" w:name="_TOC_250016"/>
      <w:r>
        <w:rPr>
          <w:rFonts w:hint="default" w:ascii="黑体" w:hAnsi="黑体" w:cs="黑体"/>
          <w:b/>
          <w:color w:val="auto"/>
          <w:kern w:val="44"/>
          <w:sz w:val="32"/>
          <w:szCs w:val="32"/>
          <w:lang w:eastAsia="zh-CN"/>
        </w:rPr>
        <w:t>MRM 的必要性和重要性</w:t>
      </w:r>
      <w:bookmarkEnd w:id="20"/>
    </w:p>
    <w:p w14:paraId="65F20961">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当今，复杂的AI/ML模型在各行业中正以前所未有的速度被采用。一方面，对机器学习模型的日益依赖为创新和效率提升带来了巨大潜力；另一方面，它也引入了固有的风险，特别是与模型本身相关的风险——模型风险。如果不加以控制，这些风险可能会导致严重的经济损失、监管处罚以及声誉受损。训练数据中的偏见、模型输出中的事实错误（通常称为“幻觉”或“虚构”），以及潜在的滥用风险，再加上隐私问题和知识产权（IP）问题，都需要采取积极的风险管理方法。因此，AI模型风险管理（MRM）成为确保这些模型负责任和可信赖开发、部署和使用的重要学科。</w:t>
      </w:r>
    </w:p>
    <w:p w14:paraId="115EA95B">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MRM 这一术语在金融等行业中广泛使用，传统上是指管理与量化模型相关的风险。而在本文中，这一既有概念被应用于管理与AI模型相关的风险。</w:t>
      </w:r>
    </w:p>
    <w:p w14:paraId="3E2BC9CB">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AI MRM 有助于应对与AI模型相关的复杂性、不确定性和脆弱性，增强用户、利益相关者和监管者对AI驱动决策的可靠性和公平性的信心。随着AI的不断发展并渗透到更多领域，MRM将在塑造负责任的AI部署未来中发挥越来越重要的作用，使企业和行业从中受益。</w:t>
      </w:r>
    </w:p>
    <w:p w14:paraId="78D650B7">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从本质上讲，模型风险源于模型本身的固有限制。以下是几种最常见的AI模型风险来源：</w:t>
      </w:r>
    </w:p>
    <w:p w14:paraId="50E37796">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bCs/>
          <w:kern w:val="2"/>
          <w:sz w:val="24"/>
          <w:szCs w:val="24"/>
          <w:lang w:val="en-US" w:eastAsia="zh-CN"/>
        </w:rPr>
      </w:pPr>
      <w:r>
        <w:rPr>
          <w:rFonts w:hint="default" w:ascii="Calibri" w:hAnsi="Calibri" w:eastAsia="宋体" w:cs="Calibri"/>
          <w:b/>
          <w:bCs/>
          <w:kern w:val="2"/>
          <w:sz w:val="24"/>
          <w:szCs w:val="24"/>
          <w:lang w:val="en-US" w:eastAsia="zh-CN"/>
        </w:rPr>
        <w:t xml:space="preserve">数据质量问题: </w:t>
      </w:r>
      <w:r>
        <w:rPr>
          <w:rFonts w:hint="default" w:ascii="Calibri" w:hAnsi="Calibri" w:eastAsia="宋体" w:cs="Calibri"/>
          <w:b w:val="0"/>
          <w:bCs w:val="0"/>
          <w:kern w:val="2"/>
          <w:sz w:val="24"/>
          <w:szCs w:val="24"/>
          <w:lang w:val="en-US" w:eastAsia="zh-CN"/>
        </w:rPr>
        <w:t>任何模型的基础是数据。不准确、不完整或片面的数据可能导致模型缺陷，进而产生不可靠的输出和错误的结论。例如，如果一个模型使用代表性不足的高风险借款人历史数据来预测贷款违约率，它可能低估未来违约的风险，从而导致经济损失。</w:t>
      </w:r>
    </w:p>
    <w:p w14:paraId="2A457F1F">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val="0"/>
          <w:bCs w:val="0"/>
          <w:kern w:val="2"/>
          <w:sz w:val="24"/>
          <w:szCs w:val="24"/>
          <w:lang w:val="en-US" w:eastAsia="zh-CN"/>
        </w:rPr>
      </w:pPr>
      <w:r>
        <w:rPr>
          <w:rFonts w:hint="default" w:ascii="Calibri" w:hAnsi="Calibri" w:eastAsia="宋体" w:cs="Calibri"/>
          <w:b/>
          <w:bCs/>
          <w:kern w:val="2"/>
          <w:sz w:val="24"/>
          <w:szCs w:val="24"/>
          <w:lang w:val="en-US" w:eastAsia="zh-CN"/>
        </w:rPr>
        <w:t xml:space="preserve">模型选择、调优和设计缺陷: </w:t>
      </w:r>
      <w:r>
        <w:rPr>
          <w:rFonts w:hint="default" w:ascii="Calibri" w:hAnsi="Calibri" w:eastAsia="宋体" w:cs="Calibri"/>
          <w:b w:val="0"/>
          <w:bCs w:val="0"/>
          <w:kern w:val="2"/>
          <w:sz w:val="24"/>
          <w:szCs w:val="24"/>
          <w:lang w:val="en-US" w:eastAsia="zh-CN"/>
        </w:rPr>
        <w:t>为特定任务选择错误的模型架构或使用不合适的算法会显著影响模型的有效性和可靠性。例如，使用线性回归模型预测高度非线性的现象（如股票市场波动）可能会产生误导性的结果。此外，在使用开源模型时，确保模型的完整性也非常重要。最终用户应能够验证模型签名，以确保他们使用的是正确的模型，并且模型卡片准确地描述了模型的能力和局限性。</w:t>
      </w:r>
    </w:p>
    <w:p w14:paraId="472A9DC1">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bCs/>
          <w:kern w:val="2"/>
          <w:sz w:val="24"/>
          <w:szCs w:val="24"/>
          <w:lang w:val="en-US" w:eastAsia="zh-CN"/>
        </w:rPr>
      </w:pPr>
      <w:r>
        <w:rPr>
          <w:rFonts w:hint="default" w:ascii="Calibri" w:hAnsi="Calibri" w:eastAsia="宋体" w:cs="Calibri"/>
          <w:b/>
          <w:bCs/>
          <w:kern w:val="2"/>
          <w:sz w:val="24"/>
          <w:szCs w:val="24"/>
          <w:lang w:val="en-US" w:eastAsia="zh-CN"/>
        </w:rPr>
        <w:t xml:space="preserve">一流模型固有的风险: </w:t>
      </w:r>
      <w:r>
        <w:rPr>
          <w:rFonts w:hint="default" w:ascii="Calibri" w:hAnsi="Calibri" w:eastAsia="宋体" w:cs="Calibri"/>
          <w:b w:val="0"/>
          <w:bCs w:val="0"/>
          <w:kern w:val="2"/>
          <w:sz w:val="24"/>
          <w:szCs w:val="24"/>
          <w:lang w:val="en-US" w:eastAsia="zh-CN"/>
        </w:rPr>
        <w:t>即使是由知名供应商发布的顶尖模型，也可能因自身的不足而带来固有风险，例如幻觉、有害言论、偏见和数据泄露。这些风险可能产生深远影响，不仅影响个别组织，还可能影响整个社会。</w:t>
      </w:r>
    </w:p>
    <w:p w14:paraId="48F2D89E">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bCs/>
          <w:kern w:val="2"/>
          <w:sz w:val="24"/>
          <w:szCs w:val="24"/>
          <w:lang w:val="en-US" w:eastAsia="zh-CN"/>
        </w:rPr>
      </w:pPr>
      <w:r>
        <w:rPr>
          <w:rFonts w:hint="default" w:ascii="Calibri" w:hAnsi="Calibri" w:eastAsia="宋体" w:cs="Calibri"/>
          <w:b/>
          <w:bCs/>
          <w:kern w:val="2"/>
          <w:sz w:val="24"/>
          <w:szCs w:val="24"/>
          <w:lang w:val="en-US" w:eastAsia="zh-CN"/>
        </w:rPr>
        <w:t xml:space="preserve">实施和操作错误: </w:t>
      </w:r>
      <w:r>
        <w:rPr>
          <w:rFonts w:hint="default" w:ascii="Calibri" w:hAnsi="Calibri" w:eastAsia="宋体" w:cs="Calibri"/>
          <w:b w:val="0"/>
          <w:bCs w:val="0"/>
          <w:kern w:val="2"/>
          <w:sz w:val="24"/>
          <w:szCs w:val="24"/>
          <w:lang w:val="en-US" w:eastAsia="zh-CN"/>
        </w:rPr>
        <w:t>一个设计良好的模型在实施过程中可能会受到破坏。不正确的编码、控制不足或与现有系统的不当集成都可能引发模型部署错误。例如，一个信用评分模型可能在开发中是正确的，但其在贷款处理系统中的实施存在缺陷，可能导致不准确的评估和不公平的贷款拒绝。安全性也是一个关键的操作风险集，这些风险既包括应用级别和访问级别的已知漏洞，也包括生成式AI时代的新风险，如提示注入。AI模型还增加了模型本身试图改变模型用户决策的风险。</w:t>
      </w:r>
    </w:p>
    <w:p w14:paraId="276D07A2">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bCs/>
          <w:kern w:val="2"/>
          <w:sz w:val="24"/>
          <w:szCs w:val="24"/>
          <w:lang w:val="en-US" w:eastAsia="zh-CN"/>
        </w:rPr>
      </w:pPr>
      <w:r>
        <w:rPr>
          <w:rFonts w:hint="default" w:ascii="Calibri" w:hAnsi="Calibri" w:eastAsia="宋体" w:cs="Calibri"/>
          <w:b/>
          <w:bCs/>
          <w:kern w:val="2"/>
          <w:sz w:val="24"/>
          <w:szCs w:val="24"/>
          <w:lang w:val="en-US" w:eastAsia="zh-CN"/>
        </w:rPr>
        <w:t xml:space="preserve">外部因素的演变: </w:t>
      </w:r>
      <w:r>
        <w:rPr>
          <w:rFonts w:hint="default" w:ascii="Calibri" w:hAnsi="Calibri" w:eastAsia="宋体" w:cs="Calibri"/>
          <w:b w:val="0"/>
          <w:bCs w:val="0"/>
          <w:kern w:val="2"/>
          <w:sz w:val="24"/>
          <w:szCs w:val="24"/>
          <w:lang w:val="en-US" w:eastAsia="zh-CN"/>
        </w:rPr>
        <w:t>模型通常基于历史数据进行训练，假设基础环境具有一定的稳定性。然而，现实世界在不断变化。经济衰退、新法规或不可预见的事件可能使历史数据变得不相关，从而导致模型产生不可靠的预测。例如，一个基于以往购买习惯来预测客户流失的模型，可能在全球疫情导致消费者偏好转变时表现不佳。同样，一个基于历史数据训练的贷款违约预测模型，在遇到全球疫情、经济政策变化或贷款活动（如新贷款、再融资和条款重新谈判）意外变化时也可能表现不佳。这两个例子都说明了模型在面对环境突变时的脆弱性，强调了监控和更新模型以确保其有效性的重要性。</w:t>
      </w:r>
    </w:p>
    <w:p w14:paraId="1CCA8A5A">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MRM框架是一种结构化的方法，用于识别、评估、缓解和监控与ML模型相关的风险，尤其是在决策过程中的应用。建立这一框架是一种积极的实践，它在确保ML模型带来效益的同时最大限度地减少潜在的负面影响。该框架为组织提供了一条路线图，以确保这些模型在开发、部署和使用中负责任和值得信赖。需要注意的是，具体的风险及其严重程度（风险级别）将因组织性质、行业、业务部门和模型的预期用途而有所不同。</w:t>
      </w:r>
    </w:p>
    <w:p w14:paraId="614701B0">
      <w:pPr>
        <w:pStyle w:val="13"/>
        <w:keepNext w:val="0"/>
        <w:keepLines w:val="0"/>
        <w:pageBreakBefore w:val="0"/>
        <w:widowControl w:val="0"/>
        <w:kinsoku/>
        <w:wordWrap/>
        <w:overflowPunct/>
        <w:topLinePunct w:val="0"/>
        <w:autoSpaceDE w:val="0"/>
        <w:autoSpaceDN w:val="0"/>
        <w:bidi w:val="0"/>
        <w:adjustRightInd/>
        <w:snapToGrid/>
        <w:spacing w:after="200"/>
        <w:ind w:left="0" w:leftChars="0" w:right="0" w:firstLine="420" w:firstLineChars="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一个精心设计的MRM框架通过建立结构化流程来识别和评估特定模型的风险，从而实现定制化。这个持续的过程基于以下几个关键组成部分：</w:t>
      </w:r>
    </w:p>
    <w:p w14:paraId="7C189B58">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 w:val="32"/>
          <w:szCs w:val="32"/>
          <w:lang w:eastAsia="zh-CN"/>
        </w:rPr>
      </w:pPr>
      <w:r>
        <w:rPr>
          <w:rFonts w:hint="eastAsia" w:ascii="黑体" w:hAnsi="黑体" w:cs="黑体"/>
          <w:b/>
          <w:color w:val="auto"/>
          <w:kern w:val="44"/>
          <w:sz w:val="32"/>
          <w:szCs w:val="32"/>
          <w:lang w:eastAsia="zh-CN"/>
        </w:rPr>
        <w:t>1</w:t>
      </w:r>
      <w:r>
        <w:rPr>
          <w:rFonts w:hint="default" w:ascii="黑体" w:hAnsi="黑体" w:cs="黑体"/>
          <w:b/>
          <w:color w:val="auto"/>
          <w:kern w:val="44"/>
          <w:sz w:val="32"/>
          <w:szCs w:val="32"/>
          <w:lang w:eastAsia="zh-CN"/>
        </w:rPr>
        <w:t xml:space="preserve">. </w:t>
      </w:r>
      <w:r>
        <w:rPr>
          <w:rFonts w:hint="eastAsia" w:ascii="黑体" w:hAnsi="黑体" w:cs="黑体"/>
          <w:b/>
          <w:color w:val="auto"/>
          <w:kern w:val="44"/>
          <w:sz w:val="32"/>
          <w:szCs w:val="32"/>
          <w:lang w:eastAsia="zh-CN"/>
        </w:rPr>
        <w:t>治理</w:t>
      </w:r>
    </w:p>
    <w:p w14:paraId="570C7A13">
      <w:pPr>
        <w:pStyle w:val="13"/>
        <w:keepNext w:val="0"/>
        <w:keepLines w:val="0"/>
        <w:pageBreakBefore w:val="0"/>
        <w:widowControl w:val="0"/>
        <w:kinsoku/>
        <w:wordWrap/>
        <w:overflowPunct/>
        <w:topLinePunct w:val="0"/>
        <w:autoSpaceDE w:val="0"/>
        <w:autoSpaceDN w:val="0"/>
        <w:bidi w:val="0"/>
        <w:adjustRightInd/>
        <w:snapToGrid/>
        <w:spacing w:after="200"/>
        <w:ind w:left="0" w:right="0" w:firstLine="480"/>
        <w:textAlignment w:val="auto"/>
        <w:rPr>
          <w:rFonts w:hint="default" w:ascii="Calibri" w:hAnsi="Calibri" w:eastAsia="宋体" w:cs="Calibri"/>
          <w:color w:val="111A25"/>
          <w:sz w:val="24"/>
          <w:szCs w:val="24"/>
          <w:lang w:eastAsia="zh-CN"/>
        </w:rPr>
      </w:pPr>
      <w:r>
        <w:rPr>
          <w:rFonts w:hint="default" w:ascii="Calibri" w:hAnsi="Calibri" w:eastAsia="宋体" w:cs="Calibri"/>
          <w:color w:val="111A25"/>
          <w:sz w:val="24"/>
          <w:szCs w:val="24"/>
          <w:lang w:eastAsia="zh-CN"/>
        </w:rPr>
        <w:t>在组织内对AI和ML模型进行有效治理至关重要，以确保这些模型得到妥善管理，并与战略目标和监管要求保持一致。这包括设定明确的目标、维护详细的模型清单、定义职责角色并建立审批流程。治理的关键组成部分包括:</w:t>
      </w:r>
    </w:p>
    <w:p w14:paraId="14B41587">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企业管理手段: </w:t>
      </w:r>
      <w:r>
        <w:rPr>
          <w:rFonts w:hint="default" w:ascii="Calibri" w:hAnsi="Calibri" w:eastAsia="宋体" w:cs="Calibri"/>
          <w:kern w:val="2"/>
          <w:sz w:val="24"/>
          <w:szCs w:val="24"/>
          <w:lang w:val="en-US" w:eastAsia="zh-CN"/>
        </w:rPr>
        <w:t>定义组织的整体AI战略和业务目标，以识别AI在提高生产力、效率、决策能力或提供新用户体验方面可以发挥作用的领域。</w:t>
      </w:r>
    </w:p>
    <w:p w14:paraId="5BAAA1BA">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模型清单: </w:t>
      </w:r>
      <w:r>
        <w:rPr>
          <w:rFonts w:hint="default" w:ascii="Calibri" w:hAnsi="Calibri" w:eastAsia="宋体" w:cs="Calibri"/>
          <w:kern w:val="2"/>
          <w:sz w:val="24"/>
          <w:szCs w:val="24"/>
          <w:lang w:val="en-US" w:eastAsia="zh-CN"/>
        </w:rPr>
        <w:t>建立组织中所有使用模型的全面清单，并按目的、复杂性、风险等级及与既定企业管理手段的对齐程度进行分类。一个结构良好的模型清单通过基于风险等级和潜在影响的分类，能够实现有针对性的风险评估和高风险或关键模型的监控。</w:t>
      </w:r>
    </w:p>
    <w:p w14:paraId="3C0B3390">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模型生命周期管理: </w:t>
      </w:r>
      <w:r>
        <w:rPr>
          <w:rFonts w:hint="default" w:ascii="Calibri" w:hAnsi="Calibri" w:eastAsia="宋体" w:cs="Calibri"/>
          <w:kern w:val="2"/>
          <w:sz w:val="24"/>
          <w:szCs w:val="24"/>
          <w:lang w:val="en-US" w:eastAsia="zh-CN"/>
        </w:rPr>
        <w:t>明确定义各模型在生命周期中的角色和职责，从设计和测试，到开发和部署，再到持续监控和维护，直至最终退役。清晰的职责分配有助于高效的知识传递和文档化，减少因知识空白或信息孤岛对模型长期维护和演进带来的风险。</w:t>
      </w:r>
    </w:p>
    <w:p w14:paraId="08B11279">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模型审批: </w:t>
      </w:r>
      <w:r>
        <w:rPr>
          <w:rFonts w:hint="default" w:ascii="Calibri" w:hAnsi="Calibri" w:eastAsia="宋体" w:cs="Calibri"/>
          <w:kern w:val="2"/>
          <w:sz w:val="24"/>
          <w:szCs w:val="24"/>
          <w:lang w:val="en-US" w:eastAsia="zh-CN"/>
        </w:rPr>
        <w:t>建立一个正式的流程和标准，用于在模型部署前进行审批，确保模型符合业务需求、与业务架构一致并遵守监管要求。审批流程还会评估模型的潜在偏见、伦理问题以及对负责任AI原则的遵循，促进公平性、透明性和可信赖性。</w:t>
      </w:r>
    </w:p>
    <w:p w14:paraId="0C1E6BF3">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default" w:ascii="黑体" w:hAnsi="黑体" w:cs="黑体"/>
          <w:b/>
          <w:color w:val="auto"/>
          <w:kern w:val="44"/>
          <w:sz w:val="32"/>
          <w:szCs w:val="32"/>
          <w:lang w:eastAsia="zh-CN"/>
        </w:rPr>
      </w:pPr>
      <w:r>
        <w:rPr>
          <w:rFonts w:hint="default" w:ascii="黑体" w:hAnsi="黑体" w:cs="黑体"/>
          <w:b/>
          <w:color w:val="auto"/>
          <w:kern w:val="44"/>
          <w:sz w:val="32"/>
          <w:szCs w:val="32"/>
          <w:lang w:eastAsia="zh-CN"/>
        </w:rPr>
        <w:t>2. 模型开发标准</w:t>
      </w:r>
    </w:p>
    <w:p w14:paraId="01BE7FDD">
      <w:pPr>
        <w:pStyle w:val="13"/>
        <w:keepNext w:val="0"/>
        <w:keepLines w:val="0"/>
        <w:pageBreakBefore w:val="0"/>
        <w:widowControl w:val="0"/>
        <w:kinsoku/>
        <w:wordWrap/>
        <w:overflowPunct/>
        <w:topLinePunct w:val="0"/>
        <w:autoSpaceDE w:val="0"/>
        <w:autoSpaceDN w:val="0"/>
        <w:bidi w:val="0"/>
        <w:adjustRightInd/>
        <w:snapToGrid/>
        <w:spacing w:after="200"/>
        <w:ind w:left="0" w:right="0"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建立健全的模型开发标准对于确保AI模型基于高质量数据进行构建、遵循最佳实践并符合相关法规至关重要。这包括管理数据质量、遵循标准化的设计和开发流程，并实施全面的验证和测试程序。模型开发标准的关键组成部分包括</w:t>
      </w:r>
      <w:r>
        <w:rPr>
          <w:rFonts w:hint="default" w:ascii="Calibri" w:hAnsi="Calibri" w:eastAsia="宋体" w:cs="Calibri"/>
          <w:spacing w:val="-2"/>
          <w:w w:val="105"/>
          <w:sz w:val="24"/>
          <w:szCs w:val="24"/>
        </w:rPr>
        <w:t>:</w:t>
      </w:r>
    </w:p>
    <w:p w14:paraId="509922A1">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数据质量管理: </w:t>
      </w:r>
      <w:r>
        <w:rPr>
          <w:rFonts w:hint="default" w:ascii="Calibri" w:hAnsi="Calibri" w:eastAsia="宋体" w:cs="Calibri"/>
          <w:kern w:val="2"/>
          <w:sz w:val="24"/>
          <w:szCs w:val="24"/>
          <w:lang w:val="en-US" w:eastAsia="zh-CN"/>
        </w:rPr>
        <w:t>定义能够用于模型训练的高质量数据的一种实践，它要求数据符合准确性、完整性、最小化偏差以及数据精简（确保数据适用于目标且仅限于必要信息），并通过数据多样化和遵守知识产权以及隐私保护措施来实现。</w:t>
      </w:r>
    </w:p>
    <w:p w14:paraId="1DD25FF2">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模型设计与开发: </w:t>
      </w:r>
      <w:r>
        <w:rPr>
          <w:rFonts w:hint="default" w:ascii="Calibri" w:hAnsi="Calibri" w:eastAsia="宋体" w:cs="Calibri"/>
          <w:kern w:val="2"/>
          <w:sz w:val="24"/>
          <w:szCs w:val="24"/>
          <w:lang w:val="en-US" w:eastAsia="zh-CN"/>
        </w:rPr>
        <w:t>概述模型架构、开发方法和文档实践的标准。将模型开发标准与现有的治理和合规框架（包括监管指南）对齐。有关主要指导文件的列表，请参见“附录1：AI框架、法规和指导”。</w:t>
      </w:r>
    </w:p>
    <w:p w14:paraId="2AB77825">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模型验证与测试: </w:t>
      </w:r>
      <w:r>
        <w:rPr>
          <w:rFonts w:hint="default" w:ascii="Calibri" w:hAnsi="Calibri" w:eastAsia="宋体" w:cs="Calibri"/>
          <w:kern w:val="2"/>
          <w:sz w:val="24"/>
          <w:szCs w:val="24"/>
          <w:lang w:val="en-US" w:eastAsia="zh-CN"/>
        </w:rPr>
        <w:t>建立严格测试模型的流程，以评估其性能、准确性、安全性和稳健性。</w:t>
      </w:r>
    </w:p>
    <w:p w14:paraId="7B0433F8">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治理和合规框架: </w:t>
      </w:r>
      <w:r>
        <w:rPr>
          <w:rFonts w:hint="default" w:ascii="Calibri" w:hAnsi="Calibri" w:eastAsia="宋体" w:cs="Calibri"/>
          <w:kern w:val="2"/>
          <w:sz w:val="24"/>
          <w:szCs w:val="24"/>
          <w:lang w:val="en-US" w:eastAsia="zh-CN"/>
        </w:rPr>
        <w:t>将模型开发标准与现有的治理和合规框架对齐，包括监管指南（例如GDPR, CCPA）、行业标准（例如ISO 27001, ISO 42001）和组织政策。有关确保遵守法律、伦理和风险管理要求的指导，请参考CSA出版物《从原则到实践：动态监管环境下的负责任AI》。</w:t>
      </w:r>
    </w:p>
    <w:p w14:paraId="2D9B10AC">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default" w:ascii="黑体" w:hAnsi="黑体" w:cs="黑体"/>
          <w:b/>
          <w:color w:val="auto"/>
          <w:kern w:val="44"/>
          <w:sz w:val="32"/>
          <w:szCs w:val="32"/>
          <w:lang w:eastAsia="zh-CN"/>
        </w:rPr>
      </w:pPr>
      <w:r>
        <w:rPr>
          <w:rFonts w:hint="default" w:ascii="黑体" w:hAnsi="黑体" w:cs="黑体"/>
          <w:b/>
          <w:color w:val="auto"/>
          <w:kern w:val="44"/>
          <w:sz w:val="32"/>
          <w:szCs w:val="32"/>
          <w:lang w:eastAsia="zh-CN"/>
        </w:rPr>
        <w:t>3. 模型部署与使用</w:t>
      </w:r>
    </w:p>
    <w:p w14:paraId="30DB5979">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模型监控: </w:t>
      </w:r>
      <w:r>
        <w:rPr>
          <w:rFonts w:hint="default" w:ascii="Calibri" w:hAnsi="Calibri" w:eastAsia="宋体" w:cs="Calibri"/>
          <w:kern w:val="2"/>
          <w:sz w:val="24"/>
          <w:szCs w:val="24"/>
          <w:lang w:val="en-US" w:eastAsia="zh-CN"/>
        </w:rPr>
        <w:t>实施在生产环境中持续监控模型性能的程序，以检测任何精度下降或异常行为。</w:t>
      </w:r>
    </w:p>
    <w:p w14:paraId="6A043944">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模型变更管理: </w:t>
      </w:r>
      <w:r>
        <w:rPr>
          <w:rFonts w:hint="default" w:ascii="Calibri" w:hAnsi="Calibri" w:eastAsia="宋体" w:cs="Calibri"/>
          <w:kern w:val="2"/>
          <w:sz w:val="24"/>
          <w:szCs w:val="24"/>
          <w:lang w:val="en-US" w:eastAsia="zh-CN"/>
        </w:rPr>
        <w:t>定义透明的流程用来管理已部署模型的变更，确保在实施前进行充分的测试和验证，并提供回滚和废弃机制以应对不再使用的模型。</w:t>
      </w:r>
    </w:p>
    <w:p w14:paraId="3F15DC64">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模型沟通与培训: </w:t>
      </w:r>
      <w:r>
        <w:rPr>
          <w:rFonts w:hint="default" w:ascii="Calibri" w:hAnsi="Calibri" w:eastAsia="宋体" w:cs="Calibri"/>
          <w:kern w:val="2"/>
          <w:sz w:val="24"/>
          <w:szCs w:val="24"/>
          <w:lang w:val="en-US" w:eastAsia="zh-CN"/>
        </w:rPr>
        <w:t>建立与利益相关者沟通模型局限性和能力的协议，并提供培训以确保正确使用模型。</w:t>
      </w:r>
    </w:p>
    <w:p w14:paraId="44B4B761">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default" w:ascii="黑体" w:hAnsi="黑体" w:cs="黑体"/>
          <w:b/>
          <w:color w:val="auto"/>
          <w:kern w:val="44"/>
          <w:sz w:val="32"/>
          <w:szCs w:val="32"/>
          <w:lang w:eastAsia="zh-CN"/>
        </w:rPr>
      </w:pPr>
      <w:r>
        <w:rPr>
          <w:rFonts w:hint="default" w:ascii="黑体" w:hAnsi="黑体" w:cs="黑体"/>
          <w:b/>
          <w:color w:val="auto"/>
          <w:kern w:val="44"/>
          <w:sz w:val="32"/>
          <w:szCs w:val="32"/>
          <w:lang w:eastAsia="zh-CN"/>
        </w:rPr>
        <w:t>4. 模型风险评估</w:t>
      </w:r>
    </w:p>
    <w:p w14:paraId="68942F61">
      <w:pPr>
        <w:pStyle w:val="13"/>
        <w:keepNext w:val="0"/>
        <w:keepLines w:val="0"/>
        <w:pageBreakBefore w:val="0"/>
        <w:widowControl w:val="0"/>
        <w:kinsoku/>
        <w:wordWrap/>
        <w:overflowPunct/>
        <w:topLinePunct w:val="0"/>
        <w:autoSpaceDE w:val="0"/>
        <w:autoSpaceDN w:val="0"/>
        <w:bidi w:val="0"/>
        <w:adjustRightInd/>
        <w:snapToGrid/>
        <w:spacing w:after="200"/>
        <w:ind w:left="0" w:right="0" w:firstLine="480"/>
        <w:textAlignment w:val="auto"/>
        <w:rPr>
          <w:rFonts w:hint="default" w:ascii="Calibri" w:hAnsi="Calibri" w:eastAsia="宋体" w:cs="Calibri"/>
          <w:sz w:val="24"/>
          <w:szCs w:val="24"/>
          <w:lang w:eastAsia="zh-CN"/>
        </w:rPr>
      </w:pPr>
      <w:r>
        <w:rPr>
          <w:rFonts w:hint="default" w:ascii="Calibri" w:hAnsi="Calibri" w:eastAsia="宋体" w:cs="Calibri"/>
          <w:color w:val="1F1F1F"/>
          <w:sz w:val="24"/>
          <w:szCs w:val="24"/>
          <w:lang w:eastAsia="zh-CN"/>
        </w:rPr>
        <w:t>模型风险评估是识别和应对AI和ML模型潜在风险的关键，无论这些模型是内部开发的还是外部获取的。此过程涵盖金融、供应链、法律、监管和客户等领域的风险。</w:t>
      </w:r>
      <w:r>
        <w:rPr>
          <w:rFonts w:hint="default" w:ascii="Calibri" w:hAnsi="Calibri" w:eastAsia="宋体" w:cs="Calibri"/>
          <w:color w:val="1F1F1F"/>
          <w:sz w:val="24"/>
          <w:szCs w:val="24"/>
        </w:rPr>
        <w:t>关键组成部分包括:</w:t>
      </w:r>
    </w:p>
    <w:p w14:paraId="605E7823">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风险范围: </w:t>
      </w:r>
      <w:r>
        <w:rPr>
          <w:rFonts w:hint="default" w:ascii="Calibri" w:hAnsi="Calibri" w:eastAsia="宋体" w:cs="Calibri"/>
          <w:kern w:val="2"/>
          <w:sz w:val="24"/>
          <w:szCs w:val="24"/>
          <w:lang w:val="en-US" w:eastAsia="zh-CN"/>
        </w:rPr>
        <w:t>风险评估过程不仅适用于组织内部开发使用的模型，也适用于从第三方或外部组织获取的模型。它定义了组织希望在各个层次上处理的风险类型，例如财务风险、供应链风险、法律和监管风险、客户保持风险等。</w:t>
      </w:r>
    </w:p>
    <w:p w14:paraId="61FFA849">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风险识别: </w:t>
      </w:r>
      <w:r>
        <w:rPr>
          <w:rFonts w:hint="default" w:ascii="Calibri" w:hAnsi="Calibri" w:eastAsia="宋体" w:cs="Calibri"/>
          <w:kern w:val="2"/>
          <w:sz w:val="24"/>
          <w:szCs w:val="24"/>
          <w:lang w:val="en-US" w:eastAsia="zh-CN"/>
        </w:rPr>
        <w:t>风险识别是有效管理ML模型相关风险的第一步。它通过系统化的方法在整个模型生命周期内发现潜在问题。风险识别时考虑的关键因素包括数据质量、模型复杂性、预期用途、训练数据获取及个人数据使用、以及模型保护机制。</w:t>
      </w:r>
    </w:p>
    <w:p w14:paraId="27E7D834">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风险评估: </w:t>
      </w:r>
      <w:r>
        <w:rPr>
          <w:rFonts w:hint="default" w:ascii="Calibri" w:hAnsi="Calibri" w:eastAsia="宋体" w:cs="Calibri"/>
          <w:kern w:val="2"/>
          <w:sz w:val="24"/>
          <w:szCs w:val="24"/>
          <w:lang w:val="en-US" w:eastAsia="zh-CN"/>
        </w:rPr>
        <w:t>评估能识别出风险的严重性和可能性，从而为减缓措施的优先级排序提供依据。风险评估可以采用定性或定量方法，如FAIR-AI6.</w:t>
      </w:r>
    </w:p>
    <w:p w14:paraId="655FAAD6">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风险应对: </w:t>
      </w:r>
      <w:r>
        <w:rPr>
          <w:rFonts w:hint="default" w:ascii="Calibri" w:hAnsi="Calibri" w:eastAsia="宋体" w:cs="Calibri"/>
          <w:kern w:val="2"/>
          <w:sz w:val="24"/>
          <w:szCs w:val="24"/>
          <w:lang w:val="en-US" w:eastAsia="zh-CN"/>
        </w:rPr>
        <w:t>制定应对识别出风险的策略，包括数据清洗、模型改进、实施安全和隐私控制，以及保护知识产权。根据这些措施在组织环境中降低风险的效果、成本和可行性之间的平衡来确定优先级。</w:t>
      </w:r>
    </w:p>
    <w:p w14:paraId="293EE695">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default" w:ascii="黑体" w:hAnsi="黑体" w:cs="黑体"/>
          <w:b/>
          <w:color w:val="auto"/>
          <w:kern w:val="44"/>
          <w:sz w:val="32"/>
          <w:szCs w:val="32"/>
          <w:lang w:eastAsia="zh-CN"/>
        </w:rPr>
      </w:pPr>
      <w:r>
        <w:rPr>
          <w:rFonts w:hint="default" w:ascii="黑体" w:hAnsi="黑体" w:cs="黑体"/>
          <w:b/>
          <w:color w:val="auto"/>
          <w:kern w:val="44"/>
          <w:sz w:val="32"/>
          <w:szCs w:val="32"/>
          <w:lang w:eastAsia="zh-CN"/>
        </w:rPr>
        <w:t>5. 文档和报告</w:t>
      </w:r>
    </w:p>
    <w:p w14:paraId="18BBAE97">
      <w:pPr>
        <w:pStyle w:val="13"/>
        <w:keepNext w:val="0"/>
        <w:keepLines w:val="0"/>
        <w:pageBreakBefore w:val="0"/>
        <w:widowControl w:val="0"/>
        <w:kinsoku/>
        <w:wordWrap/>
        <w:overflowPunct/>
        <w:topLinePunct w:val="0"/>
        <w:autoSpaceDE w:val="0"/>
        <w:autoSpaceDN w:val="0"/>
        <w:bidi w:val="0"/>
        <w:adjustRightInd/>
        <w:snapToGrid/>
        <w:spacing w:after="200"/>
        <w:ind w:left="0" w:right="0" w:firstLine="480"/>
        <w:textAlignment w:val="auto"/>
        <w:rPr>
          <w:rFonts w:hint="default" w:ascii="Calibri" w:hAnsi="Calibri" w:eastAsia="宋体" w:cs="Calibri"/>
          <w:sz w:val="24"/>
          <w:szCs w:val="24"/>
          <w:lang w:eastAsia="zh-CN"/>
        </w:rPr>
      </w:pPr>
      <w:r>
        <w:rPr>
          <w:rFonts w:hint="default" w:ascii="Calibri" w:hAnsi="Calibri" w:eastAsia="宋体" w:cs="Calibri"/>
          <w:color w:val="111A25"/>
          <w:sz w:val="24"/>
          <w:szCs w:val="24"/>
          <w:lang w:eastAsia="zh-CN"/>
        </w:rPr>
        <w:t>全面的文档记录和定期报告对于在模型风险管理中保持透明度和问责制至关重要。这些实践确保模型生命周期的各个方面都得到了充分的记录，并传达给相关干系人。关键组成部分包括</w:t>
      </w:r>
      <w:r>
        <w:rPr>
          <w:rFonts w:hint="eastAsia" w:ascii="Calibri" w:hAnsi="Calibri" w:cs="Calibri"/>
          <w:color w:val="111A25"/>
          <w:sz w:val="24"/>
          <w:szCs w:val="24"/>
          <w:lang w:eastAsia="zh-CN"/>
        </w:rPr>
        <w:t>：</w:t>
      </w:r>
    </w:p>
    <w:p w14:paraId="7325A6F3">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模型文档: </w:t>
      </w:r>
      <w:r>
        <w:rPr>
          <w:rFonts w:hint="default" w:ascii="Calibri" w:hAnsi="Calibri" w:eastAsia="宋体" w:cs="Calibri"/>
          <w:kern w:val="2"/>
          <w:sz w:val="24"/>
          <w:szCs w:val="24"/>
          <w:lang w:val="en-US" w:eastAsia="zh-CN"/>
        </w:rPr>
        <w:t>在模型生命周期的各个阶段维护全面的文档，记录开发步骤、假设、局限性和性能指标。</w:t>
      </w:r>
    </w:p>
    <w:p w14:paraId="60EBECD8">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b/>
          <w:bCs/>
          <w:kern w:val="2"/>
          <w:sz w:val="24"/>
          <w:szCs w:val="24"/>
          <w:lang w:val="en-US" w:eastAsia="zh-CN"/>
        </w:rPr>
        <w:t xml:space="preserve">模型风险报告: </w:t>
      </w:r>
      <w:r>
        <w:rPr>
          <w:rFonts w:hint="default" w:ascii="Calibri" w:hAnsi="Calibri" w:eastAsia="宋体" w:cs="Calibri"/>
          <w:kern w:val="2"/>
          <w:sz w:val="24"/>
          <w:szCs w:val="24"/>
          <w:lang w:val="en-US" w:eastAsia="zh-CN"/>
        </w:rPr>
        <w:t>定期向相关干系人报告已识别的模型风险、缓解策略和整体模型性能。</w:t>
      </w:r>
    </w:p>
    <w:p w14:paraId="55EA04B7">
      <w:pPr>
        <w:keepNext w:val="0"/>
        <w:keepLines w:val="0"/>
        <w:pageBreakBefore w:val="0"/>
        <w:widowControl/>
        <w:numPr>
          <w:ilvl w:val="0"/>
          <w:numId w:val="0"/>
        </w:numPr>
        <w:kinsoku/>
        <w:wordWrap/>
        <w:overflowPunct/>
        <w:topLinePunct w:val="0"/>
        <w:autoSpaceDE/>
        <w:autoSpaceDN/>
        <w:bidi w:val="0"/>
        <w:adjustRightInd/>
        <w:snapToGrid/>
        <w:spacing w:beforeAutospacing="0" w:after="200" w:line="360" w:lineRule="auto"/>
        <w:ind w:right="0" w:rightChars="0" w:firstLine="420" w:firstLineChars="0"/>
        <w:jc w:val="left"/>
        <w:textAlignment w:val="auto"/>
        <w:rPr>
          <w:rFonts w:hint="default" w:ascii="Calibri" w:hAnsi="Calibri" w:eastAsia="宋体" w:cs="Calibri"/>
          <w:kern w:val="2"/>
          <w:sz w:val="24"/>
          <w:szCs w:val="24"/>
          <w:lang w:val="en-US" w:eastAsia="zh-CN"/>
        </w:rPr>
      </w:pPr>
      <w:r>
        <w:rPr>
          <w:rFonts w:hint="default" w:ascii="Calibri" w:hAnsi="Calibri" w:eastAsia="宋体" w:cs="Calibri"/>
          <w:kern w:val="2"/>
          <w:sz w:val="24"/>
          <w:szCs w:val="24"/>
          <w:lang w:val="en-US" w:eastAsia="zh-CN"/>
        </w:rPr>
        <w:t>一个健全的MRM框架确保了ML模型在开发、部署和持续使用过程中的可信赖性。通过主动识别、评估和缓解这些风险，组织能够在利用模型强大功能的同时，保护自身及其客户和用户免受潜在的陷阱。这有助于确保模型驱动决策的可靠性和准确性，进而促进信任与透明度的建立。</w:t>
      </w:r>
    </w:p>
    <w:p w14:paraId="03E3D841">
      <w:pPr>
        <w:keepNext w:val="0"/>
        <w:keepLines w:val="0"/>
        <w:pageBreakBefore w:val="0"/>
        <w:widowControl w:val="0"/>
        <w:kinsoku/>
        <w:wordWrap/>
        <w:overflowPunct/>
        <w:topLinePunct w:val="0"/>
        <w:autoSpaceDE/>
        <w:autoSpaceDN/>
        <w:bidi w:val="0"/>
        <w:adjustRightInd/>
        <w:snapToGrid/>
        <w:spacing w:before="0" w:beforeLines="300" w:after="0" w:afterLines="200" w:line="360" w:lineRule="auto"/>
        <w:jc w:val="left"/>
        <w:textAlignment w:val="auto"/>
        <w:rPr>
          <w:rFonts w:hint="default" w:ascii="Calibri" w:hAnsi="Calibri" w:eastAsia="宋体" w:cs="Calibri"/>
          <w:kern w:val="2"/>
          <w:sz w:val="24"/>
          <w:szCs w:val="24"/>
          <w:lang w:val="en-US" w:eastAsia="zh-CN"/>
        </w:rPr>
      </w:pPr>
      <w:r>
        <w:rPr>
          <w:rFonts w:hint="eastAsia" w:asciiTheme="minorAscii" w:hAnsiTheme="minorAscii" w:eastAsiaTheme="minorEastAsia" w:cstheme="minorEastAsia"/>
          <w:color w:val="BFBFBF" w:themeColor="background1" w:themeShade="BF"/>
          <w:sz w:val="28"/>
          <w:szCs w:val="28"/>
          <w:lang w:eastAsia="zh-CN"/>
        </w:rPr>
        <w:t>（</w:t>
      </w:r>
      <w:r>
        <w:rPr>
          <w:rFonts w:hint="eastAsia" w:asciiTheme="minorAscii" w:hAnsiTheme="minorAscii" w:eastAsiaTheme="minorEastAsia" w:cstheme="minorEastAsia"/>
          <w:color w:val="BFBFBF" w:themeColor="background1" w:themeShade="BF"/>
          <w:sz w:val="28"/>
          <w:szCs w:val="28"/>
          <w:lang w:val="en-US" w:eastAsia="zh-CN"/>
        </w:rPr>
        <w:t>正文内容如下</w:t>
      </w:r>
      <w:r>
        <w:rPr>
          <w:rFonts w:hint="eastAsia" w:asciiTheme="minorAscii" w:hAnsiTheme="minorAscii" w:eastAsiaTheme="minorEastAsia" w:cstheme="minorEastAsia"/>
          <w:color w:val="BFBFBF" w:themeColor="background1" w:themeShade="BF"/>
          <w:sz w:val="28"/>
          <w:szCs w:val="28"/>
          <w:lang w:eastAsia="zh-CN"/>
        </w:rPr>
        <w:t>）</w:t>
      </w:r>
    </w:p>
    <w:p w14:paraId="2A98CA01">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21" w:name="_Toc195018707"/>
      <w:bookmarkStart w:id="22" w:name="四大支柱模型卡片数据表格风险卡片情景规划"/>
      <w:bookmarkStart w:id="23" w:name="ai模型风险管理框架p12-17"/>
      <w:r>
        <w:rPr>
          <w:rFonts w:hint="eastAsia" w:ascii="黑体" w:hAnsi="黑体" w:cs="黑体"/>
          <w:b/>
          <w:color w:val="auto"/>
          <w:kern w:val="44"/>
          <w:szCs w:val="36"/>
          <w:lang w:eastAsia="zh-CN"/>
        </w:rPr>
        <w:t>一、四大支柱：模型卡片，数据手册，风险卡片，场景规划</w:t>
      </w:r>
      <w:bookmarkEnd w:id="21"/>
    </w:p>
    <w:p w14:paraId="428A62A7">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lang w:eastAsia="zh-CN"/>
        </w:rPr>
      </w:pPr>
      <w:r>
        <w:rPr>
          <w:rFonts w:hint="eastAsia"/>
          <w:lang w:eastAsia="zh-CN"/>
        </w:rPr>
        <w:t>该框架通过整合四个核心组件</w:t>
      </w:r>
      <w:r>
        <w:rPr>
          <w:rFonts w:hint="eastAsia" w:ascii="宋体" w:hAnsi="宋体" w:cs="宋体"/>
          <w:lang w:eastAsia="zh-CN"/>
        </w:rPr>
        <w:t>来</w:t>
      </w:r>
      <w:r>
        <w:rPr>
          <w:rFonts w:hint="eastAsia"/>
          <w:lang w:eastAsia="zh-CN"/>
        </w:rPr>
        <w:t>构建：</w:t>
      </w:r>
    </w:p>
    <w:p w14:paraId="51F775C9">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val="0"/>
          <w:bCs w:val="0"/>
          <w:kern w:val="2"/>
          <w:sz w:val="24"/>
          <w:szCs w:val="24"/>
          <w:lang w:val="en-US" w:eastAsia="zh-CN"/>
        </w:rPr>
      </w:pPr>
      <w:r>
        <w:rPr>
          <w:rFonts w:hint="eastAsia" w:ascii="Calibri" w:hAnsi="Calibri" w:eastAsia="宋体" w:cs="Calibri"/>
          <w:b/>
          <w:bCs/>
          <w:kern w:val="2"/>
          <w:sz w:val="24"/>
          <w:szCs w:val="24"/>
          <w:lang w:val="en-US" w:eastAsia="zh-CN"/>
        </w:rPr>
        <w:t>模型卡片：</w:t>
      </w:r>
      <w:r>
        <w:rPr>
          <w:rFonts w:hint="eastAsia" w:ascii="Calibri" w:hAnsi="Calibri" w:eastAsia="宋体" w:cs="Calibri"/>
          <w:b w:val="0"/>
          <w:bCs w:val="0"/>
          <w:kern w:val="2"/>
          <w:sz w:val="24"/>
          <w:szCs w:val="24"/>
          <w:lang w:val="en-US" w:eastAsia="zh-CN"/>
        </w:rPr>
        <w:t>为机器学习模型提供清晰简洁的窗口，它详述了模型的目标、训练数据、能力、对抗性AI防御、限制和性能，增强透明度并促进知情使用。</w:t>
      </w:r>
    </w:p>
    <w:p w14:paraId="1D6E870C">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bCs/>
          <w:kern w:val="2"/>
          <w:sz w:val="24"/>
          <w:szCs w:val="24"/>
          <w:lang w:val="en-US" w:eastAsia="zh-CN"/>
        </w:rPr>
      </w:pPr>
      <w:r>
        <w:rPr>
          <w:rFonts w:hint="eastAsia" w:ascii="Calibri" w:hAnsi="Calibri" w:eastAsia="宋体" w:cs="Calibri"/>
          <w:b/>
          <w:bCs/>
          <w:kern w:val="2"/>
          <w:sz w:val="24"/>
          <w:szCs w:val="24"/>
          <w:lang w:val="en-US" w:eastAsia="zh-CN"/>
        </w:rPr>
        <w:t>数据手册：</w:t>
      </w:r>
      <w:r>
        <w:rPr>
          <w:rFonts w:hint="eastAsia" w:ascii="Calibri" w:hAnsi="Calibri" w:eastAsia="宋体" w:cs="Calibri"/>
          <w:b w:val="0"/>
          <w:bCs w:val="0"/>
          <w:kern w:val="2"/>
          <w:sz w:val="24"/>
          <w:szCs w:val="24"/>
          <w:lang w:val="en-US" w:eastAsia="zh-CN"/>
        </w:rPr>
        <w:t>详尽描述用于训练机器学习模型的数据集。记录创建过程、组成部分（数据类型和格式），预期用途、潜在偏见、限制以及与此相关的伦理考量。</w:t>
      </w:r>
    </w:p>
    <w:p w14:paraId="343FA7D5">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hint="default" w:ascii="Calibri" w:hAnsi="Calibri" w:eastAsia="宋体" w:cs="Calibri"/>
          <w:b w:val="0"/>
          <w:bCs w:val="0"/>
          <w:kern w:val="2"/>
          <w:sz w:val="24"/>
          <w:szCs w:val="24"/>
          <w:lang w:val="en-US" w:eastAsia="zh-CN"/>
        </w:rPr>
      </w:pPr>
      <w:r>
        <w:rPr>
          <w:rFonts w:hint="eastAsia" w:ascii="Calibri" w:hAnsi="Calibri" w:eastAsia="宋体" w:cs="Calibri"/>
          <w:b/>
          <w:bCs/>
          <w:kern w:val="2"/>
          <w:sz w:val="24"/>
          <w:szCs w:val="24"/>
          <w:lang w:val="en-US" w:eastAsia="zh-CN"/>
        </w:rPr>
        <w:t>风险卡片：</w:t>
      </w:r>
      <w:r>
        <w:rPr>
          <w:rFonts w:hint="eastAsia" w:ascii="Calibri" w:hAnsi="Calibri" w:eastAsia="宋体" w:cs="Calibri"/>
          <w:b w:val="0"/>
          <w:bCs w:val="0"/>
          <w:kern w:val="2"/>
          <w:sz w:val="24"/>
          <w:szCs w:val="24"/>
          <w:lang w:val="en-US" w:eastAsia="zh-CN"/>
        </w:rPr>
        <w:t>总结人工智能模型所涉及的关键风险。它系统地识别、分类并分析可能出现的问题，在开发或部署过程中重点关注已观察到的风险，并解释当前和计划中的补救措施，概述预期用户行为以确保负责任地使用该模型。</w:t>
      </w:r>
    </w:p>
    <w:p w14:paraId="0916735E">
      <w:pPr>
        <w:keepNext w:val="0"/>
        <w:keepLines w:val="0"/>
        <w:pageBreakBefore w:val="0"/>
        <w:widowControl/>
        <w:numPr>
          <w:ilvl w:val="0"/>
          <w:numId w:val="1"/>
        </w:numPr>
        <w:kinsoku/>
        <w:wordWrap/>
        <w:overflowPunct/>
        <w:topLinePunct w:val="0"/>
        <w:autoSpaceDE/>
        <w:autoSpaceDN/>
        <w:bidi w:val="0"/>
        <w:adjustRightInd/>
        <w:snapToGrid/>
        <w:spacing w:beforeAutospacing="0" w:after="200" w:line="360" w:lineRule="auto"/>
        <w:ind w:left="0" w:leftChars="0" w:right="0" w:firstLine="482" w:firstLineChars="200"/>
        <w:jc w:val="left"/>
        <w:textAlignment w:val="auto"/>
        <w:rPr>
          <w:rFonts w:eastAsiaTheme="minorEastAsia"/>
          <w:b w:val="0"/>
          <w:bCs w:val="0"/>
          <w:lang w:eastAsia="zh-CN"/>
        </w:rPr>
      </w:pPr>
      <w:r>
        <w:rPr>
          <w:rFonts w:hint="eastAsia" w:ascii="Calibri" w:hAnsi="Calibri" w:eastAsia="宋体" w:cs="Calibri"/>
          <w:b/>
          <w:bCs/>
          <w:kern w:val="2"/>
          <w:sz w:val="24"/>
          <w:szCs w:val="24"/>
          <w:lang w:val="en-US" w:eastAsia="zh-CN"/>
        </w:rPr>
        <w:t>场景规划：</w:t>
      </w:r>
      <w:r>
        <w:rPr>
          <w:rFonts w:hint="eastAsia" w:ascii="Calibri" w:hAnsi="Calibri" w:eastAsia="宋体" w:cs="Calibri"/>
          <w:b w:val="0"/>
          <w:bCs w:val="0"/>
          <w:kern w:val="2"/>
          <w:sz w:val="24"/>
          <w:szCs w:val="24"/>
          <w:lang w:val="en-US" w:eastAsia="zh-CN"/>
        </w:rPr>
        <w:t>探索一个模型可能被滥用或出现故障时所处环境下产生假设状况,</w:t>
      </w:r>
      <w:r>
        <w:rPr>
          <w:rFonts w:hint="default" w:ascii="Calibri" w:hAnsi="Calibri" w:eastAsia="宋体" w:cs="Calibri"/>
          <w:b w:val="0"/>
          <w:bCs w:val="0"/>
          <w:kern w:val="2"/>
          <w:sz w:val="24"/>
          <w:szCs w:val="24"/>
          <w:lang w:val="en-US" w:eastAsia="zh-CN"/>
        </w:rPr>
        <w:t xml:space="preserve"> </w:t>
      </w:r>
      <w:r>
        <w:rPr>
          <w:rFonts w:hint="eastAsia" w:ascii="Calibri" w:hAnsi="Calibri" w:eastAsia="宋体" w:cs="Calibri"/>
          <w:b w:val="0"/>
          <w:bCs w:val="0"/>
          <w:kern w:val="2"/>
          <w:sz w:val="24"/>
          <w:szCs w:val="24"/>
          <w:lang w:val="en-US" w:eastAsia="zh-CN"/>
        </w:rPr>
        <w:t>帮助识别未预见到的风险并制定缓解策略。</w:t>
      </w:r>
    </w:p>
    <w:p w14:paraId="3D54A096">
      <w:pPr>
        <w:pStyle w:val="13"/>
        <w:ind w:firstLine="480"/>
        <w:jc w:val="center"/>
        <w:rPr>
          <w:rFonts w:eastAsiaTheme="minorEastAsia"/>
          <w:lang w:eastAsia="zh-CN"/>
        </w:rPr>
      </w:pPr>
      <w:r>
        <w:rPr>
          <w:rFonts w:eastAsiaTheme="minorEastAsia"/>
          <w:lang w:eastAsia="zh-CN"/>
        </w:rPr>
        <w:drawing>
          <wp:inline distT="0" distB="0" distL="0" distR="0">
            <wp:extent cx="5629910" cy="2512695"/>
            <wp:effectExtent l="0" t="0" r="8890" b="1905"/>
            <wp:docPr id="475620141" name="图片 7" descr="C:/Users/Hazel/Desktop/hhh.png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20141" name="图片 7" descr="C:/Users/Hazel/Desktop/hhh.pnghhh"/>
                    <pic:cNvPicPr>
                      <a:picLocks noChangeAspect="1" noChangeArrowheads="1"/>
                    </pic:cNvPicPr>
                  </pic:nvPicPr>
                  <pic:blipFill>
                    <a:blip r:embed="rId12"/>
                    <a:srcRect l="13" r="13"/>
                    <a:stretch>
                      <a:fillRect/>
                    </a:stretch>
                  </pic:blipFill>
                  <pic:spPr>
                    <a:xfrm>
                      <a:off x="0" y="0"/>
                      <a:ext cx="5636847" cy="2512695"/>
                    </a:xfrm>
                    <a:prstGeom prst="rect">
                      <a:avLst/>
                    </a:prstGeom>
                    <a:noFill/>
                  </pic:spPr>
                </pic:pic>
              </a:graphicData>
            </a:graphic>
          </wp:inline>
        </w:drawing>
      </w:r>
    </w:p>
    <w:p w14:paraId="72A1603F">
      <w:pPr>
        <w:pStyle w:val="13"/>
        <w:ind w:firstLine="480"/>
        <w:jc w:val="center"/>
        <w:rPr>
          <w:rFonts w:hint="eastAsia"/>
          <w:color w:val="A6A6A6" w:themeColor="background1" w:themeShade="A6"/>
          <w:highlight w:val="none"/>
          <w:lang w:eastAsia="zh-CN"/>
        </w:rPr>
      </w:pPr>
      <w:r>
        <w:rPr>
          <w:rFonts w:hint="eastAsia"/>
          <w:color w:val="A6A6A6" w:themeColor="background1" w:themeShade="A6"/>
          <w:highlight w:val="none"/>
          <w:lang w:eastAsia="zh-CN"/>
        </w:rPr>
        <w:t>图1 担责且合规使用A/ML（人工智能/机器学习）的框架支柱</w:t>
      </w:r>
    </w:p>
    <w:p w14:paraId="794B5616">
      <w:pPr>
        <w:pStyle w:val="13"/>
        <w:ind w:firstLine="480"/>
        <w:jc w:val="center"/>
        <w:rPr>
          <w:rFonts w:hint="eastAsia"/>
          <w:color w:val="BFBFBF" w:themeColor="background1" w:themeShade="BF"/>
          <w:lang w:eastAsia="zh-CN"/>
        </w:rPr>
      </w:pPr>
    </w:p>
    <w:p w14:paraId="0C2FCA11">
      <w:pPr>
        <w:pStyle w:val="13"/>
        <w:ind w:firstLine="480"/>
        <w:rPr>
          <w:rFonts w:hint="eastAsia" w:ascii="Calibri" w:hAnsi="Calibri" w:eastAsia="宋体" w:cs="Calibri"/>
          <w:kern w:val="2"/>
          <w:sz w:val="24"/>
          <w:szCs w:val="24"/>
          <w:lang w:val="en-US" w:eastAsia="zh-CN" w:bidi="ar-SA"/>
        </w:rPr>
      </w:pPr>
      <w:r>
        <w:rPr>
          <w:rFonts w:hint="eastAsia" w:ascii="Calibri" w:hAnsi="Calibri" w:eastAsia="宋体" w:cs="Calibri"/>
          <w:kern w:val="2"/>
          <w:sz w:val="24"/>
          <w:szCs w:val="24"/>
          <w:lang w:val="en-US" w:eastAsia="zh-CN" w:bidi="ar-SA"/>
        </w:rPr>
        <w:t>这些技术共同形成一种全面方法。简单来说，模型卡片提供了进行风险评估的信息；在模型卡片和数据手册的基础上，为理解模型优点和局限性提供了更多背景。风险卡指导场景规划实践，并将场景规划结果反馈到风险管理中，形成一个持续的反馈循环。</w:t>
      </w:r>
    </w:p>
    <w:p w14:paraId="40A755A5">
      <w:pPr>
        <w:pStyle w:val="13"/>
        <w:ind w:firstLine="480"/>
        <w:rPr>
          <w:rFonts w:hint="eastAsia" w:ascii="Calibri" w:hAnsi="Calibri" w:eastAsia="宋体" w:cs="Calibri"/>
          <w:kern w:val="2"/>
          <w:sz w:val="24"/>
          <w:szCs w:val="24"/>
          <w:lang w:val="en-US" w:eastAsia="zh-CN" w:bidi="ar-SA"/>
        </w:rPr>
      </w:pPr>
    </w:p>
    <w:p w14:paraId="2067B2AA">
      <w:pPr>
        <w:pStyle w:val="13"/>
        <w:ind w:firstLine="482"/>
        <w:rPr>
          <w:rFonts w:hint="eastAsia" w:ascii="Calibri" w:hAnsi="Calibri" w:eastAsia="宋体" w:cs="Calibri"/>
          <w:i/>
          <w:iCs/>
          <w:color w:val="auto"/>
          <w:kern w:val="2"/>
          <w:sz w:val="24"/>
          <w:szCs w:val="24"/>
          <w:lang w:val="en-US" w:eastAsia="zh-CN" w:bidi="ar-SA"/>
        </w:rPr>
      </w:pPr>
      <w:r>
        <w:rPr>
          <w:rFonts w:hint="eastAsia" w:ascii="Calibri" w:hAnsi="Calibri" w:eastAsia="宋体" w:cs="Calibri"/>
          <w:i/>
          <w:iCs/>
          <w:color w:val="auto"/>
          <w:kern w:val="2"/>
          <w:sz w:val="24"/>
          <w:szCs w:val="24"/>
          <w:lang w:val="en-US" w:eastAsia="zh-CN" w:bidi="ar-SA"/>
        </w:rPr>
        <w:t>注意：模型卡片的训练数据类别与数据手册技术规范部分的主要区别在于，前者指定了用于训练机器学习模型的特定数据集，包括其来源、大小、质量和预处理步骤。而后者则详尽描述了数据集的技术构造和操作特性，涵盖数据库模式、处理步骤以及技术依赖关系等信息，而不仅局限于模型架构。理解这两者之间的差异对有效管理并维护机器学习模型与数据集至关重要。</w:t>
      </w:r>
    </w:p>
    <w:p w14:paraId="4924BF4A">
      <w:pPr>
        <w:pStyle w:val="13"/>
        <w:ind w:firstLine="482"/>
        <w:rPr>
          <w:rFonts w:hint="default" w:ascii="Calibri" w:hAnsi="Calibri" w:eastAsia="宋体" w:cs="Calibri"/>
          <w:color w:val="BFBFBF" w:themeColor="background1" w:themeShade="BF"/>
          <w:kern w:val="2"/>
          <w:sz w:val="24"/>
          <w:szCs w:val="24"/>
          <w:lang w:val="en-US" w:eastAsia="zh-CN" w:bidi="ar-SA"/>
        </w:rPr>
      </w:pPr>
    </w:p>
    <w:p w14:paraId="453DD7FC">
      <w:pPr>
        <w:pStyle w:val="13"/>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通过整合这些技巧，组织能够构建全面的风险管理框架（RMF），以推动以下几个维度：</w:t>
      </w:r>
    </w:p>
    <w:p w14:paraId="7093A92C">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透明度和可解释性：</w:t>
      </w:r>
      <w:r>
        <w:rPr>
          <w:rFonts w:hint="default" w:ascii="Calibri" w:hAnsi="Calibri" w:eastAsia="宋体" w:cs="Calibri"/>
          <w:sz w:val="24"/>
          <w:szCs w:val="24"/>
          <w:lang w:eastAsia="zh-CN"/>
        </w:rPr>
        <w:t>模型卡片、数据手册和清晰的沟通让利益相关者能理解模型的能力与局限。如局部可解释模型无关说明（LIME）、SHapley 加性解释（SHAP）、集成梯度、概念激活向量（CAVs）及模型蒸馏等技术可以提供局部解释，识别高级语义概念，并创建可解释的替代模型，从而增强复杂模型的透明度和可解释性。</w:t>
      </w:r>
    </w:p>
    <w:p w14:paraId="6BCDF9E3">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主动风险管理：</w:t>
      </w:r>
      <w:r>
        <w:rPr>
          <w:rFonts w:hint="default" w:ascii="Calibri" w:hAnsi="Calibri" w:eastAsia="宋体" w:cs="Calibri"/>
          <w:sz w:val="24"/>
          <w:szCs w:val="24"/>
          <w:lang w:eastAsia="zh-CN"/>
        </w:rPr>
        <w:t>多元化方法是有效管理风险的关键。包括使用模型卡记录可能存在偏见和限制，借助数据手册了解训练数据，在基于风险卡进行全面评估以识别一般风险，并参与场景规划探索未来可能出现的挑战。此外，对抗测试、压力测试、边缘案例分析及像丢弃、L1/L2正则化或对抗训练等正则化技术有助于发现漏洞、盲点并提高模型鲁棒性，从而实现主动风险管理。</w:t>
      </w:r>
    </w:p>
    <w:p w14:paraId="57F871E0">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一致性风险管理：</w:t>
      </w:r>
      <w:r>
        <w:rPr>
          <w:rFonts w:hint="default" w:ascii="Calibri" w:hAnsi="Calibri" w:eastAsia="宋体" w:cs="Calibri"/>
          <w:sz w:val="24"/>
          <w:szCs w:val="24"/>
          <w:lang w:eastAsia="zh-CN"/>
        </w:rPr>
        <w:t>确保风险评估结果可复制并允许比较和跟踪AI模型性能和安全性随时间的变化。一致的风险评估有助于准确监控风险演变以及缓解策略的有效性，推动人工智能系统的不断改进。</w:t>
      </w:r>
    </w:p>
    <w:p w14:paraId="71357451">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明智决策：</w:t>
      </w:r>
      <w:r>
        <w:rPr>
          <w:rFonts w:hint="default" w:ascii="Calibri" w:hAnsi="Calibri" w:eastAsia="宋体" w:cs="Calibri"/>
          <w:sz w:val="24"/>
          <w:szCs w:val="24"/>
          <w:lang w:eastAsia="zh-CN"/>
        </w:rPr>
        <w:t>对模型风险的全面理解使利益相关者能够就模型部署和使用做出明智决定。</w:t>
      </w:r>
    </w:p>
    <w:p w14:paraId="2ABC2E61">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建立信任、可信度和道德使用：</w:t>
      </w:r>
      <w:r>
        <w:rPr>
          <w:rFonts w:hint="default" w:ascii="Calibri" w:hAnsi="Calibri" w:eastAsia="宋体" w:cs="Calibri"/>
          <w:sz w:val="24"/>
          <w:szCs w:val="24"/>
          <w:lang w:eastAsia="zh-CN"/>
        </w:rPr>
        <w:t>透明度和负责任的风险管理实践可以建立信任并促进ML模</w:t>
      </w:r>
      <w:r>
        <w:rPr>
          <w:rFonts w:hint="default" w:ascii="Calibri" w:hAnsi="Calibri" w:eastAsia="宋体" w:cs="Calibri"/>
          <w:b w:val="0"/>
          <w:bCs w:val="0"/>
          <w:sz w:val="24"/>
          <w:szCs w:val="24"/>
          <w:lang w:eastAsia="zh-CN"/>
        </w:rPr>
        <w:t>型道德使</w:t>
      </w:r>
      <w:r>
        <w:rPr>
          <w:rFonts w:hint="default" w:ascii="Calibri" w:hAnsi="Calibri" w:eastAsia="宋体" w:cs="Calibri"/>
          <w:sz w:val="24"/>
          <w:szCs w:val="24"/>
          <w:lang w:eastAsia="zh-CN"/>
        </w:rPr>
        <w:t>用。采取隐私保护技术，获取伦理AI实践认证，构建治理框架与AI伦理委员会，并进行第三方审计可以增强公众对ML模型合乎伦理地被使用的信心。</w:t>
      </w:r>
    </w:p>
    <w:p w14:paraId="104C08E5">
      <w:pPr>
        <w:keepNext w:val="0"/>
        <w:keepLines w:val="0"/>
        <w:pageBreakBefore w:val="0"/>
        <w:widowControl w:val="0"/>
        <w:numPr>
          <w:ilvl w:val="0"/>
          <w:numId w:val="2"/>
        </w:numPr>
        <w:kinsoku/>
        <w:wordWrap/>
        <w:overflowPunct/>
        <w:topLinePunct w:val="0"/>
        <w:autoSpaceDE w:val="0"/>
        <w:autoSpaceDN w:val="0"/>
        <w:bidi w:val="0"/>
        <w:adjustRightInd/>
        <w:snapToGrid/>
        <w:spacing w:after="200" w:line="360" w:lineRule="auto"/>
        <w:textAlignment w:val="auto"/>
        <w:rPr>
          <w:lang w:eastAsia="zh-CN"/>
        </w:rPr>
      </w:pPr>
      <w:r>
        <w:rPr>
          <w:rFonts w:hint="default" w:ascii="Calibri" w:hAnsi="Calibri" w:eastAsia="宋体" w:cs="Calibri"/>
          <w:b/>
          <w:bCs/>
          <w:sz w:val="24"/>
          <w:szCs w:val="24"/>
          <w:lang w:eastAsia="zh-CN"/>
        </w:rPr>
        <w:t>持续监测与改善：</w:t>
      </w:r>
      <w:r>
        <w:rPr>
          <w:rFonts w:hint="default" w:ascii="Calibri" w:hAnsi="Calibri" w:eastAsia="宋体" w:cs="Calibri"/>
          <w:sz w:val="24"/>
          <w:szCs w:val="24"/>
          <w:lang w:eastAsia="zh-CN"/>
        </w:rPr>
        <w:t>持续监测及根据新信息调整是保证模型长期有效性与安全性必要条件。包括采用机器学习、安全与运营（MLSecOps）等方法。设置监控管道来追踪模型性能、数据漂移、反馈循环以及意外后果也十分重要。此外，执行在线或持续学习技术也很关键。建立吸纳用户反馈、事故报告以及经验教训的流程可以确保AI系统的长期有效性、安全性和持续改进。</w:t>
      </w:r>
    </w:p>
    <w:bookmarkEnd w:id="22"/>
    <w:p w14:paraId="4FFE01DF">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24" w:name="_Toc195018708"/>
      <w:bookmarkStart w:id="25" w:name="全面框架的好处"/>
      <w:r>
        <w:rPr>
          <w:rFonts w:hint="eastAsia" w:ascii="黑体" w:hAnsi="黑体" w:cs="黑体"/>
          <w:b/>
          <w:color w:val="auto"/>
          <w:kern w:val="44"/>
          <w:szCs w:val="36"/>
          <w:lang w:eastAsia="zh-CN"/>
        </w:rPr>
        <w:t>二、全面框架的好处</w:t>
      </w:r>
      <w:bookmarkEnd w:id="24"/>
    </w:p>
    <w:p w14:paraId="5E9AA931">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针对ML模型的全面风险管理框架（RMF）提供了以下定义的多种好处。</w:t>
      </w:r>
    </w:p>
    <w:p w14:paraId="6E59AD31">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eastAsia" w:ascii="黑体" w:hAnsi="黑体" w:eastAsia="黑体" w:cs="黑体"/>
          <w:b/>
          <w:bCs/>
          <w:sz w:val="32"/>
          <w:szCs w:val="32"/>
          <w:lang w:eastAsia="zh-CN"/>
        </w:rPr>
      </w:pPr>
      <w:bookmarkStart w:id="26" w:name="_Toc195018709"/>
      <w:bookmarkStart w:id="27" w:name="增强透明度可解释性和责任性"/>
      <w:r>
        <w:rPr>
          <w:rFonts w:hint="eastAsia" w:ascii="黑体" w:hAnsi="黑体" w:eastAsia="黑体" w:cs="黑体"/>
          <w:b/>
          <w:bCs/>
          <w:sz w:val="32"/>
          <w:szCs w:val="32"/>
          <w:lang w:eastAsia="zh-CN"/>
        </w:rPr>
        <w:t>增强透明度，可解释性和问责制</w:t>
      </w:r>
      <w:bookmarkEnd w:id="26"/>
    </w:p>
    <w:p w14:paraId="01561C54">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卡、数据手册和风险卡对于MRM中的透明度、可解释性和可问责性至关重要。数据手册记录了数据的来源、获取组成以及预处理方法，为理解模型的输入、限制和角色提供了关键上下文。这种文档可以帮助您在一定程度上理解模型的内部工作原理，从而允许对其优点、缺点和潜在偏见进行一些评估。与开源模型相比，专有模型通常能够提供的内容要受到更多限制。</w:t>
      </w:r>
    </w:p>
    <w:bookmarkEnd w:id="27"/>
    <w:p w14:paraId="5F8968CD">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28" w:name="_Toc195018710"/>
      <w:bookmarkStart w:id="29" w:name="主动风险评估和情景分析"/>
      <w:r>
        <w:rPr>
          <w:rFonts w:hint="default" w:ascii="黑体" w:hAnsi="黑体" w:eastAsia="黑体" w:cs="黑体"/>
          <w:b/>
          <w:bCs/>
          <w:sz w:val="32"/>
          <w:szCs w:val="32"/>
          <w:lang w:eastAsia="zh-CN"/>
        </w:rPr>
        <w:t>主动风险评估和场景分析</w:t>
      </w:r>
      <w:bookmarkEnd w:id="28"/>
    </w:p>
    <w:p w14:paraId="358679B5">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数据手册通过详细描述可能影响在不同情况下模型性能的数据特定特征，来补充场景规划。这些信息对于进行彻底的风险评估至关重要，并确保场景分析考虑到数据质量与公司相关的其他因素。</w:t>
      </w:r>
    </w:p>
    <w:bookmarkEnd w:id="29"/>
    <w:p w14:paraId="02F7F604">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30" w:name="_Toc195018711"/>
      <w:bookmarkStart w:id="31" w:name="风险缓解策略的发展"/>
      <w:r>
        <w:rPr>
          <w:rFonts w:hint="default" w:ascii="黑体" w:hAnsi="黑体" w:eastAsia="黑体" w:cs="黑体"/>
          <w:b/>
          <w:bCs/>
          <w:sz w:val="32"/>
          <w:szCs w:val="32"/>
          <w:lang w:eastAsia="zh-CN"/>
        </w:rPr>
        <w:t>制定风险缓解策略</w:t>
      </w:r>
      <w:bookmarkEnd w:id="30"/>
    </w:p>
    <w:p w14:paraId="7DA5A215">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将数据手册中的洞察融入到风险缓解过程中，可以实现更有针对性的策略。理解数据限制和偏差有助于设计有效的缓解措施，例如数据清洗、增强或重新平衡技术，这些对于应对风险卡片识别出的潜在风险至关重要。</w:t>
      </w:r>
    </w:p>
    <w:bookmarkEnd w:id="31"/>
    <w:p w14:paraId="56480D65">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32" w:name="_Toc195018712"/>
      <w:bookmarkStart w:id="33" w:name="知情决策与模型治理"/>
      <w:r>
        <w:rPr>
          <w:rFonts w:hint="default" w:ascii="黑体" w:hAnsi="黑体" w:eastAsia="黑体" w:cs="黑体"/>
          <w:b/>
          <w:bCs/>
          <w:sz w:val="32"/>
          <w:szCs w:val="32"/>
          <w:lang w:eastAsia="zh-CN"/>
        </w:rPr>
        <w:t>明智决策与模型治理</w:t>
      </w:r>
      <w:bookmarkEnd w:id="32"/>
    </w:p>
    <w:p w14:paraId="2536BFB9">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详细的训练数据和模型特征表格对于指导治理实践至关重要。这种深入了解确保我们能就模型部署做出明智、完整记录且透明度高的决策。虽然可以更换训练数据，但其质量直接影响模型行为。 数据手册有助于识别可能存在于数据及其输出结果中的潜在限制和偏见。这些全面信息使我们能够就模型部署作出明智决定。数据手册通过强调与数据相关的约束和机会来提供影响决策过程的重要信息。在MRM中, 对此类详尽地了解使得治理实践变得更加清晰, 确保围绕着模型部署的决策是明智、完备且合理。</w:t>
      </w:r>
    </w:p>
    <w:bookmarkEnd w:id="33"/>
    <w:p w14:paraId="4065E27D">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34" w:name="_Toc195018713"/>
      <w:bookmarkStart w:id="35" w:name="健壮模型验证"/>
      <w:r>
        <w:rPr>
          <w:rFonts w:hint="default" w:ascii="黑体" w:hAnsi="黑体" w:eastAsia="黑体" w:cs="黑体"/>
          <w:b/>
          <w:bCs/>
          <w:sz w:val="32"/>
          <w:szCs w:val="32"/>
          <w:lang w:eastAsia="zh-CN"/>
        </w:rPr>
        <w:t>健壮模型验证</w:t>
      </w:r>
      <w:bookmarkEnd w:id="34"/>
    </w:p>
    <w:p w14:paraId="1FAEBDCA">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健壮模型验证是MRM框架的核心部分，确保模型按预期执行并适应实际条件。这涉及使用反映现实世界情况的多样化数据集进行严格测试。来自数据手册的信息，如数据分布和潜在偏见，可以用于选择这些数据集以进行更全面的验证过程。像多样性测试、压力测试和泛化度量等技术对此验证过程至关重要。通过整合这些验证，该框架确保了模型维持效能，并避免在实际应用中出现意外的性能问题或有偏见的结果。</w:t>
      </w:r>
    </w:p>
    <w:bookmarkEnd w:id="35"/>
    <w:p w14:paraId="0DB3A2D6">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36" w:name="_Toc195018714"/>
      <w:bookmarkStart w:id="37" w:name="建立信任并增强模型采纳"/>
      <w:r>
        <w:rPr>
          <w:rFonts w:hint="default" w:ascii="黑体" w:hAnsi="黑体" w:eastAsia="黑体" w:cs="黑体"/>
          <w:b/>
          <w:bCs/>
          <w:sz w:val="32"/>
          <w:szCs w:val="32"/>
          <w:lang w:eastAsia="zh-CN"/>
        </w:rPr>
        <w:t>建立信任并增强模型采纳</w:t>
      </w:r>
      <w:bookmarkEnd w:id="36"/>
    </w:p>
    <w:p w14:paraId="3F7AA4EA">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通过确保数据清晰度为建立信任奠定基础。然而，建立信任需要多层次的方法。模型卡提供了对模型内部工作方式的深入洞察，并且风险卡主动解决可能存在的偏见或限制。这促进了透明度和负责任的AI开发，最终促使用户和监管者对采纳该模型产生更大信任感。这些文件提供关于模型功能和性能期望方面透明而诚实地沟通方式. 这种清晰度对于赢得用户和监管者的信任至关重要，特别是在数据来源和完整性至关重要的行业中。</w:t>
      </w:r>
    </w:p>
    <w:bookmarkEnd w:id="37"/>
    <w:p w14:paraId="5F156F2F">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38" w:name="_Toc195018715"/>
      <w:bookmarkStart w:id="39" w:name="持续监控和改进"/>
      <w:r>
        <w:rPr>
          <w:rFonts w:hint="default" w:ascii="黑体" w:hAnsi="黑体" w:eastAsia="黑体" w:cs="黑体"/>
          <w:b/>
          <w:bCs/>
          <w:sz w:val="32"/>
          <w:szCs w:val="32"/>
          <w:lang w:eastAsia="zh-CN"/>
        </w:rPr>
        <w:t>持续监控和改进</w:t>
      </w:r>
      <w:bookmarkEnd w:id="38"/>
    </w:p>
    <w:p w14:paraId="54575788">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持续监控是MRM框架的核心部分，保证模型按照预期运行并适应时间变化。这包括定期更新模型卡、风险卡和数据手册，以反映模型性能或操作环境的改变。例如，我们可能会追踪准确度、精确度和F1得分等指标来评估性能，并使用平均绝对误差（MAE）和均方误差（MSE）来衡量模型漂移。通过持续监控，可以确定何时需要调整或部署策略以应对模型偏离预期性能或外部环境变化。这种警惕性有助于在动态操作环境中保障ML模型的合规、有效及安全。</w:t>
      </w:r>
    </w:p>
    <w:bookmarkEnd w:id="39"/>
    <w:p w14:paraId="35C5E71B">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40" w:name="_Toc195018716"/>
      <w:bookmarkStart w:id="41" w:name="积极社会与道德影响"/>
      <w:r>
        <w:rPr>
          <w:rFonts w:hint="default" w:ascii="黑体" w:hAnsi="黑体" w:eastAsia="黑体" w:cs="黑体"/>
          <w:b/>
          <w:bCs/>
          <w:sz w:val="32"/>
          <w:szCs w:val="32"/>
          <w:lang w:eastAsia="zh-CN"/>
        </w:rPr>
        <w:t>积极社会与伦理影响</w:t>
      </w:r>
      <w:bookmarkEnd w:id="40"/>
    </w:p>
    <w:p w14:paraId="043FC377">
      <w:pPr>
        <w:pStyle w:val="5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是解决机器学习模型中社会和伦理偏见问题的基础。记录训练数据的来源、构成及预处理方式，有助于识别潜在偏见，这对于开发公正且公平的机器学习模型至关重要。通过保证数据处理行为符合伦理规范，组织能更好地控制他们技术产生的广泛影响。</w:t>
      </w:r>
    </w:p>
    <w:bookmarkEnd w:id="41"/>
    <w:p w14:paraId="1D3A58BE">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default" w:ascii="黑体" w:hAnsi="黑体" w:eastAsia="黑体" w:cs="黑体"/>
          <w:b/>
          <w:bCs/>
          <w:sz w:val="32"/>
          <w:szCs w:val="32"/>
          <w:lang w:eastAsia="zh-CN"/>
        </w:rPr>
      </w:pPr>
      <w:bookmarkStart w:id="42" w:name="_Toc195018717"/>
      <w:bookmarkStart w:id="43" w:name="强大的治理和监督"/>
      <w:r>
        <w:rPr>
          <w:rFonts w:hint="default" w:ascii="黑体" w:hAnsi="黑体" w:eastAsia="黑体" w:cs="黑体"/>
          <w:b/>
          <w:bCs/>
          <w:sz w:val="32"/>
          <w:szCs w:val="32"/>
          <w:lang w:eastAsia="zh-CN"/>
        </w:rPr>
        <w:t>强有力的治理和监督</w:t>
      </w:r>
      <w:bookmarkEnd w:id="42"/>
    </w:p>
    <w:p w14:paraId="5A300726">
      <w:pPr>
        <w:pStyle w:val="50"/>
        <w:pageBreakBefore w:val="0"/>
        <w:widowControl w:val="0"/>
        <w:kinsoku/>
        <w:wordWrap/>
        <w:overflowPunct/>
        <w:topLinePunct w:val="0"/>
        <w:autoSpaceDE w:val="0"/>
        <w:autoSpaceDN w:val="0"/>
        <w:bidi w:val="0"/>
        <w:adjustRightInd/>
        <w:snapToGrid/>
        <w:spacing w:after="200"/>
        <w:ind w:firstLine="480"/>
        <w:textAlignment w:val="auto"/>
        <w:rPr>
          <w:rFonts w:hint="eastAsia" w:ascii="宋体" w:hAnsi="宋体" w:eastAsia="宋体" w:cs="宋体"/>
          <w:highlight w:val="yellow"/>
          <w:lang w:eastAsia="zh-CN"/>
        </w:rPr>
      </w:pPr>
      <w:r>
        <w:rPr>
          <w:rFonts w:hint="default" w:ascii="Calibri" w:hAnsi="Calibri" w:eastAsia="宋体" w:cs="Calibri"/>
          <w:sz w:val="24"/>
          <w:szCs w:val="24"/>
          <w:lang w:eastAsia="zh-CN"/>
        </w:rPr>
        <w:t>在确保与组织目标一致的控制基础上，强大的治理和监督能确保AI模型开发、使用和维护过程透明、可解释且有责任感，并由具备道德意识且能力出众的人员指导。他们建立了完善的执行机制，以遵守伦理准则和负责任的数据实践。有效的治理需要清晰定义角色职责、决策流程及处理争议时的升级程序。定期审计增加了可问责性，验证利益相关者对原则承诺是否兑现。严格变更管理程序、更新控制、再培训及部署决策都有助于监督，并积极预防潜在风险。包括用户、数据科学家、工程师和商业领袖在内的利益相关者之间必须进行清晰沟通与合作，这对成功实施治理和监督至关重要。</w:t>
      </w:r>
      <w:bookmarkEnd w:id="23"/>
      <w:bookmarkEnd w:id="25"/>
      <w:bookmarkEnd w:id="43"/>
    </w:p>
    <w:p w14:paraId="7F8F2D45">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 w:val="44"/>
          <w:szCs w:val="44"/>
          <w:lang w:eastAsia="zh-CN"/>
        </w:rPr>
      </w:pPr>
      <w:bookmarkStart w:id="44" w:name="_Toc195018718"/>
      <w:r>
        <w:rPr>
          <w:rFonts w:hint="eastAsia" w:ascii="黑体" w:hAnsi="黑体" w:cs="黑体"/>
          <w:b/>
          <w:color w:val="auto"/>
          <w:kern w:val="44"/>
          <w:sz w:val="44"/>
          <w:szCs w:val="44"/>
          <w:lang w:eastAsia="zh-CN"/>
        </w:rPr>
        <w:t>三、关键组成部分</w:t>
      </w:r>
      <w:bookmarkEnd w:id="44"/>
    </w:p>
    <w:p w14:paraId="56111067">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leftChars="0" w:firstLine="420" w:firstLineChars="0"/>
        <w:textAlignment w:val="auto"/>
        <w:rPr>
          <w:rFonts w:hint="eastAsia" w:ascii="黑体" w:hAnsi="黑体" w:eastAsia="黑体" w:cs="黑体"/>
          <w:b/>
          <w:bCs/>
          <w:sz w:val="32"/>
          <w:szCs w:val="32"/>
          <w:lang w:eastAsia="zh-CN"/>
        </w:rPr>
      </w:pPr>
      <w:bookmarkStart w:id="45" w:name="_Toc195018719"/>
      <w:r>
        <w:rPr>
          <w:rFonts w:hint="eastAsia" w:ascii="黑体" w:hAnsi="黑体" w:eastAsia="黑体" w:cs="黑体"/>
          <w:b/>
          <w:bCs/>
          <w:sz w:val="32"/>
          <w:szCs w:val="32"/>
          <w:lang w:eastAsia="zh-CN"/>
        </w:rPr>
        <w:t>1. 模型卡片：理解模型</w:t>
      </w:r>
      <w:bookmarkEnd w:id="45"/>
    </w:p>
    <w:p w14:paraId="47203FD7">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卡片提供了模型的透明概述。它们详细说明了模型的目的、训练数据、能力、限制和性能指标。这些信息有助于开发人员、部署人员、风险管理专业人员、合规官和最终用户了解模型的优势和劣势，为风险评估奠定基础。</w:t>
      </w:r>
    </w:p>
    <w:p w14:paraId="5565FD01">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模型卡片的关键要素通常包括：</w:t>
      </w:r>
    </w:p>
    <w:p w14:paraId="7A175123">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模型细节和预期目的：</w:t>
      </w:r>
      <w:r>
        <w:rPr>
          <w:rFonts w:hint="default" w:ascii="Calibri" w:hAnsi="Calibri" w:eastAsia="宋体" w:cs="Calibri"/>
          <w:b w:val="0"/>
          <w:bCs/>
          <w:color w:val="111A25"/>
          <w:sz w:val="24"/>
          <w:szCs w:val="24"/>
          <w:lang w:eastAsia="zh-CN"/>
        </w:rPr>
        <w:t>这阐明了模型的功能和目标。</w:t>
      </w:r>
    </w:p>
    <w:p w14:paraId="6B9092D0">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训练数据详情：</w:t>
      </w:r>
      <w:r>
        <w:rPr>
          <w:rFonts w:hint="default" w:ascii="Calibri" w:hAnsi="Calibri" w:eastAsia="宋体" w:cs="Calibri"/>
          <w:b w:val="0"/>
          <w:bCs/>
          <w:color w:val="111A25"/>
          <w:sz w:val="24"/>
          <w:szCs w:val="24"/>
          <w:lang w:eastAsia="zh-CN"/>
        </w:rPr>
        <w:t>描述用于训练模型的数据的组成，包括其来源、大小、获取方式（同意、捐赠等）、伦理考量和潜在偏见。可以提供数据手册（如果有的话）的链接以获取更多详细信息。</w:t>
      </w:r>
    </w:p>
    <w:p w14:paraId="245D335E">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预期用例和限制：</w:t>
      </w:r>
      <w:r>
        <w:rPr>
          <w:rFonts w:hint="default" w:ascii="Calibri" w:hAnsi="Calibri" w:eastAsia="宋体" w:cs="Calibri"/>
          <w:b w:val="0"/>
          <w:bCs/>
          <w:color w:val="111A25"/>
          <w:sz w:val="24"/>
          <w:szCs w:val="24"/>
          <w:lang w:eastAsia="zh-CN"/>
        </w:rPr>
        <w:t>这解释了模型可以用于做什么以及它可能在哪里表现不佳。</w:t>
      </w:r>
    </w:p>
    <w:p w14:paraId="26887617">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性能指标（评估指标）：</w:t>
      </w:r>
      <w:r>
        <w:rPr>
          <w:rFonts w:hint="default" w:ascii="Calibri" w:hAnsi="Calibri" w:eastAsia="宋体" w:cs="Calibri"/>
          <w:b w:val="0"/>
          <w:bCs/>
          <w:color w:val="111A25"/>
          <w:sz w:val="24"/>
          <w:szCs w:val="24"/>
          <w:lang w:eastAsia="zh-CN"/>
        </w:rPr>
        <w:t>这概述了模型在相关任务上的性能表现，使用明确的指标，如准确性和泛化能力。</w:t>
      </w:r>
    </w:p>
    <w:p w14:paraId="5C271B22">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评估方法：</w:t>
      </w:r>
      <w:r>
        <w:rPr>
          <w:rFonts w:hint="default" w:ascii="Calibri" w:hAnsi="Calibri" w:eastAsia="宋体" w:cs="Calibri"/>
          <w:b w:val="0"/>
          <w:bCs/>
          <w:color w:val="111A25"/>
          <w:sz w:val="24"/>
          <w:szCs w:val="24"/>
          <w:lang w:eastAsia="zh-CN"/>
        </w:rPr>
        <w:t>这描述了用于评估模型性能的方法。</w:t>
      </w:r>
    </w:p>
    <w:p w14:paraId="6348CBD4">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模型可解释性和偏差：</w:t>
      </w:r>
      <w:r>
        <w:rPr>
          <w:rFonts w:hint="default" w:ascii="Calibri" w:hAnsi="Calibri" w:eastAsia="宋体" w:cs="Calibri"/>
          <w:b w:val="0"/>
          <w:bCs/>
          <w:color w:val="111A25"/>
          <w:sz w:val="24"/>
          <w:szCs w:val="24"/>
          <w:lang w:eastAsia="zh-CN"/>
        </w:rPr>
        <w:t>这部分描述了理解模型决策过程和识别潜在偏见的技术。它还详细介绍了缓解偏见和确保不同群体公平结果的方法。</w:t>
      </w:r>
    </w:p>
    <w:p w14:paraId="7AC0741B">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已知限制：</w:t>
      </w:r>
      <w:r>
        <w:rPr>
          <w:rFonts w:hint="default" w:ascii="Calibri" w:hAnsi="Calibri" w:eastAsia="宋体" w:cs="Calibri"/>
          <w:b w:val="0"/>
          <w:bCs/>
          <w:color w:val="111A25"/>
          <w:sz w:val="24"/>
          <w:szCs w:val="24"/>
          <w:lang w:eastAsia="zh-CN"/>
        </w:rPr>
        <w:t>这告知了模型的潜在缺点，例如对特定提示或事实错误的敏感性。</w:t>
      </w:r>
    </w:p>
    <w:p w14:paraId="443325D2">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可持续性和环境方面（可选）：</w:t>
      </w:r>
      <w:r>
        <w:rPr>
          <w:rFonts w:hint="default" w:ascii="Calibri" w:hAnsi="Calibri" w:eastAsia="宋体" w:cs="Calibri"/>
          <w:b w:val="0"/>
          <w:bCs/>
          <w:color w:val="111A25"/>
          <w:sz w:val="24"/>
          <w:szCs w:val="24"/>
          <w:lang w:eastAsia="zh-CN"/>
        </w:rPr>
        <w:t>如果可用，这将估计训练模型对环境的影响（例如，碳排放）。</w:t>
      </w:r>
    </w:p>
    <w:p w14:paraId="4A7829E4">
      <w:pPr>
        <w:keepNext w:val="0"/>
        <w:keepLines w:val="0"/>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after="200" w:line="360" w:lineRule="auto"/>
        <w:ind w:right="236" w:firstLine="200"/>
        <w:jc w:val="both"/>
        <w:textAlignment w:val="auto"/>
        <w:rPr>
          <w:rFonts w:hint="default" w:ascii="Calibri" w:hAnsi="Calibri" w:eastAsia="宋体" w:cs="Calibri"/>
          <w:b w:val="0"/>
          <w:bCs/>
          <w:color w:val="111A25"/>
          <w:sz w:val="24"/>
          <w:szCs w:val="24"/>
          <w:lang w:eastAsia="zh-CN"/>
        </w:rPr>
      </w:pPr>
      <w:r>
        <w:rPr>
          <w:rFonts w:hint="default" w:ascii="Calibri" w:hAnsi="Calibri" w:eastAsia="宋体" w:cs="Calibri"/>
          <w:b/>
          <w:bCs/>
          <w:kern w:val="2"/>
          <w:sz w:val="24"/>
          <w:szCs w:val="24"/>
          <w:lang w:val="en-US" w:eastAsia="zh-CN"/>
        </w:rPr>
        <w:t>对抗性抵抗（对抗性攻击下的性能指标—可选）：</w:t>
      </w:r>
      <w:r>
        <w:rPr>
          <w:rFonts w:hint="default" w:ascii="Calibri" w:hAnsi="Calibri" w:eastAsia="宋体" w:cs="Calibri"/>
          <w:b w:val="0"/>
          <w:bCs/>
          <w:color w:val="111A25"/>
          <w:sz w:val="24"/>
          <w:szCs w:val="24"/>
          <w:lang w:eastAsia="zh-CN"/>
        </w:rPr>
        <w:t>尽管模型卡片中通常不会记录对抗性训练的具体细节，但根据我们的经验，我们建议在模型和风险卡片的评估部分包含对抗性抵抗指标。数据科学家可以通过报告模拟对抗性攻击下的准确性指标来展示模型的韧性，从而更全面地了解模型的性能和潜在漏洞。</w:t>
      </w:r>
    </w:p>
    <w:p w14:paraId="2E2F5BFC">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模型卡片优势</w:t>
      </w:r>
    </w:p>
    <w:p w14:paraId="1BA360BD">
      <w:pPr>
        <w:pStyle w:val="50"/>
        <w:pageBreakBefore w:val="0"/>
        <w:widowControl w:val="0"/>
        <w:kinsoku/>
        <w:wordWrap/>
        <w:overflowPunct/>
        <w:topLinePunct w:val="0"/>
        <w:autoSpaceDE w:val="0"/>
        <w:autoSpaceDN w:val="0"/>
        <w:bidi w:val="0"/>
        <w:adjustRightInd/>
        <w:snapToGrid/>
        <w:spacing w:beforeAutospacing="0" w:after="200" w:afterAutospacing="0"/>
        <w:ind w:left="0" w:leftChars="0" w:firstLine="420" w:firstLineChars="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模型卡片提供了大量优势，有助于负责任的人工智能开发和部署，并可作为风险管理的基础，包括：</w:t>
      </w:r>
    </w:p>
    <w:p w14:paraId="65C2EC34">
      <w:pPr>
        <w:pageBreakBefore w:val="0"/>
        <w:widowControl w:val="0"/>
        <w:numPr>
          <w:ilvl w:val="0"/>
          <w:numId w:val="3"/>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36" w:firstLine="200"/>
        <w:jc w:val="both"/>
        <w:textAlignment w:val="auto"/>
        <w:rPr>
          <w:rFonts w:hint="default" w:ascii="Calibri" w:hAnsi="Calibri" w:eastAsia="宋体" w:cs="Calibri"/>
          <w:sz w:val="24"/>
          <w:szCs w:val="24"/>
          <w:lang w:eastAsia="zh-CN"/>
        </w:rPr>
      </w:pPr>
      <w:r>
        <w:rPr>
          <w:rFonts w:hint="default" w:ascii="Calibri" w:hAnsi="Calibri" w:eastAsia="宋体" w:cs="Calibri"/>
          <w:b/>
          <w:color w:val="111A25"/>
          <w:sz w:val="24"/>
          <w:szCs w:val="24"/>
          <w:lang w:eastAsia="zh-CN"/>
        </w:rPr>
        <w:t>洞察力和透明度：</w:t>
      </w:r>
      <w:r>
        <w:rPr>
          <w:rFonts w:hint="default" w:ascii="Calibri" w:hAnsi="Calibri" w:eastAsia="宋体" w:cs="Calibri"/>
          <w:color w:val="111A25"/>
          <w:sz w:val="24"/>
          <w:szCs w:val="24"/>
          <w:lang w:eastAsia="zh-CN"/>
        </w:rPr>
        <w:t>模型卡片</w:t>
      </w:r>
      <w:r>
        <w:rPr>
          <w:rFonts w:hint="default" w:ascii="Calibri" w:hAnsi="Calibri" w:eastAsia="宋体" w:cs="Calibri"/>
          <w:sz w:val="24"/>
          <w:szCs w:val="24"/>
          <w:lang w:eastAsia="zh-CN"/>
        </w:rPr>
        <w:t>为利益</w:t>
      </w:r>
      <w:r>
        <w:rPr>
          <w:rFonts w:hint="default" w:ascii="Calibri" w:hAnsi="Calibri" w:eastAsia="宋体" w:cs="Calibri"/>
          <w:color w:val="111A25"/>
          <w:sz w:val="24"/>
          <w:szCs w:val="24"/>
          <w:lang w:eastAsia="zh-CN"/>
        </w:rPr>
        <w:t>相关者</w:t>
      </w:r>
      <w:r>
        <w:rPr>
          <w:rFonts w:hint="default" w:ascii="Calibri" w:hAnsi="Calibri" w:eastAsia="宋体" w:cs="Calibri"/>
          <w:sz w:val="24"/>
          <w:szCs w:val="24"/>
          <w:lang w:eastAsia="zh-CN"/>
        </w:rPr>
        <w:t>提供</w:t>
      </w:r>
      <w:r>
        <w:rPr>
          <w:rFonts w:hint="default" w:ascii="Calibri" w:hAnsi="Calibri" w:eastAsia="宋体" w:cs="Calibri"/>
          <w:color w:val="111A25"/>
          <w:sz w:val="24"/>
          <w:szCs w:val="24"/>
          <w:lang w:eastAsia="zh-CN"/>
        </w:rPr>
        <w:t>指导，帮助他们了解模型</w:t>
      </w:r>
      <w:r>
        <w:rPr>
          <w:rFonts w:hint="default" w:ascii="Calibri" w:hAnsi="Calibri" w:eastAsia="宋体" w:cs="Calibri"/>
          <w:sz w:val="24"/>
          <w:szCs w:val="24"/>
          <w:lang w:eastAsia="zh-CN"/>
        </w:rPr>
        <w:t>的</w:t>
      </w:r>
      <w:r>
        <w:rPr>
          <w:rFonts w:hint="default" w:ascii="Calibri" w:hAnsi="Calibri" w:eastAsia="宋体" w:cs="Calibri"/>
          <w:color w:val="111A25"/>
          <w:sz w:val="24"/>
          <w:szCs w:val="24"/>
          <w:lang w:eastAsia="zh-CN"/>
        </w:rPr>
        <w:t>设计、开发和部署的过程。它们阐明</w:t>
      </w:r>
      <w:r>
        <w:rPr>
          <w:rFonts w:hint="default" w:ascii="Calibri" w:hAnsi="Calibri" w:eastAsia="宋体" w:cs="Calibri"/>
          <w:sz w:val="24"/>
          <w:szCs w:val="24"/>
          <w:lang w:eastAsia="zh-CN"/>
        </w:rPr>
        <w:t>了</w:t>
      </w:r>
      <w:r>
        <w:rPr>
          <w:rFonts w:hint="default" w:ascii="Calibri" w:hAnsi="Calibri" w:eastAsia="宋体" w:cs="Calibri"/>
          <w:color w:val="111A25"/>
          <w:sz w:val="24"/>
          <w:szCs w:val="24"/>
          <w:lang w:eastAsia="zh-CN"/>
        </w:rPr>
        <w:t>训练数据和模型性能指标，</w:t>
      </w:r>
      <w:r>
        <w:rPr>
          <w:rFonts w:hint="default" w:ascii="Calibri" w:hAnsi="Calibri" w:eastAsia="宋体" w:cs="Calibri"/>
          <w:sz w:val="24"/>
          <w:szCs w:val="24"/>
          <w:lang w:eastAsia="zh-CN"/>
        </w:rPr>
        <w:t>使</w:t>
      </w:r>
      <w:r>
        <w:rPr>
          <w:rFonts w:hint="default" w:ascii="Calibri" w:hAnsi="Calibri" w:eastAsia="宋体" w:cs="Calibri"/>
          <w:color w:val="111A25"/>
          <w:sz w:val="24"/>
          <w:szCs w:val="24"/>
          <w:lang w:eastAsia="zh-CN"/>
        </w:rPr>
        <w:t>用户能够掌握其能力和局限性。</w:t>
      </w:r>
    </w:p>
    <w:p w14:paraId="1CBA7146">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color w:val="111A25"/>
          <w:sz w:val="24"/>
          <w:szCs w:val="24"/>
          <w:lang w:eastAsia="zh-CN"/>
        </w:rPr>
      </w:pPr>
      <w:r>
        <w:rPr>
          <w:rFonts w:hint="default" w:ascii="Calibri" w:hAnsi="Calibri" w:eastAsia="宋体" w:cs="Calibri"/>
          <w:b/>
          <w:color w:val="111A25"/>
          <w:sz w:val="24"/>
          <w:szCs w:val="24"/>
          <w:lang w:eastAsia="zh-CN"/>
        </w:rPr>
        <w:t>识别潜在风险：</w:t>
      </w:r>
      <w:r>
        <w:rPr>
          <w:rFonts w:hint="default" w:ascii="Calibri" w:hAnsi="Calibri" w:eastAsia="宋体" w:cs="Calibri"/>
          <w:color w:val="111A25"/>
          <w:sz w:val="24"/>
          <w:szCs w:val="24"/>
          <w:lang w:eastAsia="zh-CN"/>
        </w:rPr>
        <w:t>通过概述训练数据的组成，模型卡片可以揭示潜在问题</w:t>
      </w:r>
      <w:r>
        <w:rPr>
          <w:rFonts w:hint="default" w:ascii="Calibri" w:hAnsi="Calibri" w:eastAsia="宋体" w:cs="Calibri"/>
          <w:sz w:val="24"/>
          <w:szCs w:val="24"/>
          <w:lang w:eastAsia="zh-CN"/>
        </w:rPr>
        <w:t>，</w:t>
      </w:r>
      <w:r>
        <w:rPr>
          <w:rFonts w:hint="default" w:ascii="Calibri" w:hAnsi="Calibri" w:eastAsia="宋体" w:cs="Calibri"/>
          <w:color w:val="111A25"/>
          <w:sz w:val="24"/>
          <w:szCs w:val="24"/>
          <w:lang w:eastAsia="zh-CN"/>
        </w:rPr>
        <w:t>例如当输出可能受到不公平或歧视性影响时</w:t>
      </w:r>
      <w:r>
        <w:rPr>
          <w:rFonts w:hint="default" w:ascii="Calibri" w:hAnsi="Calibri" w:eastAsia="宋体" w:cs="Calibri"/>
          <w:sz w:val="24"/>
          <w:szCs w:val="24"/>
          <w:lang w:eastAsia="zh-CN"/>
        </w:rPr>
        <w:t>的</w:t>
      </w:r>
      <w:r>
        <w:rPr>
          <w:rFonts w:hint="default" w:ascii="Calibri" w:hAnsi="Calibri" w:eastAsia="宋体" w:cs="Calibri"/>
          <w:color w:val="111A25"/>
          <w:sz w:val="24"/>
          <w:szCs w:val="24"/>
          <w:lang w:eastAsia="zh-CN"/>
        </w:rPr>
        <w:t>偏见、侵犯</w:t>
      </w:r>
      <w:r>
        <w:rPr>
          <w:rFonts w:hint="default" w:ascii="Calibri" w:hAnsi="Calibri" w:eastAsia="宋体" w:cs="Calibri"/>
          <w:sz w:val="24"/>
          <w:szCs w:val="24"/>
          <w:lang w:eastAsia="zh-CN"/>
        </w:rPr>
        <w:t>版</w:t>
      </w:r>
      <w:r>
        <w:rPr>
          <w:rFonts w:hint="default" w:ascii="Calibri" w:hAnsi="Calibri" w:eastAsia="宋体" w:cs="Calibri"/>
          <w:color w:val="111A25"/>
          <w:sz w:val="24"/>
          <w:szCs w:val="24"/>
          <w:lang w:eastAsia="zh-CN"/>
        </w:rPr>
        <w:t>权</w:t>
      </w:r>
      <w:r>
        <w:rPr>
          <w:rFonts w:hint="default" w:ascii="Calibri" w:hAnsi="Calibri" w:eastAsia="宋体" w:cs="Calibri"/>
          <w:sz w:val="24"/>
          <w:szCs w:val="24"/>
          <w:lang w:eastAsia="zh-CN"/>
        </w:rPr>
        <w:t>、</w:t>
      </w:r>
      <w:r>
        <w:rPr>
          <w:rFonts w:hint="default" w:ascii="Calibri" w:hAnsi="Calibri" w:eastAsia="宋体" w:cs="Calibri"/>
          <w:color w:val="111A25"/>
          <w:sz w:val="24"/>
          <w:szCs w:val="24"/>
          <w:lang w:eastAsia="zh-CN"/>
        </w:rPr>
        <w:t>当模型在</w:t>
      </w:r>
      <w:r>
        <w:rPr>
          <w:rFonts w:hint="default" w:ascii="Calibri" w:hAnsi="Calibri" w:eastAsia="宋体" w:cs="Calibri"/>
          <w:sz w:val="24"/>
          <w:szCs w:val="24"/>
          <w:lang w:eastAsia="zh-CN"/>
        </w:rPr>
        <w:t>与</w:t>
      </w:r>
      <w:r>
        <w:rPr>
          <w:rFonts w:hint="default" w:ascii="Calibri" w:hAnsi="Calibri" w:eastAsia="宋体" w:cs="Calibri"/>
          <w:color w:val="111A25"/>
          <w:sz w:val="24"/>
          <w:szCs w:val="24"/>
          <w:lang w:eastAsia="zh-CN"/>
        </w:rPr>
        <w:t>其</w:t>
      </w:r>
      <w:r>
        <w:rPr>
          <w:rFonts w:hint="default" w:ascii="Calibri" w:hAnsi="Calibri" w:eastAsia="宋体" w:cs="Calibri"/>
          <w:sz w:val="24"/>
          <w:szCs w:val="24"/>
          <w:lang w:eastAsia="zh-CN"/>
        </w:rPr>
        <w:t>训练数据</w:t>
      </w:r>
      <w:r>
        <w:rPr>
          <w:rFonts w:hint="default" w:ascii="Calibri" w:hAnsi="Calibri" w:eastAsia="宋体" w:cs="Calibri"/>
          <w:color w:val="111A25"/>
          <w:sz w:val="24"/>
          <w:szCs w:val="24"/>
          <w:lang w:eastAsia="zh-CN"/>
        </w:rPr>
        <w:t>不同</w:t>
      </w:r>
      <w:r>
        <w:rPr>
          <w:rFonts w:hint="default" w:ascii="Calibri" w:hAnsi="Calibri" w:eastAsia="宋体" w:cs="Calibri"/>
          <w:sz w:val="24"/>
          <w:szCs w:val="24"/>
          <w:lang w:eastAsia="zh-CN"/>
        </w:rPr>
        <w:t>的</w:t>
      </w:r>
      <w:r>
        <w:rPr>
          <w:rFonts w:hint="default" w:ascii="Calibri" w:hAnsi="Calibri" w:eastAsia="宋体" w:cs="Calibri"/>
          <w:color w:val="111A25"/>
          <w:sz w:val="24"/>
          <w:szCs w:val="24"/>
          <w:lang w:eastAsia="zh-CN"/>
        </w:rPr>
        <w:t>环境</w:t>
      </w:r>
      <w:r>
        <w:rPr>
          <w:rFonts w:hint="default" w:ascii="Calibri" w:hAnsi="Calibri" w:eastAsia="宋体" w:cs="Calibri"/>
          <w:sz w:val="24"/>
          <w:szCs w:val="24"/>
          <w:lang w:eastAsia="zh-CN"/>
        </w:rPr>
        <w:t>中</w:t>
      </w:r>
      <w:r>
        <w:rPr>
          <w:rFonts w:hint="default" w:ascii="Calibri" w:hAnsi="Calibri" w:eastAsia="宋体" w:cs="Calibri"/>
          <w:color w:val="111A25"/>
          <w:sz w:val="24"/>
          <w:szCs w:val="24"/>
          <w:lang w:eastAsia="zh-CN"/>
        </w:rPr>
        <w:t>表现不佳</w:t>
      </w:r>
      <w:r>
        <w:rPr>
          <w:rFonts w:hint="default" w:ascii="Calibri" w:hAnsi="Calibri" w:eastAsia="宋体" w:cs="Calibri"/>
          <w:sz w:val="24"/>
          <w:szCs w:val="24"/>
          <w:lang w:eastAsia="zh-CN"/>
        </w:rPr>
        <w:t>时的</w:t>
      </w:r>
      <w:r>
        <w:rPr>
          <w:rFonts w:hint="default" w:ascii="Calibri" w:hAnsi="Calibri" w:eastAsia="宋体" w:cs="Calibri"/>
          <w:color w:val="111A25"/>
          <w:sz w:val="24"/>
          <w:szCs w:val="24"/>
          <w:lang w:eastAsia="zh-CN"/>
        </w:rPr>
        <w:t>有限泛化性、源于训练数据不准确</w:t>
      </w:r>
      <w:r>
        <w:rPr>
          <w:rFonts w:hint="default" w:ascii="Calibri" w:hAnsi="Calibri" w:eastAsia="宋体" w:cs="Calibri"/>
          <w:sz w:val="24"/>
          <w:szCs w:val="24"/>
          <w:lang w:eastAsia="zh-CN"/>
        </w:rPr>
        <w:t>的</w:t>
      </w:r>
      <w:r>
        <w:rPr>
          <w:rFonts w:hint="default" w:ascii="Calibri" w:hAnsi="Calibri" w:eastAsia="宋体" w:cs="Calibri"/>
          <w:color w:val="111A25"/>
          <w:sz w:val="24"/>
          <w:szCs w:val="24"/>
          <w:lang w:eastAsia="zh-CN"/>
        </w:rPr>
        <w:t>事实错误等。</w:t>
      </w:r>
    </w:p>
    <w:p w14:paraId="74C572B5">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color w:val="111A25"/>
          <w:sz w:val="24"/>
          <w:szCs w:val="24"/>
          <w:lang w:eastAsia="zh-CN"/>
        </w:rPr>
      </w:pPr>
      <w:r>
        <w:rPr>
          <w:rFonts w:hint="default" w:ascii="Calibri" w:hAnsi="Calibri" w:eastAsia="宋体" w:cs="Calibri"/>
          <w:b/>
          <w:bCs/>
          <w:sz w:val="24"/>
          <w:szCs w:val="24"/>
          <w:lang w:eastAsia="zh-CN"/>
        </w:rPr>
        <w:t>可</w:t>
      </w:r>
      <w:r>
        <w:rPr>
          <w:rFonts w:hint="default" w:ascii="Calibri" w:hAnsi="Calibri" w:eastAsia="宋体" w:cs="Calibri"/>
          <w:b/>
          <w:color w:val="111A25"/>
          <w:sz w:val="24"/>
          <w:szCs w:val="24"/>
          <w:lang w:eastAsia="zh-CN"/>
        </w:rPr>
        <w:t>复制性/可问责性：</w:t>
      </w:r>
      <w:r>
        <w:rPr>
          <w:rFonts w:hint="default" w:ascii="Calibri" w:hAnsi="Calibri" w:eastAsia="宋体" w:cs="Calibri"/>
          <w:color w:val="111A25"/>
          <w:sz w:val="24"/>
          <w:szCs w:val="24"/>
          <w:lang w:eastAsia="zh-CN"/>
        </w:rPr>
        <w:t>模型卡片记录</w:t>
      </w:r>
      <w:r>
        <w:rPr>
          <w:rFonts w:hint="default" w:ascii="Calibri" w:hAnsi="Calibri" w:eastAsia="宋体" w:cs="Calibri"/>
          <w:sz w:val="24"/>
          <w:szCs w:val="24"/>
          <w:lang w:eastAsia="zh-CN"/>
        </w:rPr>
        <w:t>了</w:t>
      </w:r>
      <w:r>
        <w:rPr>
          <w:rFonts w:hint="default" w:ascii="Calibri" w:hAnsi="Calibri" w:eastAsia="宋体" w:cs="Calibri"/>
          <w:color w:val="111A25"/>
          <w:sz w:val="24"/>
          <w:szCs w:val="24"/>
          <w:lang w:eastAsia="zh-CN"/>
        </w:rPr>
        <w:t>开发过程，使其他人能够重新创建模型并独立评估其风险。</w:t>
      </w:r>
    </w:p>
    <w:p w14:paraId="6E645B33">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风险管理的基础</w:t>
      </w:r>
    </w:p>
    <w:p w14:paraId="27322A57">
      <w:pPr>
        <w:pStyle w:val="50"/>
        <w:pageBreakBefore w:val="0"/>
        <w:widowControl w:val="0"/>
        <w:kinsoku/>
        <w:wordWrap/>
        <w:overflowPunct/>
        <w:topLinePunct w:val="0"/>
        <w:autoSpaceDE w:val="0"/>
        <w:autoSpaceDN w:val="0"/>
        <w:bidi w:val="0"/>
        <w:adjustRightInd/>
        <w:snapToGrid/>
        <w:spacing w:beforeAutospacing="0" w:after="200" w:afterAutospacing="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模型卡片是对机器学习模型进行有效风险管理的基石，提供有关模型的关键信息，包括：</w:t>
      </w:r>
    </w:p>
    <w:p w14:paraId="4A8F1449">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训练数据特征：</w:t>
      </w:r>
      <w:r>
        <w:rPr>
          <w:rFonts w:hint="default" w:ascii="Calibri" w:hAnsi="Calibri" w:eastAsia="宋体" w:cs="Calibri"/>
          <w:b w:val="0"/>
          <w:bCs w:val="0"/>
          <w:sz w:val="24"/>
          <w:szCs w:val="24"/>
          <w:lang w:eastAsia="zh-CN"/>
        </w:rPr>
        <w:t>揭示潜在的隐私泄露、版权侵犯和偏见。</w:t>
      </w:r>
    </w:p>
    <w:p w14:paraId="1941FF42">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行为和性能限制：</w:t>
      </w:r>
      <w:r>
        <w:rPr>
          <w:rFonts w:hint="default" w:ascii="Calibri" w:hAnsi="Calibri" w:eastAsia="宋体" w:cs="Calibri"/>
          <w:b w:val="0"/>
          <w:bCs w:val="0"/>
          <w:sz w:val="24"/>
          <w:szCs w:val="24"/>
          <w:lang w:eastAsia="zh-CN"/>
        </w:rPr>
        <w:t>模型可能产生不可靠或误导性输出的预期情形。</w:t>
      </w:r>
    </w:p>
    <w:p w14:paraId="40A21745">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风险缓解的益处</w:t>
      </w:r>
    </w:p>
    <w:p w14:paraId="25637DF9">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定制化缓解策略：</w:t>
      </w:r>
      <w:r>
        <w:rPr>
          <w:rFonts w:hint="default" w:ascii="Calibri" w:hAnsi="Calibri" w:eastAsia="宋体" w:cs="Calibri"/>
          <w:b w:val="0"/>
          <w:bCs w:val="0"/>
          <w:sz w:val="24"/>
          <w:szCs w:val="24"/>
          <w:lang w:eastAsia="zh-CN"/>
        </w:rPr>
        <w:t>了解风险类型有助于寻求相关的缓解策略，然后重点关注那些在可接受的实施复杂性下具有最高风险降低潜力的策略，例如，针对生成有害内容等风险制定具体的保障措施</w:t>
      </w:r>
    </w:p>
    <w:p w14:paraId="74E46D01">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沟通和透明度：</w:t>
      </w:r>
      <w:r>
        <w:rPr>
          <w:rFonts w:hint="default" w:ascii="Calibri" w:hAnsi="Calibri" w:eastAsia="宋体" w:cs="Calibri"/>
          <w:b w:val="0"/>
          <w:bCs w:val="0"/>
          <w:sz w:val="24"/>
          <w:szCs w:val="24"/>
          <w:lang w:eastAsia="zh-CN"/>
        </w:rPr>
        <w:t>促进利益相关者的沟通和负责任的使用</w:t>
      </w:r>
    </w:p>
    <w:p w14:paraId="7A36BE5D">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指导提示设计：</w:t>
      </w:r>
      <w:r>
        <w:rPr>
          <w:rFonts w:hint="default" w:ascii="Calibri" w:hAnsi="Calibri" w:eastAsia="宋体" w:cs="Calibri"/>
          <w:b w:val="0"/>
          <w:bCs w:val="0"/>
          <w:sz w:val="24"/>
          <w:szCs w:val="24"/>
          <w:lang w:eastAsia="zh-CN"/>
        </w:rPr>
        <w:t>设计可获得安全而准确的回答的提示</w:t>
      </w:r>
    </w:p>
    <w:p w14:paraId="140A446B">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合规与信任：</w:t>
      </w:r>
      <w:r>
        <w:rPr>
          <w:rFonts w:hint="default" w:ascii="Calibri" w:hAnsi="Calibri" w:eastAsia="宋体" w:cs="Calibri"/>
          <w:b w:val="0"/>
          <w:bCs w:val="0"/>
          <w:sz w:val="24"/>
          <w:szCs w:val="24"/>
          <w:lang w:eastAsia="zh-CN"/>
        </w:rPr>
        <w:t>评估对法规的遵守情况，促进信任，并确保对模型的可信度和安全性方面作出有信息支持的决策</w:t>
      </w:r>
    </w:p>
    <w:p w14:paraId="68EF87F2">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训练数据管理：</w:t>
      </w:r>
      <w:r>
        <w:rPr>
          <w:rFonts w:hint="default" w:ascii="Calibri" w:hAnsi="Calibri" w:eastAsia="宋体" w:cs="Calibri"/>
          <w:b w:val="0"/>
          <w:bCs w:val="0"/>
          <w:sz w:val="24"/>
          <w:szCs w:val="24"/>
          <w:lang w:eastAsia="zh-CN"/>
        </w:rPr>
        <w:t>确保数据质量和公平性</w:t>
      </w:r>
    </w:p>
    <w:p w14:paraId="3FD0C350">
      <w:pPr>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beforeAutospacing="0" w:after="200" w:afterAutospacing="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设置保护机制：</w:t>
      </w:r>
      <w:r>
        <w:rPr>
          <w:rFonts w:hint="default" w:ascii="Calibri" w:hAnsi="Calibri" w:eastAsia="宋体" w:cs="Calibri"/>
          <w:b w:val="0"/>
          <w:bCs w:val="0"/>
          <w:sz w:val="24"/>
          <w:szCs w:val="24"/>
          <w:lang w:eastAsia="zh-CN"/>
        </w:rPr>
        <w:t>记录防止意外输出的技术</w:t>
      </w:r>
    </w:p>
    <w:p w14:paraId="598BD797">
      <w:pPr>
        <w:pageBreakBefore w:val="0"/>
        <w:widowControl w:val="0"/>
        <w:kinsoku/>
        <w:wordWrap/>
        <w:overflowPunct/>
        <w:topLinePunct w:val="0"/>
        <w:autoSpaceDE w:val="0"/>
        <w:autoSpaceDN w:val="0"/>
        <w:bidi w:val="0"/>
        <w:adjustRightInd/>
        <w:snapToGrid/>
        <w:spacing w:beforeAutospacing="0" w:after="200" w:afterAutospacing="0" w:line="360" w:lineRule="auto"/>
        <w:ind w:left="100" w:right="156" w:firstLine="200"/>
        <w:jc w:val="both"/>
        <w:textAlignment w:val="auto"/>
        <w:rPr>
          <w:rFonts w:hint="default" w:ascii="Calibri" w:hAnsi="Calibri" w:eastAsia="宋体" w:cs="Calibri"/>
          <w:sz w:val="24"/>
          <w:szCs w:val="24"/>
          <w:lang w:eastAsia="zh-CN"/>
        </w:rPr>
      </w:pPr>
      <w:r>
        <w:rPr>
          <w:rFonts w:hint="default" w:ascii="Calibri" w:hAnsi="Calibri" w:eastAsia="宋体" w:cs="Calibri"/>
          <w:color w:val="1B2A33"/>
          <w:sz w:val="24"/>
          <w:szCs w:val="24"/>
          <w:lang w:eastAsia="zh-CN"/>
        </w:rPr>
        <w:t>从本质上讲，模型卡片充当了全面的记录，促进了负责任的人工智能开发和部署，并为风险管理和缓解奠定了基础。</w:t>
      </w:r>
    </w:p>
    <w:p w14:paraId="3342C198">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创建和更新模型卡片</w:t>
      </w:r>
    </w:p>
    <w:p w14:paraId="43AB46B7">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28"/>
          <w:szCs w:val="28"/>
          <w:lang w:eastAsia="zh-CN"/>
        </w:rPr>
      </w:pPr>
      <w:r>
        <w:rPr>
          <w:rFonts w:hint="default" w:ascii="黑体" w:hAnsi="黑体" w:eastAsia="黑体" w:cs="黑体"/>
          <w:b/>
          <w:bCs/>
          <w:sz w:val="28"/>
          <w:szCs w:val="28"/>
          <w:lang w:eastAsia="zh-CN"/>
        </w:rPr>
        <w:t>模型卡片创建要点</w:t>
      </w:r>
    </w:p>
    <w:p w14:paraId="008AA34F">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lang w:eastAsia="zh-CN"/>
        </w:rPr>
      </w:pPr>
      <w:r>
        <w:rPr>
          <w:rFonts w:hint="default" w:ascii="Calibri" w:hAnsi="Calibri" w:eastAsia="宋体" w:cs="Calibri"/>
          <w:sz w:val="24"/>
          <w:szCs w:val="24"/>
          <w:lang w:eastAsia="zh-CN"/>
        </w:rPr>
        <w:t>模型卡片的有效创建需要采用协作和自动化的方法来确保准确性和效率。最常见的最佳实践包括以下内容：</w:t>
      </w:r>
    </w:p>
    <w:p w14:paraId="32B6C242">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流程和责任方：</w:t>
      </w:r>
      <w:r>
        <w:rPr>
          <w:rFonts w:hint="default" w:ascii="Calibri" w:hAnsi="Calibri" w:eastAsia="宋体" w:cs="Calibri"/>
          <w:b w:val="0"/>
          <w:bCs w:val="0"/>
          <w:sz w:val="24"/>
          <w:szCs w:val="24"/>
          <w:lang w:eastAsia="zh-CN"/>
        </w:rPr>
        <w:t>组织内必须建立创建和维护模型卡片的清晰流程和责任方。关键领导负责执行此流程并为每个模型卡片指定特定责任人。选定的责任人应具备提出正确问题、收集必要信息并领导组织内协作的技能。理想情况下，他们应具有构建模型卡片的经验或能够快速学习，并具备足够的技术知识。</w:t>
      </w:r>
    </w:p>
    <w:p w14:paraId="3C661D7E">
      <w:pPr>
        <w:keepNext w:val="0"/>
        <w:keepLines w:val="0"/>
        <w:pageBreakBefore w:val="0"/>
        <w:widowControl w:val="0"/>
        <w:numPr>
          <w:ilvl w:val="2"/>
          <w:numId w:val="5"/>
        </w:numPr>
        <w:tabs>
          <w:tab w:val="left" w:pos="1539"/>
          <w:tab w:val="left" w:pos="1540"/>
        </w:tabs>
        <w:kinsoku/>
        <w:wordWrap/>
        <w:overflowPunct/>
        <w:topLinePunct w:val="0"/>
        <w:autoSpaceDE w:val="0"/>
        <w:autoSpaceDN w:val="0"/>
        <w:bidi w:val="0"/>
        <w:adjustRightInd/>
        <w:snapToGrid/>
        <w:spacing w:after="200" w:line="360" w:lineRule="auto"/>
        <w:ind w:right="981"/>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val="0"/>
          <w:bCs/>
          <w:color w:val="1F1F1F"/>
          <w:sz w:val="24"/>
          <w:szCs w:val="24"/>
          <w:lang w:eastAsia="zh-CN"/>
        </w:rPr>
        <w:t>并非每个模型都需要模型卡片，因此应明确规定何时需要模型卡片，例如，对于超过100人使用的模型或用于生产或测试的模型。</w:t>
      </w:r>
    </w:p>
    <w:p w14:paraId="46298EDF">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协作：</w:t>
      </w:r>
      <w:r>
        <w:rPr>
          <w:rFonts w:hint="default" w:ascii="Calibri" w:hAnsi="Calibri" w:eastAsia="宋体" w:cs="Calibri"/>
          <w:b w:val="0"/>
          <w:bCs w:val="0"/>
          <w:sz w:val="24"/>
          <w:szCs w:val="24"/>
          <w:lang w:eastAsia="zh-CN"/>
        </w:rPr>
        <w:t>在创作过程中让跨职能团队参与进来，以确保全面覆盖。</w:t>
      </w:r>
    </w:p>
    <w:p w14:paraId="435AD1EF">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模板：</w:t>
      </w:r>
      <w:r>
        <w:rPr>
          <w:rFonts w:hint="default" w:ascii="Calibri" w:hAnsi="Calibri" w:eastAsia="宋体" w:cs="Calibri"/>
          <w:b w:val="0"/>
          <w:bCs w:val="0"/>
          <w:sz w:val="24"/>
          <w:szCs w:val="24"/>
          <w:lang w:eastAsia="zh-CN"/>
        </w:rPr>
        <w:t>使用标准化的模板，以确保一致性和易用性。</w:t>
      </w:r>
    </w:p>
    <w:p w14:paraId="0E349E43">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自动化：</w:t>
      </w:r>
      <w:r>
        <w:rPr>
          <w:rFonts w:hint="default" w:ascii="Calibri" w:hAnsi="Calibri" w:eastAsia="宋体" w:cs="Calibri"/>
          <w:b w:val="0"/>
          <w:bCs w:val="0"/>
          <w:sz w:val="24"/>
          <w:szCs w:val="24"/>
          <w:lang w:eastAsia="zh-CN"/>
        </w:rPr>
        <w:t>利用自动化工具生成模型卡片，减少人工操作，提高准确性。</w:t>
      </w:r>
    </w:p>
    <w:p w14:paraId="13A81B0D">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版本控制：</w:t>
      </w:r>
      <w:r>
        <w:rPr>
          <w:rFonts w:hint="default" w:ascii="Calibri" w:hAnsi="Calibri" w:eastAsia="宋体" w:cs="Calibri"/>
          <w:b w:val="0"/>
          <w:bCs w:val="0"/>
          <w:sz w:val="24"/>
          <w:szCs w:val="24"/>
          <w:lang w:eastAsia="zh-CN"/>
        </w:rPr>
        <w:t>利用版本控制系统来跟踪更改并保持更新的清晰记录。</w:t>
      </w:r>
    </w:p>
    <w:p w14:paraId="0E68A0B0">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bCs/>
          <w:color w:val="111A25"/>
          <w:sz w:val="24"/>
          <w:szCs w:val="24"/>
          <w:lang w:eastAsia="zh-CN"/>
        </w:rPr>
      </w:pPr>
      <w:r>
        <w:rPr>
          <w:rFonts w:hint="default" w:ascii="Calibri" w:hAnsi="Calibri" w:eastAsia="宋体" w:cs="Calibri"/>
          <w:b/>
          <w:bCs/>
          <w:sz w:val="24"/>
          <w:szCs w:val="24"/>
          <w:lang w:eastAsia="zh-CN"/>
        </w:rPr>
        <w:t>模型卡片仓库：</w:t>
      </w:r>
      <w:r>
        <w:rPr>
          <w:rFonts w:hint="default" w:ascii="Calibri" w:hAnsi="Calibri" w:eastAsia="宋体" w:cs="Calibri"/>
          <w:b w:val="0"/>
          <w:bCs w:val="0"/>
          <w:sz w:val="24"/>
          <w:szCs w:val="24"/>
          <w:lang w:eastAsia="zh-CN"/>
        </w:rPr>
        <w:t>建立一个模型卡片的集中仓库，确保易于访问和管理。</w:t>
      </w:r>
    </w:p>
    <w:p w14:paraId="46203527">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28"/>
          <w:szCs w:val="28"/>
          <w:lang w:eastAsia="zh-CN"/>
        </w:rPr>
      </w:pPr>
      <w:r>
        <w:rPr>
          <w:rFonts w:hint="default" w:ascii="黑体" w:hAnsi="黑体" w:eastAsia="黑体" w:cs="黑体"/>
          <w:b/>
          <w:bCs/>
          <w:sz w:val="28"/>
          <w:szCs w:val="28"/>
          <w:lang w:eastAsia="zh-CN"/>
        </w:rPr>
        <w:t>保持模型卡片更新</w:t>
      </w:r>
    </w:p>
    <w:p w14:paraId="1B718596">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定期更新对于确保模型卡片保持准确性和相关性至关重要。实施简化的更新流程可以减少人工操作，提高效率，并且应该包括：</w:t>
      </w:r>
    </w:p>
    <w:p w14:paraId="6D1E948B">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定期审查：</w:t>
      </w:r>
      <w:r>
        <w:rPr>
          <w:rFonts w:hint="default" w:ascii="Calibri" w:hAnsi="Calibri" w:eastAsia="宋体" w:cs="Calibri"/>
          <w:b w:val="0"/>
          <w:bCs w:val="0"/>
          <w:sz w:val="24"/>
          <w:szCs w:val="24"/>
          <w:lang w:eastAsia="zh-CN"/>
        </w:rPr>
        <w:t>对模型卡片进行定期审查，以反映模型或数据的变化。</w:t>
      </w:r>
    </w:p>
    <w:p w14:paraId="49359C85">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自动更新：</w:t>
      </w:r>
      <w:r>
        <w:rPr>
          <w:rFonts w:hint="default" w:ascii="Calibri" w:hAnsi="Calibri" w:eastAsia="宋体" w:cs="Calibri"/>
          <w:b w:val="0"/>
          <w:bCs w:val="0"/>
          <w:sz w:val="24"/>
          <w:szCs w:val="24"/>
          <w:lang w:eastAsia="zh-CN"/>
        </w:rPr>
        <w:t>利用自动化工具更新模型卡片，减少人工操作，提高准确性。</w:t>
      </w:r>
    </w:p>
    <w:p w14:paraId="28C27641">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变更管理：</w:t>
      </w:r>
      <w:r>
        <w:rPr>
          <w:rFonts w:hint="default" w:ascii="Calibri" w:hAnsi="Calibri" w:eastAsia="宋体" w:cs="Calibri"/>
          <w:b w:val="0"/>
          <w:bCs w:val="0"/>
          <w:sz w:val="24"/>
          <w:szCs w:val="24"/>
          <w:lang w:eastAsia="zh-CN"/>
        </w:rPr>
        <w:t>建立适当的流程来记录和批准更新。</w:t>
      </w:r>
    </w:p>
    <w:p w14:paraId="67CEDD37">
      <w:pPr>
        <w:keepNext w:val="0"/>
        <w:keepLines w:val="0"/>
        <w:pageBreakBefore w:val="0"/>
        <w:widowControl w:val="0"/>
        <w:numPr>
          <w:ilvl w:val="0"/>
          <w:numId w:val="4"/>
        </w:numPr>
        <w:tabs>
          <w:tab w:val="left" w:pos="819"/>
          <w:tab w:val="left" w:pos="820"/>
        </w:tabs>
        <w:kinsoku/>
        <w:wordWrap/>
        <w:overflowPunct/>
        <w:topLinePunct w:val="0"/>
        <w:autoSpaceDE w:val="0"/>
        <w:autoSpaceDN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审计追踪：</w:t>
      </w:r>
      <w:r>
        <w:rPr>
          <w:rFonts w:hint="default" w:ascii="Calibri" w:hAnsi="Calibri" w:eastAsia="宋体" w:cs="Calibri"/>
          <w:b w:val="0"/>
          <w:bCs w:val="0"/>
          <w:sz w:val="24"/>
          <w:szCs w:val="24"/>
          <w:lang w:eastAsia="zh-CN"/>
        </w:rPr>
        <w:t>对所有更新和更改进行审计追踪，以确保透明度和问责制。</w:t>
      </w:r>
    </w:p>
    <w:p w14:paraId="79154235">
      <w:pPr>
        <w:pStyle w:val="50"/>
        <w:keepNext w:val="0"/>
        <w:keepLines w:val="0"/>
        <w:pageBreakBefore w:val="0"/>
        <w:widowControl w:val="0"/>
        <w:kinsoku/>
        <w:wordWrap/>
        <w:overflowPunct/>
        <w:topLinePunct w:val="0"/>
        <w:autoSpaceDE w:val="0"/>
        <w:autoSpaceDN w:val="0"/>
        <w:bidi w:val="0"/>
        <w:adjustRightInd/>
        <w:snapToGrid/>
        <w:spacing w:after="200"/>
        <w:ind w:firstLine="480"/>
        <w:textAlignment w:val="auto"/>
        <w:rPr>
          <w:rFonts w:hint="default" w:ascii="黑体" w:hAnsi="黑体" w:eastAsia="黑体" w:cs="黑体"/>
          <w:b/>
          <w:bCs/>
          <w:sz w:val="30"/>
          <w:szCs w:val="30"/>
          <w:lang w:eastAsia="zh-CN"/>
        </w:rPr>
      </w:pPr>
      <w:r>
        <w:rPr>
          <w:rFonts w:hint="default" w:ascii="Calibri" w:hAnsi="Calibri" w:eastAsia="宋体" w:cs="Calibri"/>
          <w:sz w:val="24"/>
          <w:szCs w:val="24"/>
          <w:lang w:eastAsia="zh-CN"/>
        </w:rPr>
        <w:t>可以利用一些其他高级技术来创建一个简化和高效的过程，用于创建和更新模型卡片。例如，机器学习算法可以分析模型性能并动态更新模型卡片，而自然语言处理算法可以自动生成模型卡片内容。可视化工具可以提供模型性能和更新的图形表示，使复杂数据更易于理解。将模型卡片与其他工具和系统（如版本控制和协作平台）集成，可以增强协作并减少手动工作。这些方法可以提高过程的准确性、效率和协作性。</w:t>
      </w:r>
    </w:p>
    <w:p w14:paraId="7D317E30">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b/>
          <w:bCs/>
          <w:sz w:val="24"/>
          <w:szCs w:val="24"/>
          <w:lang w:eastAsia="zh-CN"/>
        </w:rPr>
      </w:pPr>
      <w:r>
        <w:rPr>
          <w:rFonts w:hint="default" w:ascii="黑体" w:hAnsi="黑体" w:eastAsia="黑体" w:cs="黑体"/>
          <w:b/>
          <w:bCs/>
          <w:sz w:val="30"/>
          <w:szCs w:val="30"/>
          <w:lang w:eastAsia="zh-CN"/>
        </w:rPr>
        <w:t>模型</w:t>
      </w:r>
      <w:r>
        <w:rPr>
          <w:rFonts w:hint="default" w:ascii="黑体" w:hAnsi="黑体" w:eastAsia="黑体" w:cs="黑体"/>
          <w:b/>
          <w:bCs/>
          <w:sz w:val="30"/>
          <w:szCs w:val="30"/>
          <w:lang w:eastAsia="zh-CN"/>
        </w:rPr>
        <w:t>卡片的局限性</w:t>
      </w:r>
    </w:p>
    <w:p w14:paraId="6572F69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完整性和准确性：</w:t>
      </w:r>
      <w:r>
        <w:rPr>
          <w:rFonts w:hint="default" w:ascii="Calibri" w:hAnsi="Calibri" w:eastAsia="宋体" w:cs="Calibri"/>
          <w:b w:val="0"/>
          <w:bCs w:val="0"/>
          <w:sz w:val="24"/>
          <w:szCs w:val="24"/>
          <w:lang w:eastAsia="zh-CN"/>
        </w:rPr>
        <w:t>详细信息完全取决于模型卡片的填写是否彻底和准确。这可能会导致信息误导或不完整的风险，尤其是在这一过程主要是手动完成的情况下。因此，我们提倡数据采集过程尽可能自动化。然而，确保完整性和准确性还需要组织内部的文化转变，通过管理方式发起和执行，以优先更新和维护模型卡片。如果没有领导层的支持，即使是出于好意的开发人员也可能不会优先考虑模型卡片的创建和更新，从而阻碍这一风险管理工具的有效性。</w:t>
      </w:r>
    </w:p>
    <w:p w14:paraId="066B93C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静态表示：</w:t>
      </w:r>
      <w:r>
        <w:rPr>
          <w:rFonts w:hint="default" w:ascii="Calibri" w:hAnsi="Calibri" w:eastAsia="宋体" w:cs="Calibri"/>
          <w:b w:val="0"/>
          <w:bCs w:val="0"/>
          <w:sz w:val="24"/>
          <w:szCs w:val="24"/>
          <w:lang w:eastAsia="zh-CN"/>
        </w:rPr>
        <w:t>模型卡片提供了模型在特定时间的宝贵快照，但其静态特性可能会带来挑战。随着模型的更新和改进，记录在模型卡片中的信息可能会过时。这需要定期审查和更新模型卡片，以确保其准确反映模型的当前状态。</w:t>
      </w:r>
    </w:p>
    <w:p w14:paraId="39E4449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评估中的主观性：</w:t>
      </w:r>
      <w:r>
        <w:rPr>
          <w:rFonts w:hint="default" w:ascii="Calibri" w:hAnsi="Calibri" w:eastAsia="宋体" w:cs="Calibri"/>
          <w:b w:val="0"/>
          <w:bCs w:val="0"/>
          <w:sz w:val="24"/>
          <w:szCs w:val="24"/>
          <w:lang w:eastAsia="zh-CN"/>
        </w:rPr>
        <w:t>由于不存在标准化的基准或评估标准，因此关注公平或伦理考量的模型本身就具有主观性。</w:t>
      </w:r>
    </w:p>
    <w:p w14:paraId="0D9ED16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范围有限：</w:t>
      </w:r>
      <w:r>
        <w:rPr>
          <w:rFonts w:hint="default" w:ascii="Calibri" w:hAnsi="Calibri" w:eastAsia="宋体" w:cs="Calibri"/>
          <w:b w:val="0"/>
          <w:bCs w:val="0"/>
          <w:sz w:val="24"/>
          <w:szCs w:val="24"/>
          <w:lang w:eastAsia="zh-CN"/>
        </w:rPr>
        <w:t>虽然模型卡片提供了诸如架构、训练数据和性能指标等技术细节，但它们往往不足以全面覆盖模型的影响。这种有限的范围可能会忽视模型在实际应用中可能产生的潜在偏见、伦理考虑和社会影响。</w:t>
      </w:r>
    </w:p>
    <w:p w14:paraId="6DD7E32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详细程度不同：</w:t>
      </w:r>
      <w:r>
        <w:rPr>
          <w:rFonts w:hint="default" w:ascii="Calibri" w:hAnsi="Calibri" w:eastAsia="宋体" w:cs="Calibri"/>
          <w:b w:val="0"/>
          <w:bCs w:val="0"/>
          <w:sz w:val="24"/>
          <w:szCs w:val="24"/>
          <w:lang w:eastAsia="zh-CN"/>
        </w:rPr>
        <w:t>模型卡片没有标准化的格式。详细程度和清晰度可能不同，使得不同模型之间的比较和风险评估变得困难。</w:t>
      </w:r>
    </w:p>
    <w:p w14:paraId="58788F25">
      <w:pPr>
        <w:pageBreakBefore w:val="0"/>
        <w:kinsoku/>
        <w:wordWrap/>
        <w:overflowPunct/>
        <w:topLinePunct w:val="0"/>
        <w:bidi w:val="0"/>
        <w:adjustRightInd/>
        <w:snapToGrid/>
        <w:spacing w:after="200" w:line="360" w:lineRule="auto"/>
        <w:ind w:left="100" w:right="156"/>
        <w:jc w:val="both"/>
        <w:textAlignment w:val="auto"/>
        <w:rPr>
          <w:rFonts w:hint="default" w:ascii="Calibri" w:hAnsi="Calibri" w:eastAsia="宋体" w:cs="Calibri"/>
          <w:sz w:val="24"/>
          <w:szCs w:val="24"/>
          <w:lang w:eastAsia="zh-CN"/>
        </w:rPr>
      </w:pPr>
      <w:r>
        <w:rPr>
          <w:rFonts w:hint="default" w:ascii="Calibri" w:hAnsi="Calibri" w:eastAsia="宋体" w:cs="Calibri"/>
          <w:color w:val="1F1F1F"/>
          <w:sz w:val="24"/>
          <w:szCs w:val="24"/>
          <w:lang w:eastAsia="zh-CN"/>
        </w:rPr>
        <w:t>模型卡片是了解</w:t>
      </w:r>
      <w:r>
        <w:rPr>
          <w:rFonts w:hint="default" w:ascii="Calibri" w:hAnsi="Calibri" w:eastAsia="宋体" w:cs="Calibri"/>
          <w:sz w:val="24"/>
          <w:szCs w:val="24"/>
          <w:lang w:eastAsia="zh-CN"/>
        </w:rPr>
        <w:t>机器学习</w:t>
      </w:r>
      <w:r>
        <w:rPr>
          <w:rFonts w:hint="default" w:ascii="Calibri" w:hAnsi="Calibri" w:eastAsia="宋体" w:cs="Calibri"/>
          <w:color w:val="1F1F1F"/>
          <w:sz w:val="24"/>
          <w:szCs w:val="24"/>
          <w:lang w:eastAsia="zh-CN"/>
        </w:rPr>
        <w:t>模型及其潜在风险</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有价值</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工具。它们提高</w:t>
      </w:r>
      <w:r>
        <w:rPr>
          <w:rFonts w:hint="default" w:ascii="Calibri" w:hAnsi="Calibri" w:eastAsia="宋体" w:cs="Calibri"/>
          <w:sz w:val="24"/>
          <w:szCs w:val="24"/>
          <w:lang w:eastAsia="zh-CN"/>
        </w:rPr>
        <w:t>了</w:t>
      </w:r>
      <w:r>
        <w:rPr>
          <w:rFonts w:hint="default" w:ascii="Calibri" w:hAnsi="Calibri" w:eastAsia="宋体" w:cs="Calibri"/>
          <w:color w:val="1F1F1F"/>
          <w:sz w:val="24"/>
          <w:szCs w:val="24"/>
          <w:lang w:eastAsia="zh-CN"/>
        </w:rPr>
        <w:t>透明度</w:t>
      </w:r>
      <w:r>
        <w:rPr>
          <w:rFonts w:hint="default" w:ascii="Calibri" w:hAnsi="Calibri" w:eastAsia="宋体" w:cs="Calibri"/>
          <w:sz w:val="24"/>
          <w:szCs w:val="24"/>
          <w:lang w:eastAsia="zh-CN"/>
        </w:rPr>
        <w:t>，</w:t>
      </w:r>
      <w:r>
        <w:rPr>
          <w:rFonts w:hint="default" w:ascii="Calibri" w:hAnsi="Calibri" w:eastAsia="宋体" w:cs="Calibri"/>
          <w:color w:val="1F1F1F"/>
          <w:sz w:val="24"/>
          <w:szCs w:val="24"/>
          <w:lang w:eastAsia="zh-CN"/>
        </w:rPr>
        <w:t>并使开发人</w:t>
      </w:r>
      <w:r>
        <w:rPr>
          <w:rFonts w:hint="default" w:ascii="Calibri" w:hAnsi="Calibri" w:eastAsia="宋体" w:cs="Calibri"/>
          <w:sz w:val="24"/>
          <w:szCs w:val="24"/>
          <w:lang w:eastAsia="zh-CN"/>
        </w:rPr>
        <w:t>员</w:t>
      </w:r>
      <w:r>
        <w:rPr>
          <w:rFonts w:hint="default" w:ascii="Calibri" w:hAnsi="Calibri" w:eastAsia="宋体" w:cs="Calibri"/>
          <w:color w:val="1F1F1F"/>
          <w:sz w:val="24"/>
          <w:szCs w:val="24"/>
          <w:lang w:eastAsia="zh-CN"/>
        </w:rPr>
        <w:t>和用户能</w:t>
      </w:r>
      <w:r>
        <w:rPr>
          <w:rFonts w:hint="default" w:ascii="Calibri" w:hAnsi="Calibri" w:eastAsia="宋体" w:cs="Calibri"/>
          <w:sz w:val="24"/>
          <w:szCs w:val="24"/>
          <w:lang w:eastAsia="zh-CN"/>
        </w:rPr>
        <w:t>够</w:t>
      </w:r>
      <w:r>
        <w:rPr>
          <w:rFonts w:hint="default" w:ascii="Calibri" w:hAnsi="Calibri" w:eastAsia="宋体" w:cs="Calibri"/>
          <w:color w:val="1F1F1F"/>
          <w:sz w:val="24"/>
          <w:szCs w:val="24"/>
          <w:lang w:eastAsia="zh-CN"/>
        </w:rPr>
        <w:t>了解模型</w:t>
      </w:r>
      <w:r>
        <w:rPr>
          <w:rFonts w:hint="default" w:ascii="Calibri" w:hAnsi="Calibri" w:eastAsia="宋体" w:cs="Calibri"/>
          <w:sz w:val="24"/>
          <w:szCs w:val="24"/>
          <w:lang w:eastAsia="zh-CN"/>
        </w:rPr>
        <w:t>的优</w:t>
      </w:r>
      <w:r>
        <w:rPr>
          <w:rFonts w:hint="default" w:ascii="Calibri" w:hAnsi="Calibri" w:eastAsia="宋体" w:cs="Calibri"/>
          <w:color w:val="1F1F1F"/>
          <w:sz w:val="24"/>
          <w:szCs w:val="24"/>
          <w:lang w:eastAsia="zh-CN"/>
        </w:rPr>
        <w:t>缺点。</w:t>
      </w:r>
    </w:p>
    <w:p w14:paraId="2418694B">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default" w:ascii="黑体" w:hAnsi="黑体" w:eastAsia="黑体" w:cs="黑体"/>
          <w:b/>
          <w:bCs/>
          <w:sz w:val="32"/>
          <w:szCs w:val="32"/>
          <w:lang w:eastAsia="zh-CN"/>
        </w:rPr>
      </w:pPr>
      <w:bookmarkStart w:id="46" w:name="_Toc195018720"/>
      <w:r>
        <w:rPr>
          <w:rFonts w:hint="default" w:ascii="黑体" w:hAnsi="黑体" w:eastAsia="黑体" w:cs="黑体"/>
          <w:b/>
          <w:bCs/>
          <w:sz w:val="32"/>
          <w:szCs w:val="32"/>
          <w:lang w:eastAsia="zh-CN"/>
        </w:rPr>
        <w:t>2. 数据手册：</w:t>
      </w:r>
      <w:bookmarkStart w:id="47" w:name="_Hlk194928886"/>
      <w:r>
        <w:rPr>
          <w:rFonts w:hint="default" w:ascii="黑体" w:hAnsi="黑体" w:eastAsia="黑体" w:cs="黑体"/>
          <w:b/>
          <w:bCs/>
          <w:sz w:val="32"/>
          <w:szCs w:val="32"/>
          <w:lang w:eastAsia="zh-CN"/>
        </w:rPr>
        <w:t>检查训练数据</w:t>
      </w:r>
      <w:bookmarkEnd w:id="46"/>
    </w:p>
    <w:bookmarkEnd w:id="47"/>
    <w:p w14:paraId="3446EA96">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模型蓝图的数据手册提供了对机器学习模型的深入技术描述。它们作为开发人员、风险管理人员和审计人员的参考文档，详细说明了模型的构建参数和操作特性。这些信息对于了解模型的潜在优势、劣势和固有风险至关重要。</w:t>
      </w:r>
    </w:p>
    <w:p w14:paraId="3158523E">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数据手册的需求</w:t>
      </w:r>
    </w:p>
    <w:p w14:paraId="5ABC8A56">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虽然模型卡片和风险卡片为风险管理提供了宝贵的见解，但仍需要添加一个基本要素：模型内部逻辑的透明视图。数据手册作为有效模型风险管理的基础文件，弥补了这一差距。以下是数据手册如何促进信任并实现更明智的风险评估：</w:t>
      </w:r>
    </w:p>
    <w:p w14:paraId="0E13F8D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模型透明度：</w:t>
      </w:r>
      <w:r>
        <w:rPr>
          <w:rFonts w:hint="default" w:ascii="Calibri" w:hAnsi="Calibri" w:eastAsia="宋体" w:cs="Calibri"/>
          <w:b w:val="0"/>
          <w:bCs w:val="0"/>
          <w:sz w:val="24"/>
          <w:szCs w:val="24"/>
          <w:lang w:eastAsia="zh-CN"/>
        </w:rPr>
        <w:t>了解模型如何做出决策对于风险管理至关重要。虽然模型卡片提供了高级概述，风险卡片强调了潜在问题，但它们并未深入探究模型的内部工作原理。数据手册通过深入探究模型逻辑来弥补这一差距。这种透明度促进了人们对模型的信任，并使风险管理者能够对其局限性和潜在偏见做出更明智的评估。</w:t>
      </w:r>
    </w:p>
    <w:p w14:paraId="2F3ECDD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风险评估：</w:t>
      </w:r>
      <w:r>
        <w:rPr>
          <w:rFonts w:hint="default" w:ascii="Calibri" w:hAnsi="Calibri" w:eastAsia="宋体" w:cs="Calibri"/>
          <w:b w:val="0"/>
          <w:bCs w:val="0"/>
          <w:sz w:val="24"/>
          <w:szCs w:val="24"/>
          <w:lang w:eastAsia="zh-CN"/>
        </w:rPr>
        <w:t>通过了解模型构建和训练数据，风险管理者可以有效地评估模型风险的潜在来源，如数据质量问题、过拟合或算法偏差。</w:t>
      </w:r>
    </w:p>
    <w:p w14:paraId="176A7FC1">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模型治理：</w:t>
      </w:r>
      <w:r>
        <w:rPr>
          <w:rFonts w:hint="default" w:ascii="Calibri" w:hAnsi="Calibri" w:eastAsia="宋体" w:cs="Calibri"/>
          <w:b w:val="0"/>
          <w:bCs w:val="0"/>
          <w:sz w:val="24"/>
          <w:szCs w:val="24"/>
          <w:lang w:eastAsia="zh-CN"/>
        </w:rPr>
        <w:t>数据规范是模型治理实践的基石，有助于根据需要对模型进行持续监控、维护和重新训练。</w:t>
      </w:r>
    </w:p>
    <w:p w14:paraId="1A8C875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可重现性：</w:t>
      </w:r>
      <w:r>
        <w:rPr>
          <w:rFonts w:hint="default" w:ascii="Calibri" w:hAnsi="Calibri" w:eastAsia="宋体" w:cs="Calibri"/>
          <w:b w:val="0"/>
          <w:bCs w:val="0"/>
          <w:sz w:val="24"/>
          <w:szCs w:val="24"/>
          <w:lang w:eastAsia="zh-CN"/>
        </w:rPr>
        <w:t>详细的规范确保独立方可以重新创建和验证模型，从而促进对其输出的信任和信心。</w:t>
      </w:r>
    </w:p>
    <w:p w14:paraId="75672E5C">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数据手册在</w:t>
      </w:r>
      <w:bookmarkStart w:id="48" w:name="_Hlk174614340"/>
      <w:r>
        <w:rPr>
          <w:rFonts w:hint="default" w:ascii="黑体" w:hAnsi="黑体" w:eastAsia="黑体" w:cs="黑体"/>
          <w:b/>
          <w:bCs/>
          <w:sz w:val="30"/>
          <w:szCs w:val="30"/>
          <w:lang w:eastAsia="zh-CN"/>
        </w:rPr>
        <w:t>模型风险管理</w:t>
      </w:r>
      <w:bookmarkEnd w:id="48"/>
      <w:r>
        <w:rPr>
          <w:rFonts w:hint="default" w:ascii="黑体" w:hAnsi="黑体" w:eastAsia="黑体" w:cs="黑体"/>
          <w:b/>
          <w:bCs/>
          <w:sz w:val="30"/>
          <w:szCs w:val="30"/>
          <w:lang w:eastAsia="zh-CN"/>
        </w:rPr>
        <w:t>（MRM）中的作用</w:t>
      </w:r>
    </w:p>
    <w:p w14:paraId="6631E349">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数据手册不仅记录了模型的逻辑，还支持主动风险管理并确保模型适配。它们为持续改进和合规提供了路线图，在模型风险管理生命周期中履行以下关键职能：</w:t>
      </w:r>
    </w:p>
    <w:p w14:paraId="22E954D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风险识别与应对：</w:t>
      </w:r>
      <w:r>
        <w:rPr>
          <w:rFonts w:hint="default" w:ascii="Calibri" w:hAnsi="Calibri" w:eastAsia="宋体" w:cs="Calibri"/>
          <w:b w:val="0"/>
          <w:bCs w:val="0"/>
          <w:sz w:val="24"/>
          <w:szCs w:val="24"/>
          <w:lang w:eastAsia="zh-CN"/>
        </w:rPr>
        <w:t>数据规范使风险管理人员能够主动识别模型中潜在的失败点，并制定缓解策略。</w:t>
      </w:r>
    </w:p>
    <w:p w14:paraId="6C68967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模型验证和细化：</w:t>
      </w:r>
      <w:r>
        <w:rPr>
          <w:rFonts w:hint="default" w:ascii="Calibri" w:hAnsi="Calibri" w:eastAsia="宋体" w:cs="Calibri"/>
          <w:b w:val="0"/>
          <w:bCs w:val="0"/>
          <w:sz w:val="24"/>
          <w:szCs w:val="24"/>
          <w:lang w:eastAsia="zh-CN"/>
        </w:rPr>
        <w:t>记录的训练过程和性能指标允许对模型的有效性和泛化能力进行严格的验证。数据规范也为模型的持续校准和细化提供了基础，以解决已识别的偏差或性能限制。</w:t>
      </w:r>
    </w:p>
    <w:p w14:paraId="3A94AE3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监管合规：</w:t>
      </w:r>
      <w:r>
        <w:rPr>
          <w:rFonts w:hint="default" w:ascii="Calibri" w:hAnsi="Calibri" w:eastAsia="宋体" w:cs="Calibri"/>
          <w:b w:val="0"/>
          <w:bCs w:val="0"/>
          <w:sz w:val="24"/>
          <w:szCs w:val="24"/>
          <w:lang w:eastAsia="zh-CN"/>
        </w:rPr>
        <w:t>全面的数据规范在证明人工智能/机器学习模型开发和部署符合相关法规和道德准则方面发挥着至关重要的作用。</w:t>
      </w:r>
    </w:p>
    <w:p w14:paraId="73DAF9F0">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sz w:val="24"/>
          <w:szCs w:val="24"/>
          <w:lang w:eastAsia="zh-CN"/>
        </w:rPr>
      </w:pPr>
      <w:r>
        <w:rPr>
          <w:rFonts w:hint="default" w:ascii="黑体" w:hAnsi="黑体" w:eastAsia="黑体" w:cs="黑体"/>
          <w:b/>
          <w:bCs/>
          <w:sz w:val="30"/>
          <w:szCs w:val="30"/>
          <w:lang w:eastAsia="zh-CN"/>
        </w:rPr>
        <w:t>数据手册的关键要素</w:t>
      </w:r>
    </w:p>
    <w:p w14:paraId="5ECA6554">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数据手册提供了模型内部工作的简明易懂的概述，包括：</w:t>
      </w:r>
    </w:p>
    <w:p w14:paraId="159E25A1">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模型目的和范围：</w:t>
      </w:r>
      <w:r>
        <w:rPr>
          <w:rFonts w:hint="default" w:ascii="Calibri" w:hAnsi="Calibri" w:eastAsia="宋体" w:cs="Calibri"/>
          <w:b w:val="0"/>
          <w:bCs w:val="0"/>
          <w:sz w:val="24"/>
          <w:szCs w:val="24"/>
          <w:lang w:eastAsia="zh-CN"/>
        </w:rPr>
        <w:t>明确界定模型的设计目标和使用限制。</w:t>
      </w:r>
    </w:p>
    <w:p w14:paraId="6F164A5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数据输入和假设：</w:t>
      </w:r>
      <w:r>
        <w:rPr>
          <w:rFonts w:hint="default" w:ascii="Calibri" w:hAnsi="Calibri" w:eastAsia="宋体" w:cs="Calibri"/>
          <w:b w:val="0"/>
          <w:bCs w:val="0"/>
          <w:sz w:val="24"/>
          <w:szCs w:val="24"/>
          <w:lang w:eastAsia="zh-CN"/>
        </w:rPr>
        <w:t>模型使用的所有输入特征的详细列表，包括数据源/类型/格式以及应用的任何预处理转换步骤，以及任何潜在的假设。</w:t>
      </w:r>
    </w:p>
    <w:p w14:paraId="452F801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模型架构：</w:t>
      </w:r>
      <w:r>
        <w:rPr>
          <w:rFonts w:hint="default" w:ascii="Calibri" w:hAnsi="Calibri" w:eastAsia="宋体" w:cs="Calibri"/>
          <w:b w:val="0"/>
          <w:bCs w:val="0"/>
          <w:sz w:val="24"/>
          <w:szCs w:val="24"/>
          <w:lang w:eastAsia="zh-CN"/>
        </w:rPr>
        <w:t>模型架构的技术描述（例如，决策树、神经网络），包括超参数设置（学习率、层数）和所选算法。</w:t>
      </w:r>
    </w:p>
    <w:p w14:paraId="4A51D61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模型开发过程：</w:t>
      </w:r>
      <w:r>
        <w:rPr>
          <w:rFonts w:hint="default" w:ascii="Calibri" w:hAnsi="Calibri" w:eastAsia="宋体" w:cs="Calibri"/>
          <w:b w:val="0"/>
          <w:bCs w:val="0"/>
          <w:sz w:val="24"/>
          <w:szCs w:val="24"/>
          <w:lang w:eastAsia="zh-CN"/>
        </w:rPr>
        <w:t>简要概述构建和训练模型的步骤，包括使用的任何相关算法。</w:t>
      </w:r>
    </w:p>
    <w:p w14:paraId="408EDAC4">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sz w:val="24"/>
          <w:szCs w:val="24"/>
          <w:lang w:eastAsia="zh-CN"/>
        </w:rPr>
      </w:pPr>
      <w:r>
        <w:rPr>
          <w:rFonts w:hint="default" w:ascii="Calibri" w:hAnsi="Calibri" w:eastAsia="宋体" w:cs="Calibri"/>
          <w:b/>
          <w:color w:val="1F1F1F"/>
          <w:sz w:val="24"/>
          <w:szCs w:val="24"/>
          <w:lang w:eastAsia="zh-CN"/>
        </w:rPr>
        <w:t>训练数据特征：</w:t>
      </w:r>
      <w:r>
        <w:rPr>
          <w:rFonts w:hint="default" w:ascii="Calibri" w:hAnsi="Calibri" w:eastAsia="宋体" w:cs="Calibri"/>
          <w:color w:val="1F1F1F"/>
          <w:sz w:val="24"/>
          <w:szCs w:val="24"/>
          <w:lang w:eastAsia="zh-CN"/>
        </w:rPr>
        <w:t>用于开发模型</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训练数据的详情，包括数据源、大小、分布特征以及执行</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所有数据质量检查。</w:t>
      </w:r>
    </w:p>
    <w:p w14:paraId="1BEC6559">
      <w:pPr>
        <w:pageBreakBefore w:val="0"/>
        <w:numPr>
          <w:ilvl w:val="2"/>
          <w:numId w:val="5"/>
        </w:numPr>
        <w:tabs>
          <w:tab w:val="left" w:pos="1539"/>
          <w:tab w:val="left" w:pos="1540"/>
        </w:tabs>
        <w:kinsoku/>
        <w:wordWrap/>
        <w:overflowPunct/>
        <w:topLinePunct w:val="0"/>
        <w:bidi w:val="0"/>
        <w:adjustRightInd/>
        <w:snapToGrid/>
        <w:spacing w:after="200" w:line="360" w:lineRule="auto"/>
        <w:ind w:right="981"/>
        <w:textAlignment w:val="auto"/>
        <w:rPr>
          <w:rFonts w:hint="default" w:ascii="Calibri" w:hAnsi="Calibri" w:eastAsia="宋体" w:cs="Calibri"/>
          <w:sz w:val="24"/>
          <w:szCs w:val="24"/>
          <w:lang w:eastAsia="zh-CN"/>
        </w:rPr>
      </w:pPr>
      <w:r>
        <w:rPr>
          <w:rFonts w:hint="default" w:ascii="Calibri" w:hAnsi="Calibri" w:eastAsia="宋体" w:cs="Calibri"/>
          <w:b/>
          <w:color w:val="1F1F1F"/>
          <w:sz w:val="24"/>
          <w:szCs w:val="24"/>
          <w:lang w:eastAsia="zh-CN"/>
        </w:rPr>
        <w:t>训练过程：</w:t>
      </w:r>
      <w:r>
        <w:rPr>
          <w:rFonts w:hint="default" w:ascii="Calibri" w:hAnsi="Calibri" w:eastAsia="宋体" w:cs="Calibri"/>
          <w:color w:val="1F1F1F"/>
          <w:sz w:val="24"/>
          <w:szCs w:val="24"/>
          <w:lang w:eastAsia="zh-CN"/>
        </w:rPr>
        <w:t>记录训练过程，包括选择</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优化算法、成功目标和收敛标准。</w:t>
      </w:r>
    </w:p>
    <w:p w14:paraId="70732E39">
      <w:pPr>
        <w:pageBreakBefore w:val="0"/>
        <w:numPr>
          <w:ilvl w:val="2"/>
          <w:numId w:val="5"/>
        </w:numPr>
        <w:tabs>
          <w:tab w:val="left" w:pos="1540"/>
        </w:tabs>
        <w:kinsoku/>
        <w:wordWrap/>
        <w:overflowPunct/>
        <w:topLinePunct w:val="0"/>
        <w:bidi w:val="0"/>
        <w:adjustRightInd/>
        <w:snapToGrid/>
        <w:spacing w:after="200" w:line="360" w:lineRule="auto"/>
        <w:ind w:right="462"/>
        <w:textAlignment w:val="auto"/>
        <w:rPr>
          <w:rFonts w:hint="default" w:ascii="Calibri" w:hAnsi="Calibri" w:eastAsia="宋体" w:cs="Calibri"/>
          <w:sz w:val="24"/>
          <w:szCs w:val="24"/>
          <w:lang w:eastAsia="zh-CN"/>
        </w:rPr>
      </w:pPr>
      <w:r>
        <w:rPr>
          <w:rFonts w:hint="default" w:ascii="Calibri" w:hAnsi="Calibri" w:eastAsia="宋体" w:cs="Calibri"/>
          <w:b/>
          <w:color w:val="1F1F1F"/>
          <w:sz w:val="24"/>
          <w:szCs w:val="24"/>
          <w:lang w:eastAsia="zh-CN"/>
        </w:rPr>
        <w:t>性能指标：</w:t>
      </w:r>
      <w:r>
        <w:rPr>
          <w:rFonts w:hint="default" w:ascii="Calibri" w:hAnsi="Calibri" w:eastAsia="宋体" w:cs="Calibri"/>
          <w:color w:val="1F1F1F"/>
          <w:sz w:val="24"/>
          <w:szCs w:val="24"/>
          <w:lang w:eastAsia="zh-CN"/>
        </w:rPr>
        <w:t>这是一组全面</w:t>
      </w:r>
      <w:r>
        <w:rPr>
          <w:rFonts w:hint="default" w:ascii="Calibri" w:hAnsi="Calibri" w:eastAsia="宋体" w:cs="Calibri"/>
          <w:sz w:val="24"/>
          <w:szCs w:val="24"/>
          <w:lang w:eastAsia="zh-CN"/>
        </w:rPr>
        <w:t>的</w:t>
      </w:r>
      <w:r>
        <w:rPr>
          <w:rFonts w:hint="default" w:ascii="Calibri" w:hAnsi="Calibri" w:eastAsia="宋体" w:cs="Calibri"/>
          <w:color w:val="1F1F1F"/>
          <w:sz w:val="24"/>
          <w:szCs w:val="24"/>
          <w:lang w:eastAsia="zh-CN"/>
        </w:rPr>
        <w:t>指标</w:t>
      </w:r>
      <w:r>
        <w:rPr>
          <w:rFonts w:hint="default" w:ascii="Calibri" w:hAnsi="Calibri" w:eastAsia="宋体" w:cs="Calibri"/>
          <w:sz w:val="24"/>
          <w:szCs w:val="24"/>
          <w:lang w:eastAsia="zh-CN"/>
        </w:rPr>
        <w:t>，</w:t>
      </w:r>
      <w:r>
        <w:rPr>
          <w:rFonts w:hint="default" w:ascii="Calibri" w:hAnsi="Calibri" w:eastAsia="宋体" w:cs="Calibri"/>
          <w:color w:val="1F1F1F"/>
          <w:sz w:val="24"/>
          <w:szCs w:val="24"/>
          <w:lang w:eastAsia="zh-CN"/>
        </w:rPr>
        <w:t>用于评估模型在训练和验证数据</w:t>
      </w:r>
      <w:r>
        <w:rPr>
          <w:rFonts w:hint="default" w:ascii="Calibri" w:hAnsi="Calibri" w:eastAsia="宋体" w:cs="Calibri"/>
          <w:sz w:val="24"/>
          <w:szCs w:val="24"/>
          <w:lang w:eastAsia="zh-CN"/>
        </w:rPr>
        <w:t>集上的</w:t>
      </w:r>
      <w:r>
        <w:rPr>
          <w:rFonts w:hint="default" w:ascii="Calibri" w:hAnsi="Calibri" w:eastAsia="宋体" w:cs="Calibri"/>
          <w:color w:val="1F1F1F"/>
          <w:sz w:val="24"/>
          <w:szCs w:val="24"/>
          <w:lang w:eastAsia="zh-CN"/>
        </w:rPr>
        <w:t>有效性（例如，准确率、精确率、召回率、F1分数）。</w:t>
      </w:r>
    </w:p>
    <w:p w14:paraId="0DC136F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模型输出和解释：</w:t>
      </w:r>
      <w:r>
        <w:rPr>
          <w:rFonts w:hint="default" w:ascii="Calibri" w:hAnsi="Calibri" w:eastAsia="宋体" w:cs="Calibri"/>
          <w:b w:val="0"/>
          <w:bCs w:val="0"/>
          <w:sz w:val="24"/>
          <w:szCs w:val="24"/>
          <w:lang w:eastAsia="zh-CN"/>
        </w:rPr>
        <w:t>对模型输出格式的明确定义，包括数据类型以及如何理解生成结果的解释。</w:t>
      </w:r>
    </w:p>
    <w:p w14:paraId="7FC4451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假设和限制：</w:t>
      </w:r>
      <w:r>
        <w:rPr>
          <w:rFonts w:hint="default" w:ascii="Calibri" w:hAnsi="Calibri" w:eastAsia="宋体" w:cs="Calibri"/>
          <w:b w:val="0"/>
          <w:bCs w:val="0"/>
          <w:sz w:val="24"/>
          <w:szCs w:val="24"/>
          <w:lang w:eastAsia="zh-CN"/>
        </w:rPr>
        <w:t>透明地披露在模型开发过程中所做的任何假设，以及所选模型架构或训练数据固有的任何限制。</w:t>
      </w:r>
    </w:p>
    <w:p w14:paraId="1AE0C854">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数据手册的局限性</w:t>
      </w:r>
    </w:p>
    <w:p w14:paraId="7AC7CA28">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虽然数据手册提供了显著的优势，但承认其局限性以确保其有效使用至关重要。数据手册在复杂性和范围方面可能存在挑战，并且需要跟上不断发展的人工智能/机器学习领域的步伐。</w:t>
      </w:r>
      <w:r>
        <w:rPr>
          <w:rFonts w:hint="default" w:ascii="Calibri" w:hAnsi="Calibri" w:eastAsia="宋体" w:cs="Calibri"/>
          <w:sz w:val="24"/>
          <w:szCs w:val="24"/>
        </w:rPr>
        <w:t>其中一些局限性包括：</w:t>
      </w:r>
    </w:p>
    <w:p w14:paraId="5DA3614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复杂性：</w:t>
      </w:r>
      <w:r>
        <w:rPr>
          <w:rFonts w:hint="default" w:ascii="Calibri" w:hAnsi="Calibri" w:eastAsia="宋体" w:cs="Calibri"/>
          <w:b w:val="0"/>
          <w:bCs w:val="0"/>
          <w:sz w:val="24"/>
          <w:szCs w:val="24"/>
          <w:lang w:eastAsia="zh-CN"/>
        </w:rPr>
        <w:t>根据人工智能/机器学习框架的具体组成部分，包括训练数据集、所选算法、机器学习运维（MLOps）控制机制和性能度量，数据规范可能变得高度技术化，需要机器学习专业知识才能完全理解。</w:t>
      </w:r>
    </w:p>
    <w:p w14:paraId="5FD6FD3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范围有限：</w:t>
      </w:r>
      <w:r>
        <w:rPr>
          <w:rFonts w:hint="default" w:ascii="Calibri" w:hAnsi="Calibri" w:eastAsia="宋体" w:cs="Calibri"/>
          <w:b w:val="0"/>
          <w:bCs w:val="0"/>
          <w:sz w:val="24"/>
          <w:szCs w:val="24"/>
          <w:lang w:eastAsia="zh-CN"/>
        </w:rPr>
        <w:t>数据规范主要关注模型的技术方面。它们可能无法完全捕捉到模型输出的更广泛的业务背景或潜在的社会影响。</w:t>
      </w:r>
    </w:p>
    <w:p w14:paraId="55BCF17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不断发展的领域：</w:t>
      </w:r>
      <w:r>
        <w:rPr>
          <w:rFonts w:hint="default" w:ascii="Calibri" w:hAnsi="Calibri" w:eastAsia="宋体" w:cs="Calibri"/>
          <w:b w:val="0"/>
          <w:bCs w:val="0"/>
          <w:sz w:val="24"/>
          <w:szCs w:val="24"/>
          <w:lang w:eastAsia="zh-CN"/>
        </w:rPr>
        <w:t>随着人工智能/机器学习的快速发展，数据规范的最佳实践可能需要不断调整，以纳入新的技术和方法。</w:t>
      </w:r>
    </w:p>
    <w:p w14:paraId="1920702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模型卡片</w:t>
      </w:r>
      <w:r>
        <w:rPr>
          <w:rFonts w:hint="default" w:ascii="Calibri" w:hAnsi="Calibri" w:eastAsia="宋体" w:cs="Calibri"/>
          <w:b/>
          <w:bCs/>
          <w:sz w:val="24"/>
          <w:szCs w:val="24"/>
          <w:lang w:eastAsia="zh-CN"/>
        </w:rPr>
        <w:t>的常见限制，</w:t>
      </w:r>
      <w:r>
        <w:rPr>
          <w:rFonts w:hint="default" w:ascii="Calibri" w:hAnsi="Calibri" w:eastAsia="宋体" w:cs="Calibri"/>
          <w:b w:val="0"/>
          <w:bCs w:val="0"/>
          <w:sz w:val="24"/>
          <w:szCs w:val="24"/>
          <w:lang w:eastAsia="zh-CN"/>
        </w:rPr>
        <w:t>如完整性和准确性、成为公司文化以及静态/过时的表示，也适用于数据手册。</w:t>
      </w:r>
    </w:p>
    <w:p w14:paraId="516EDD17">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数据手册是管理模型风险的重要工具。通过为模型的构建和运行提供技术路线图，它们使风险管理专业人员能够有效地评估、缓解和管理与机器学习模型相关的风险。</w:t>
      </w:r>
    </w:p>
    <w:p w14:paraId="25249366">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default" w:ascii="黑体" w:hAnsi="黑体" w:eastAsia="黑体" w:cs="黑体"/>
          <w:b/>
          <w:bCs/>
          <w:sz w:val="32"/>
          <w:szCs w:val="32"/>
          <w:lang w:eastAsia="zh-CN"/>
        </w:rPr>
      </w:pPr>
      <w:bookmarkStart w:id="49" w:name="_Toc195018721"/>
      <w:r>
        <w:rPr>
          <w:rFonts w:hint="default" w:ascii="黑体" w:hAnsi="黑体" w:eastAsia="黑体" w:cs="黑体"/>
          <w:b/>
          <w:bCs/>
          <w:sz w:val="32"/>
          <w:szCs w:val="32"/>
          <w:lang w:eastAsia="zh-CN"/>
        </w:rPr>
        <w:t>3.</w:t>
      </w:r>
      <w:r>
        <w:rPr>
          <w:rFonts w:hint="default" w:ascii="黑体" w:hAnsi="黑体" w:eastAsia="黑体" w:cs="黑体"/>
          <w:b/>
          <w:bCs/>
          <w:sz w:val="32"/>
          <w:szCs w:val="32"/>
          <w:lang w:eastAsia="zh-CN"/>
        </w:rPr>
        <w:t xml:space="preserve"> 风险卡片</w:t>
      </w:r>
      <w:bookmarkStart w:id="50" w:name="_Hlk194928875"/>
      <w:r>
        <w:rPr>
          <w:rFonts w:hint="default" w:ascii="黑体" w:hAnsi="黑体" w:eastAsia="黑体" w:cs="黑体"/>
          <w:b/>
          <w:bCs/>
          <w:sz w:val="32"/>
          <w:szCs w:val="32"/>
          <w:lang w:eastAsia="zh-CN"/>
        </w:rPr>
        <w:t>：识别潜在问题</w:t>
      </w:r>
      <w:bookmarkEnd w:id="49"/>
    </w:p>
    <w:bookmarkEnd w:id="50"/>
    <w:p w14:paraId="073773F2">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风险卡片深入研究了与人工智能模型相关的潜在问题。它们系统地识别、分类和分析潜在风险。可以把它们想象成潜在模型风险的闪卡。每张卡片都描述了具体的风险、潜在影响和缓解策略。与单词卡类似，它们提供了一种快速和结构化的方法来理解和解决模型漏洞。</w:t>
      </w:r>
    </w:p>
    <w:p w14:paraId="7567ADC1">
      <w:pPr>
        <w:pStyle w:val="13"/>
        <w:pageBreakBefore w:val="0"/>
        <w:kinsoku/>
        <w:wordWrap/>
        <w:overflowPunct/>
        <w:topLinePunct w:val="0"/>
        <w:bidi w:val="0"/>
        <w:adjustRightInd/>
        <w:snapToGrid/>
        <w:spacing w:after="200" w:line="360" w:lineRule="auto"/>
        <w:ind w:left="100" w:right="156" w:firstLine="472"/>
        <w:textAlignment w:val="auto"/>
        <w:rPr>
          <w:rFonts w:hint="default" w:ascii="Calibri" w:hAnsi="Calibri" w:eastAsia="宋体" w:cs="Calibri"/>
          <w:sz w:val="24"/>
          <w:szCs w:val="24"/>
          <w:lang w:eastAsia="zh-CN"/>
        </w:rPr>
      </w:pPr>
      <w:r>
        <w:rPr>
          <w:rFonts w:hint="default" w:ascii="Calibri" w:hAnsi="Calibri" w:eastAsia="宋体" w:cs="Calibri"/>
          <w:color w:val="111A25"/>
          <w:spacing w:val="-2"/>
          <w:sz w:val="24"/>
          <w:szCs w:val="24"/>
          <w:lang w:eastAsia="zh-CN"/>
        </w:rPr>
        <w:t>风险卡片通常包含一系列潜在的问题，包括:</w:t>
      </w:r>
    </w:p>
    <w:p w14:paraId="2581B0B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安全和道德风险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这些问题包括隐私、产生有害内容和导致偏见等问题。</w:t>
      </w:r>
    </w:p>
    <w:p w14:paraId="7B6509A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安全风险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数据泄露、企图操纵和其他安全漏洞属于这一类。</w:t>
      </w:r>
    </w:p>
    <w:p w14:paraId="6E30868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社会风险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失业或滥用人工智能进行宣传是社会风险的例子。</w:t>
      </w:r>
    </w:p>
    <w:p w14:paraId="56A6369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环境风险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人工智能模型可能会使用大量电力，从而增加有害气体的产生。即使是使用清洁能源的模型也会占用其他社会用途的能源，从而迫使它们产生有害气体。</w:t>
      </w:r>
    </w:p>
    <w:p w14:paraId="4188622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操作风险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模型可能面临与有限的训练数据、计算强度、与现有系统集成等相关的挑战。</w:t>
      </w:r>
    </w:p>
    <w:p w14:paraId="282AF16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法规和法律风险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由于法律法规、规定的最初实施或随着时间的推移而发生变化，组织可能会与之发生冲突。或者输入数据的使用可能会受到知识产权所有者的质疑。</w:t>
      </w:r>
    </w:p>
    <w:p w14:paraId="127ABCF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财务风险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服务模型的成本可能会意外增加，例如使用代理工作流。</w:t>
      </w:r>
    </w:p>
    <w:p w14:paraId="09B0992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供应链风险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涉及来自组织外部的风险，以及可能从我们的模型传递给合作伙伴的风险。</w:t>
      </w:r>
    </w:p>
    <w:p w14:paraId="4551E1B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声誉风险</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不恰当的模型使用可能导致负面新闻等。</w:t>
      </w:r>
    </w:p>
    <w:p w14:paraId="22A4A954">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请注意：您的组织涉及的风险类别可能不同，或者至少对每个风险类别的关注度可能不同。例如，NIST AI RMF7关注的是 “有效、安全、可靠和有弹性、负责和透明、可解释、增强隐私、公平和管理有害偏见”的模型风险。</w:t>
      </w:r>
    </w:p>
    <w:p w14:paraId="2200D0DC">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风险卡片的结构</w:t>
      </w:r>
    </w:p>
    <w:p w14:paraId="43646EE2">
      <w:pPr>
        <w:pStyle w:val="13"/>
        <w:pageBreakBefore w:val="0"/>
        <w:kinsoku/>
        <w:wordWrap/>
        <w:overflowPunct/>
        <w:topLinePunct w:val="0"/>
        <w:bidi w:val="0"/>
        <w:adjustRightInd/>
        <w:snapToGrid/>
        <w:spacing w:after="200" w:line="360" w:lineRule="auto"/>
        <w:ind w:left="100" w:right="156" w:firstLine="480"/>
        <w:textAlignment w:val="auto"/>
        <w:rPr>
          <w:rFonts w:hint="default" w:ascii="Calibri" w:hAnsi="Calibri" w:eastAsia="宋体" w:cs="Calibri"/>
          <w:sz w:val="24"/>
          <w:szCs w:val="24"/>
          <w:lang w:eastAsia="zh-CN"/>
        </w:rPr>
      </w:pPr>
      <w:r>
        <w:rPr>
          <w:rFonts w:hint="default" w:ascii="Calibri" w:hAnsi="Calibri" w:eastAsia="宋体" w:cs="Calibri"/>
          <w:color w:val="111A25"/>
          <w:sz w:val="24"/>
          <w:szCs w:val="24"/>
          <w:lang w:eastAsia="zh-CN"/>
        </w:rPr>
        <w:t>每一张风险卡片都遵循一个明确定义的结构，以确保采用重点突出和信息丰富的方法来了解具体风险并制定有针对性的缓解策略。在每个风险卡片中通常可以找到以下要素:</w:t>
      </w:r>
    </w:p>
    <w:p w14:paraId="03BF2EFE">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风险分类</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对风险进行分类(例如，偏见、事实错误、误用)</w:t>
      </w:r>
    </w:p>
    <w:p w14:paraId="587A74F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风险描述</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对潜在问题的简明描述，如偏见、事实错误或产生有害内容</w:t>
      </w:r>
    </w:p>
    <w:p w14:paraId="6CE594B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影响</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风险的潜在后果，需考虑声誉损害、用户伤害或法律问题等因素</w:t>
      </w:r>
    </w:p>
    <w:p w14:paraId="3E866B9F">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严重性等级</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评估风险的潜在影响(高、中、低)</w:t>
      </w:r>
    </w:p>
    <w:p w14:paraId="45DB8F7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可能性</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评估风险发生的可能性</w:t>
      </w:r>
    </w:p>
    <w:p w14:paraId="0D5D5BA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应对策略</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降低风险可能性或严重程度的可操作步骤，可能涉及数据过滤技术、改进的训练数据、引导模型开发以产生更安全输出的用户提示，以及业务和组织策略</w:t>
      </w:r>
    </w:p>
    <w:p w14:paraId="4A440672">
      <w:pPr>
        <w:pStyle w:val="13"/>
        <w:pageBreakBefore w:val="0"/>
        <w:kinsoku/>
        <w:wordWrap/>
        <w:overflowPunct/>
        <w:topLinePunct w:val="0"/>
        <w:bidi w:val="0"/>
        <w:adjustRightInd/>
        <w:snapToGrid/>
        <w:spacing w:after="200" w:line="360" w:lineRule="auto"/>
        <w:ind w:firstLine="472"/>
        <w:textAlignment w:val="auto"/>
        <w:rPr>
          <w:rFonts w:hint="default" w:ascii="Calibri" w:hAnsi="Calibri" w:eastAsia="宋体" w:cs="Calibri"/>
          <w:sz w:val="24"/>
          <w:szCs w:val="24"/>
          <w:lang w:eastAsia="zh-CN"/>
        </w:rPr>
      </w:pPr>
      <w:r>
        <w:rPr>
          <w:rFonts w:hint="default" w:ascii="Calibri" w:hAnsi="Calibri" w:eastAsia="宋体" w:cs="Calibri"/>
          <w:color w:val="1F1F1F"/>
          <w:spacing w:val="-2"/>
          <w:sz w:val="24"/>
          <w:szCs w:val="24"/>
          <w:lang w:eastAsia="zh-CN"/>
        </w:rPr>
        <w:t>下表给出了一个风险卡片的例子。</w:t>
      </w:r>
    </w:p>
    <w:tbl>
      <w:tblPr>
        <w:tblStyle w:val="47"/>
        <w:tblW w:w="0" w:type="auto"/>
        <w:tblInd w:w="130" w:type="dxa"/>
        <w:tblBorders>
          <w:top w:val="single" w:color="DDE6EF" w:sz="12" w:space="0"/>
          <w:left w:val="single" w:color="DDE6EF" w:sz="12" w:space="0"/>
          <w:bottom w:val="single" w:color="DDE6EF" w:sz="12" w:space="0"/>
          <w:right w:val="single" w:color="DDE6EF" w:sz="12" w:space="0"/>
          <w:insideH w:val="single" w:color="DDE6EF" w:sz="12" w:space="0"/>
          <w:insideV w:val="single" w:color="DDE6EF" w:sz="12" w:space="0"/>
        </w:tblBorders>
        <w:tblLayout w:type="fixed"/>
        <w:tblCellMar>
          <w:top w:w="0" w:type="dxa"/>
          <w:left w:w="0" w:type="dxa"/>
          <w:bottom w:w="0" w:type="dxa"/>
          <w:right w:w="0" w:type="dxa"/>
        </w:tblCellMar>
      </w:tblPr>
      <w:tblGrid>
        <w:gridCol w:w="1657"/>
        <w:gridCol w:w="2063"/>
        <w:gridCol w:w="1980"/>
        <w:gridCol w:w="3660"/>
      </w:tblGrid>
      <w:tr w14:paraId="408BC603">
        <w:tblPrEx>
          <w:tblBorders>
            <w:top w:val="single" w:color="DDE6EF" w:sz="12" w:space="0"/>
            <w:left w:val="single" w:color="DDE6EF" w:sz="12" w:space="0"/>
            <w:bottom w:val="single" w:color="DDE6EF" w:sz="12" w:space="0"/>
            <w:right w:val="single" w:color="DDE6EF" w:sz="12" w:space="0"/>
            <w:insideH w:val="single" w:color="DDE6EF" w:sz="12" w:space="0"/>
            <w:insideV w:val="single" w:color="DDE6EF" w:sz="12" w:space="0"/>
          </w:tblBorders>
          <w:tblCellMar>
            <w:top w:w="0" w:type="dxa"/>
            <w:left w:w="0" w:type="dxa"/>
            <w:bottom w:w="0" w:type="dxa"/>
            <w:right w:w="0" w:type="dxa"/>
          </w:tblCellMar>
        </w:tblPrEx>
        <w:trPr>
          <w:trHeight w:val="469" w:hRule="atLeast"/>
        </w:trPr>
        <w:tc>
          <w:tcPr>
            <w:tcW w:w="1657" w:type="dxa"/>
            <w:shd w:val="clear" w:color="auto" w:fill="00539E"/>
          </w:tcPr>
          <w:p w14:paraId="2EB82605">
            <w:pPr>
              <w:pStyle w:val="49"/>
              <w:pageBreakBefore w:val="0"/>
              <w:kinsoku/>
              <w:wordWrap/>
              <w:overflowPunct/>
              <w:topLinePunct w:val="0"/>
              <w:bidi w:val="0"/>
              <w:adjustRightInd/>
              <w:snapToGrid/>
              <w:spacing w:after="200" w:line="360" w:lineRule="auto"/>
              <w:ind w:left="508" w:right="508"/>
              <w:jc w:val="left"/>
              <w:textAlignment w:val="auto"/>
              <w:rPr>
                <w:rFonts w:hint="default" w:ascii="Calibri" w:hAnsi="Calibri" w:eastAsia="宋体" w:cs="Calibri"/>
                <w:b/>
                <w:bCs w:val="0"/>
                <w:sz w:val="28"/>
                <w:szCs w:val="28"/>
              </w:rPr>
            </w:pPr>
            <w:bookmarkStart w:id="51" w:name="_Hlk194929529"/>
            <w:r>
              <w:rPr>
                <w:rFonts w:hint="default" w:ascii="Calibri" w:hAnsi="Calibri" w:eastAsia="宋体" w:cs="Calibri"/>
                <w:b/>
                <w:bCs w:val="0"/>
                <w:color w:val="FFFFFF"/>
                <w:spacing w:val="-4"/>
                <w:sz w:val="28"/>
                <w:szCs w:val="28"/>
                <w:lang w:eastAsia="zh-CN"/>
              </w:rPr>
              <w:t>风险</w:t>
            </w:r>
          </w:p>
        </w:tc>
        <w:tc>
          <w:tcPr>
            <w:tcW w:w="2063" w:type="dxa"/>
            <w:shd w:val="clear" w:color="auto" w:fill="00539E"/>
          </w:tcPr>
          <w:p w14:paraId="69976927">
            <w:pPr>
              <w:pStyle w:val="49"/>
              <w:pageBreakBefore w:val="0"/>
              <w:kinsoku/>
              <w:wordWrap/>
              <w:overflowPunct/>
              <w:topLinePunct w:val="0"/>
              <w:bidi w:val="0"/>
              <w:adjustRightInd/>
              <w:snapToGrid/>
              <w:spacing w:after="200" w:line="360" w:lineRule="auto"/>
              <w:ind w:left="519"/>
              <w:jc w:val="left"/>
              <w:textAlignment w:val="auto"/>
              <w:rPr>
                <w:rFonts w:hint="default" w:ascii="Calibri" w:hAnsi="Calibri" w:eastAsia="宋体" w:cs="Calibri"/>
                <w:b/>
                <w:bCs w:val="0"/>
                <w:sz w:val="28"/>
                <w:szCs w:val="28"/>
              </w:rPr>
            </w:pPr>
            <w:r>
              <w:rPr>
                <w:rFonts w:hint="default" w:ascii="Calibri" w:hAnsi="Calibri" w:eastAsia="宋体" w:cs="Calibri"/>
                <w:b/>
                <w:bCs w:val="0"/>
                <w:color w:val="FFFFFF"/>
                <w:spacing w:val="-2"/>
                <w:sz w:val="28"/>
                <w:szCs w:val="28"/>
                <w:lang w:eastAsia="zh-CN"/>
              </w:rPr>
              <w:t>描述</w:t>
            </w:r>
          </w:p>
        </w:tc>
        <w:tc>
          <w:tcPr>
            <w:tcW w:w="1980" w:type="dxa"/>
            <w:shd w:val="clear" w:color="auto" w:fill="00539E"/>
          </w:tcPr>
          <w:p w14:paraId="70A9E71D">
            <w:pPr>
              <w:pStyle w:val="49"/>
              <w:pageBreakBefore w:val="0"/>
              <w:kinsoku/>
              <w:wordWrap/>
              <w:overflowPunct/>
              <w:topLinePunct w:val="0"/>
              <w:bidi w:val="0"/>
              <w:adjustRightInd/>
              <w:snapToGrid/>
              <w:spacing w:after="200" w:line="360" w:lineRule="auto"/>
              <w:ind w:left="637"/>
              <w:jc w:val="left"/>
              <w:textAlignment w:val="auto"/>
              <w:rPr>
                <w:rFonts w:hint="default" w:ascii="Calibri" w:hAnsi="Calibri" w:eastAsia="宋体" w:cs="Calibri"/>
                <w:b/>
                <w:bCs w:val="0"/>
                <w:sz w:val="28"/>
                <w:szCs w:val="28"/>
              </w:rPr>
            </w:pPr>
            <w:r>
              <w:rPr>
                <w:rFonts w:hint="default" w:ascii="Calibri" w:hAnsi="Calibri" w:eastAsia="宋体" w:cs="Calibri"/>
                <w:b/>
                <w:bCs w:val="0"/>
                <w:color w:val="FFFFFF"/>
                <w:spacing w:val="-2"/>
                <w:sz w:val="28"/>
                <w:szCs w:val="28"/>
                <w:lang w:eastAsia="zh-CN"/>
              </w:rPr>
              <w:t>影响</w:t>
            </w:r>
          </w:p>
        </w:tc>
        <w:tc>
          <w:tcPr>
            <w:tcW w:w="3660" w:type="dxa"/>
            <w:shd w:val="clear" w:color="auto" w:fill="00539E"/>
          </w:tcPr>
          <w:p w14:paraId="41143D98">
            <w:pPr>
              <w:pStyle w:val="49"/>
              <w:pageBreakBefore w:val="0"/>
              <w:kinsoku/>
              <w:wordWrap/>
              <w:overflowPunct/>
              <w:topLinePunct w:val="0"/>
              <w:bidi w:val="0"/>
              <w:adjustRightInd/>
              <w:snapToGrid/>
              <w:spacing w:after="200" w:line="360" w:lineRule="auto"/>
              <w:ind w:firstLine="1108" w:firstLineChars="400"/>
              <w:jc w:val="left"/>
              <w:textAlignment w:val="auto"/>
              <w:rPr>
                <w:rFonts w:hint="default" w:ascii="Calibri" w:hAnsi="Calibri" w:eastAsia="宋体" w:cs="Calibri"/>
                <w:b/>
                <w:bCs w:val="0"/>
                <w:sz w:val="28"/>
                <w:szCs w:val="28"/>
              </w:rPr>
            </w:pPr>
            <w:r>
              <w:rPr>
                <w:rFonts w:hint="default" w:ascii="Calibri" w:hAnsi="Calibri" w:eastAsia="宋体" w:cs="Calibri"/>
                <w:b/>
                <w:bCs w:val="0"/>
                <w:color w:val="FFFFFF"/>
                <w:spacing w:val="-2"/>
                <w:sz w:val="28"/>
                <w:szCs w:val="28"/>
                <w:lang w:eastAsia="zh-CN"/>
              </w:rPr>
              <w:t>应对策略</w:t>
            </w:r>
          </w:p>
        </w:tc>
      </w:tr>
      <w:tr w14:paraId="4A09310F">
        <w:tblPrEx>
          <w:tblBorders>
            <w:top w:val="single" w:color="DDE6EF" w:sz="12" w:space="0"/>
            <w:left w:val="single" w:color="DDE6EF" w:sz="12" w:space="0"/>
            <w:bottom w:val="single" w:color="DDE6EF" w:sz="12" w:space="0"/>
            <w:right w:val="single" w:color="DDE6EF" w:sz="12" w:space="0"/>
            <w:insideH w:val="single" w:color="DDE6EF" w:sz="12" w:space="0"/>
            <w:insideV w:val="single" w:color="DDE6EF" w:sz="12" w:space="0"/>
          </w:tblBorders>
          <w:tblCellMar>
            <w:top w:w="0" w:type="dxa"/>
            <w:left w:w="0" w:type="dxa"/>
            <w:bottom w:w="0" w:type="dxa"/>
            <w:right w:w="0" w:type="dxa"/>
          </w:tblCellMar>
        </w:tblPrEx>
        <w:trPr>
          <w:trHeight w:val="1733" w:hRule="atLeast"/>
        </w:trPr>
        <w:tc>
          <w:tcPr>
            <w:tcW w:w="1657" w:type="dxa"/>
          </w:tcPr>
          <w:p w14:paraId="4D383A1B">
            <w:pPr>
              <w:pStyle w:val="49"/>
              <w:pageBreakBefore w:val="0"/>
              <w:kinsoku/>
              <w:wordWrap/>
              <w:overflowPunct/>
              <w:topLinePunct w:val="0"/>
              <w:bidi w:val="0"/>
              <w:adjustRightInd/>
              <w:snapToGrid/>
              <w:spacing w:after="200" w:line="360" w:lineRule="auto"/>
              <w:ind w:left="59"/>
              <w:textAlignment w:val="auto"/>
              <w:rPr>
                <w:rFonts w:hint="eastAsia" w:ascii="宋体" w:hAnsi="宋体" w:eastAsia="宋体" w:cs="宋体"/>
                <w:b w:val="0"/>
                <w:bCs w:val="0"/>
                <w:sz w:val="24"/>
                <w:szCs w:val="24"/>
              </w:rPr>
            </w:pPr>
            <w:r>
              <w:rPr>
                <w:rFonts w:hint="eastAsia" w:ascii="宋体" w:hAnsi="宋体" w:eastAsia="宋体" w:cs="宋体"/>
                <w:b w:val="0"/>
                <w:bCs w:val="0"/>
                <w:color w:val="111A25"/>
                <w:w w:val="95"/>
                <w:sz w:val="24"/>
                <w:szCs w:val="24"/>
              </w:rPr>
              <w:t>偏见与公平</w:t>
            </w:r>
          </w:p>
        </w:tc>
        <w:tc>
          <w:tcPr>
            <w:tcW w:w="2063" w:type="dxa"/>
          </w:tcPr>
          <w:p w14:paraId="0119EF8F">
            <w:pPr>
              <w:pStyle w:val="49"/>
              <w:pageBreakBefore w:val="0"/>
              <w:kinsoku/>
              <w:wordWrap/>
              <w:overflowPunct/>
              <w:topLinePunct w:val="0"/>
              <w:bidi w:val="0"/>
              <w:adjustRightInd/>
              <w:snapToGrid/>
              <w:spacing w:after="200" w:line="360" w:lineRule="auto"/>
              <w:ind w:left="59"/>
              <w:textAlignment w:val="auto"/>
              <w:rPr>
                <w:rFonts w:hint="eastAsia" w:ascii="宋体" w:hAnsi="宋体" w:eastAsia="宋体" w:cs="宋体"/>
                <w:b w:val="0"/>
                <w:bCs w:val="0"/>
                <w:sz w:val="24"/>
                <w:szCs w:val="24"/>
                <w:lang w:eastAsia="zh-CN"/>
              </w:rPr>
            </w:pPr>
            <w:r>
              <w:rPr>
                <w:rFonts w:hint="eastAsia" w:ascii="宋体" w:hAnsi="宋体" w:eastAsia="宋体" w:cs="宋体"/>
                <w:b w:val="0"/>
                <w:bCs w:val="0"/>
                <w:color w:val="111A25"/>
                <w:w w:val="105"/>
                <w:sz w:val="24"/>
                <w:szCs w:val="24"/>
                <w:lang w:eastAsia="zh-CN"/>
              </w:rPr>
              <w:t>模型根据训练数据输出有偏见的内容</w:t>
            </w:r>
          </w:p>
        </w:tc>
        <w:tc>
          <w:tcPr>
            <w:tcW w:w="1980" w:type="dxa"/>
          </w:tcPr>
          <w:p w14:paraId="5B07FAF1">
            <w:pPr>
              <w:pStyle w:val="49"/>
              <w:pageBreakBefore w:val="0"/>
              <w:kinsoku/>
              <w:wordWrap/>
              <w:overflowPunct/>
              <w:topLinePunct w:val="0"/>
              <w:bidi w:val="0"/>
              <w:adjustRightInd/>
              <w:snapToGrid/>
              <w:spacing w:after="200" w:line="360" w:lineRule="auto"/>
              <w:ind w:left="59" w:right="56"/>
              <w:textAlignment w:val="auto"/>
              <w:rPr>
                <w:rFonts w:hint="eastAsia" w:ascii="宋体" w:hAnsi="宋体" w:eastAsia="宋体" w:cs="宋体"/>
                <w:b w:val="0"/>
                <w:bCs w:val="0"/>
                <w:sz w:val="24"/>
                <w:szCs w:val="24"/>
                <w:lang w:eastAsia="zh-CN"/>
              </w:rPr>
            </w:pPr>
            <w:r>
              <w:rPr>
                <w:rFonts w:hint="eastAsia" w:ascii="宋体" w:hAnsi="宋体" w:eastAsia="宋体" w:cs="宋体"/>
                <w:b w:val="0"/>
                <w:bCs w:val="0"/>
                <w:color w:val="111A25"/>
                <w:spacing w:val="-2"/>
                <w:sz w:val="24"/>
                <w:szCs w:val="24"/>
                <w:lang w:eastAsia="zh-CN"/>
              </w:rPr>
              <w:t>导致歧视和潜在的声誉损害</w:t>
            </w:r>
          </w:p>
        </w:tc>
        <w:tc>
          <w:tcPr>
            <w:tcW w:w="3660" w:type="dxa"/>
          </w:tcPr>
          <w:p w14:paraId="5C32E005">
            <w:pPr>
              <w:pStyle w:val="49"/>
              <w:pageBreakBefore w:val="0"/>
              <w:kinsoku/>
              <w:wordWrap/>
              <w:overflowPunct/>
              <w:topLinePunct w:val="0"/>
              <w:bidi w:val="0"/>
              <w:adjustRightInd/>
              <w:snapToGrid/>
              <w:spacing w:after="200" w:line="360" w:lineRule="auto"/>
              <w:ind w:left="164"/>
              <w:textAlignment w:val="auto"/>
              <w:rPr>
                <w:rFonts w:hint="eastAsia" w:ascii="宋体" w:hAnsi="宋体" w:eastAsia="宋体" w:cs="宋体"/>
                <w:b w:val="0"/>
                <w:bCs w:val="0"/>
                <w:color w:val="111A25"/>
                <w:spacing w:val="-2"/>
                <w:sz w:val="24"/>
                <w:szCs w:val="24"/>
                <w:lang w:eastAsia="zh-CN"/>
              </w:rPr>
            </w:pPr>
            <w:r>
              <w:rPr>
                <w:rFonts w:hint="eastAsia" w:ascii="宋体" w:hAnsi="宋体" w:eastAsia="宋体" w:cs="宋体"/>
                <w:b w:val="0"/>
                <w:bCs w:val="0"/>
                <w:color w:val="111A25"/>
                <w:spacing w:val="-2"/>
                <w:sz w:val="24"/>
                <w:szCs w:val="24"/>
                <w:lang w:eastAsia="zh-CN"/>
              </w:rPr>
              <w:t>・使用多样化的训练数据</w:t>
            </w:r>
          </w:p>
          <w:p w14:paraId="26C8F769">
            <w:pPr>
              <w:pStyle w:val="49"/>
              <w:pageBreakBefore w:val="0"/>
              <w:kinsoku/>
              <w:wordWrap/>
              <w:overflowPunct/>
              <w:topLinePunct w:val="0"/>
              <w:bidi w:val="0"/>
              <w:adjustRightInd/>
              <w:snapToGrid/>
              <w:spacing w:after="200" w:line="360" w:lineRule="auto"/>
              <w:ind w:left="164"/>
              <w:textAlignment w:val="auto"/>
              <w:rPr>
                <w:rFonts w:hint="eastAsia" w:ascii="宋体" w:hAnsi="宋体" w:eastAsia="宋体" w:cs="宋体"/>
                <w:b w:val="0"/>
                <w:bCs w:val="0"/>
                <w:color w:val="111A25"/>
                <w:spacing w:val="-2"/>
                <w:sz w:val="24"/>
                <w:szCs w:val="24"/>
                <w:lang w:eastAsia="zh-CN"/>
              </w:rPr>
            </w:pPr>
            <w:r>
              <w:rPr>
                <w:rFonts w:hint="eastAsia" w:ascii="宋体" w:hAnsi="宋体" w:eastAsia="宋体" w:cs="宋体"/>
                <w:b w:val="0"/>
                <w:bCs w:val="0"/>
                <w:color w:val="111A25"/>
                <w:spacing w:val="-2"/>
                <w:sz w:val="24"/>
                <w:szCs w:val="24"/>
                <w:lang w:eastAsia="zh-CN"/>
              </w:rPr>
              <w:t>・在模型中实现公平性检查</w:t>
            </w:r>
          </w:p>
          <w:p w14:paraId="06C83796">
            <w:pPr>
              <w:pStyle w:val="49"/>
              <w:pageBreakBefore w:val="0"/>
              <w:kinsoku/>
              <w:wordWrap/>
              <w:overflowPunct/>
              <w:topLinePunct w:val="0"/>
              <w:bidi w:val="0"/>
              <w:adjustRightInd/>
              <w:snapToGrid/>
              <w:spacing w:after="200" w:line="360" w:lineRule="auto"/>
              <w:ind w:left="164"/>
              <w:textAlignment w:val="auto"/>
              <w:rPr>
                <w:rFonts w:hint="eastAsia" w:ascii="宋体" w:hAnsi="宋体" w:eastAsia="宋体" w:cs="宋体"/>
                <w:b w:val="0"/>
                <w:bCs w:val="0"/>
                <w:sz w:val="24"/>
                <w:szCs w:val="24"/>
              </w:rPr>
            </w:pPr>
            <w:r>
              <w:rPr>
                <w:rFonts w:hint="eastAsia" w:ascii="宋体" w:hAnsi="宋体" w:eastAsia="宋体" w:cs="宋体"/>
                <w:b w:val="0"/>
                <w:bCs w:val="0"/>
                <w:color w:val="111A25"/>
                <w:spacing w:val="-2"/>
                <w:sz w:val="24"/>
                <w:szCs w:val="24"/>
                <w:lang w:eastAsia="zh-CN"/>
              </w:rPr>
              <w:t>・提供局限性方面的透明度</w:t>
            </w:r>
          </w:p>
        </w:tc>
      </w:tr>
      <w:bookmarkEnd w:id="51"/>
    </w:tbl>
    <w:p w14:paraId="5DABF5CC">
      <w:pPr>
        <w:pStyle w:val="13"/>
        <w:pageBreakBefore w:val="0"/>
        <w:kinsoku/>
        <w:wordWrap/>
        <w:overflowPunct/>
        <w:topLinePunct w:val="0"/>
        <w:bidi w:val="0"/>
        <w:adjustRightInd/>
        <w:snapToGrid/>
        <w:spacing w:after="200" w:line="360" w:lineRule="auto"/>
        <w:ind w:firstLine="0" w:firstLineChars="0"/>
        <w:textAlignment w:val="auto"/>
        <w:rPr>
          <w:rFonts w:hint="default" w:ascii="Calibri" w:hAnsi="Calibri" w:eastAsia="宋体" w:cs="Calibri"/>
          <w:sz w:val="24"/>
          <w:szCs w:val="24"/>
          <w:lang w:eastAsia="zh-CN"/>
        </w:rPr>
      </w:pPr>
    </w:p>
    <w:p w14:paraId="38F69E58">
      <w:pPr>
        <w:pStyle w:val="50"/>
        <w:pageBreakBefore w:val="0"/>
        <w:kinsoku/>
        <w:wordWrap/>
        <w:overflowPunct/>
        <w:topLinePunct w:val="0"/>
        <w:bidi w:val="0"/>
        <w:adjustRightInd/>
        <w:snapToGrid/>
        <w:spacing w:after="200" w:line="360" w:lineRule="auto"/>
        <w:ind w:left="0" w:leftChars="0" w:firstLine="420" w:firstLineChars="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该风险卡片强调了一家零售公司用于生成营销和社交媒体内容的ML模型中可能出现的意外偏见。有了清晰的描述和潜在影响(高严重性)，数据团队优先解决了这个问题。该公司对训练数据和模型架构进行了双重审查，以调查潜在的偏见。针对潜在偏见问题，数据团队分析了数据统计特征，发现了数据手册征中存在的倾斜，并检查了训练数据来源。他们还讨论了公平性指标，以量化潜在的偏见，并使用可解释性方法等技术来理解模型如何输出。</w:t>
      </w:r>
    </w:p>
    <w:p w14:paraId="7DA13C7E">
      <w:pPr>
        <w:pStyle w:val="13"/>
        <w:pageBreakBefore w:val="0"/>
        <w:kinsoku/>
        <w:wordWrap/>
        <w:overflowPunct/>
        <w:topLinePunct w:val="0"/>
        <w:bidi w:val="0"/>
        <w:adjustRightInd/>
        <w:snapToGrid/>
        <w:spacing w:after="200" w:line="360" w:lineRule="auto"/>
        <w:ind w:left="100" w:firstLine="472"/>
        <w:textAlignment w:val="auto"/>
        <w:rPr>
          <w:rFonts w:hint="default" w:ascii="Calibri" w:hAnsi="Calibri" w:eastAsia="宋体" w:cs="Calibri"/>
          <w:sz w:val="24"/>
          <w:szCs w:val="24"/>
          <w:lang w:eastAsia="zh-CN"/>
        </w:rPr>
      </w:pPr>
      <w:r>
        <w:rPr>
          <w:rFonts w:hint="default" w:ascii="Calibri" w:hAnsi="Calibri" w:eastAsia="宋体" w:cs="Calibri"/>
          <w:color w:val="111A25"/>
          <w:spacing w:val="-2"/>
          <w:sz w:val="24"/>
          <w:szCs w:val="24"/>
          <w:lang w:eastAsia="zh-CN"/>
        </w:rPr>
        <w:t>根据这一分析，实施了若干应对策略:</w:t>
      </w:r>
    </w:p>
    <w:p w14:paraId="2D9A992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数据清洗</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通过采样/欠采样来平衡训练数据，并去除非必要的敏感属性，以创建更平衡的数据集。该公司还在探索使用合成数据来进一步解决偏见问题。</w:t>
      </w:r>
    </w:p>
    <w:p w14:paraId="1EF2058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训练中的公平性</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将公平性约束纳入训练过程，以惩罚有偏见的输出，支持更多合适的输出。</w:t>
      </w:r>
    </w:p>
    <w:p w14:paraId="2B6E177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后处理过滤器</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部署情感分析和事实检查工具，以识别和标记可能有偏见的内容。</w:t>
      </w:r>
    </w:p>
    <w:p w14:paraId="147E5D6D">
      <w:pPr>
        <w:pStyle w:val="13"/>
        <w:pageBreakBefore w:val="0"/>
        <w:kinsoku/>
        <w:wordWrap/>
        <w:overflowPunct/>
        <w:topLinePunct w:val="0"/>
        <w:bidi w:val="0"/>
        <w:adjustRightInd/>
        <w:snapToGrid/>
        <w:spacing w:after="200" w:line="360" w:lineRule="auto"/>
        <w:ind w:left="100" w:right="170" w:firstLine="480"/>
        <w:textAlignment w:val="auto"/>
        <w:rPr>
          <w:rFonts w:hint="default" w:ascii="Calibri" w:hAnsi="Calibri" w:eastAsia="宋体" w:cs="Calibri"/>
          <w:sz w:val="24"/>
          <w:szCs w:val="24"/>
          <w:lang w:eastAsia="zh-CN"/>
        </w:rPr>
      </w:pPr>
      <w:r>
        <w:rPr>
          <w:rFonts w:hint="default" w:ascii="Calibri" w:hAnsi="Calibri" w:eastAsia="宋体" w:cs="Calibri"/>
          <w:color w:val="111A25"/>
          <w:sz w:val="24"/>
          <w:szCs w:val="24"/>
          <w:lang w:eastAsia="zh-CN"/>
        </w:rPr>
        <w:t>除了这些应对策略，公司还制定了一个深思熟虑的应急计划，以加强团队对偏见的防御。该应急计划包括:</w:t>
      </w:r>
    </w:p>
    <w:p w14:paraId="4ED2CCD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标记和解决有偏见的输出</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一个明确标记和解决有偏见输出的过程涉及可以识别和纠正有偏见内容的人类审核人员。</w:t>
      </w:r>
    </w:p>
    <w:p w14:paraId="0808BDA1">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事件响应协议</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当触发风险卡片场景时，如果组织已经有预先建立的事件响应协议，AI/ML运维团队可以利用该协议确保快速调查和应对，这将是非常有益的。行动可能包括使用更平衡的数据集重新训练模型，例如在检测到偏见的情况下。</w:t>
      </w:r>
    </w:p>
    <w:p w14:paraId="37353FC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沟通协议</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跨公司沟通协议，针对潜在的偏见，确保透明度，培养与用户和利益相关者的信任，促进整个组织负责任的模型使用。</w:t>
      </w:r>
    </w:p>
    <w:p w14:paraId="10DC9162">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通过实施这些应对策略，特别是关注数据多样性和算法公平性，该团队采取了积极主动的立场，来应对模型输出中的偏见。这为在整个组织中建立可信赖和符合伦理的人工智能系统奠定了基础，使公司能够在其人工智能应用中促进包容性、透明度和问责制。</w:t>
      </w:r>
    </w:p>
    <w:p w14:paraId="1D641D46">
      <w:pPr>
        <w:pStyle w:val="13"/>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p>
    <w:p w14:paraId="494B714A">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风险</w:t>
      </w:r>
      <w:r>
        <w:rPr>
          <w:rFonts w:hint="default" w:ascii="黑体" w:hAnsi="黑体" w:eastAsia="黑体" w:cs="黑体"/>
          <w:b/>
          <w:bCs/>
          <w:sz w:val="30"/>
          <w:szCs w:val="30"/>
          <w:lang w:eastAsia="zh-CN"/>
        </w:rPr>
        <w:t>卡片的好处</w:t>
      </w:r>
    </w:p>
    <w:p w14:paraId="6E45FD6B">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风险卡片提供了一种结构化和动态的方法来管理不断发展的模型风险。它们提供了一种系统的方法来识别、分类和确定模型风险的优先级，并充当了一种强大的沟通工具，促进了开发人员、用户和利益相关者之间的沟通。这种协作环境促进了对潜在问题的更深入了解，从而形成了可操作的见解，如应对措施和应急计划。</w:t>
      </w:r>
    </w:p>
    <w:p w14:paraId="0E17F466">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除了这些核心的好处之外，风险卡片还为MRM提供了显著的优势，包括:</w:t>
      </w:r>
    </w:p>
    <w:p w14:paraId="4807B0B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前瞻性方法</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风险卡片有助于在潜在问题发生之前提前识别，允许先发制人的解决方案。这种方法能够评估每种策略的潜在风险降低效益及其复杂性和成本，确保以最佳投资回报实现主动消减风险。</w:t>
      </w:r>
    </w:p>
    <w:p w14:paraId="6A13372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压力测试</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卡片通过促进围绕潜在风险的讨论和头脑风暴，促进了在各种条件下对模型进行压力测试的过程。风险卡片是压力测试的起点。实际的压力测试包括应用定量和定性技术来分析模型在风险卡片中识别的风险行为。压力测试的结果通常不记录在风险卡片中，但可以指示风险卡片的另一次迭代。</w:t>
      </w:r>
    </w:p>
    <w:p w14:paraId="77FEE16E">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改进决策</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通过全面的风险识别和分析，风险卡片使组织能够在部署模型和选择适当的用例方面做出明智的选择。这确保了模型被有效地利用，同时最小化了相关的风险。</w:t>
      </w:r>
    </w:p>
    <w:p w14:paraId="6107E6B3">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风险卡片的局限性</w:t>
      </w:r>
    </w:p>
    <w:p w14:paraId="072A56E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限定范围</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卡片通常侧重于一组预定义的潜在问题。这对于覆盖常见风险是有用的，但它可能无法捕获特定于您的AI模型的独特漏洞。这一局限性还包括量化不足，这妨碍了对风险影响和可能性的评估，从而难以确定风险消减工作的优先次序。此外，复杂或细微的风险可能被过度简化或压缩，从而可能导致低估严重性或缓解工作的挑战。</w:t>
      </w:r>
    </w:p>
    <w:p w14:paraId="7E5437F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人工智能的动态性</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人工智能模型不断发展，新的风险可能会出现。风险卡片需要能够跟上该领域的快速发展。</w:t>
      </w:r>
    </w:p>
    <w:p w14:paraId="7FF35E4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量化不足</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虽然风险卡片提供了对风险的定性评估，但它们可能无法量化每种风险的潜在影响和可能性。如果没有量化的措施，组织可能难以确定优先级并有效地分配资源，以缓解与人工智能模型相关的最重要的风险。</w:t>
      </w:r>
    </w:p>
    <w:p w14:paraId="3674FDD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真实世界的数据依赖性</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风险卡片的有效性取决于用于识别和评估风险的数据的质量和全面性。不完整或不准确的数据可能导致输出误导性或不相关的风险卡片。</w:t>
      </w:r>
    </w:p>
    <w:p w14:paraId="1742854D">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需要人工判断</w:t>
      </w:r>
      <w:r>
        <w:rPr>
          <w:rFonts w:hint="eastAsia" w:ascii="Calibri" w:hAnsi="Calibri" w:eastAsia="宋体" w:cs="Calibri"/>
          <w:b/>
          <w:bCs/>
          <w:sz w:val="24"/>
          <w:szCs w:val="24"/>
          <w:lang w:eastAsia="zh-CN"/>
        </w:rPr>
        <w:t>：</w:t>
      </w:r>
      <w:r>
        <w:rPr>
          <w:rFonts w:hint="default" w:ascii="Calibri" w:hAnsi="Calibri" w:eastAsia="宋体" w:cs="Calibri"/>
          <w:b w:val="0"/>
          <w:bCs w:val="0"/>
          <w:sz w:val="24"/>
          <w:szCs w:val="24"/>
          <w:lang w:eastAsia="zh-CN"/>
        </w:rPr>
        <w:t>风险卡片需要人工判断来解释风险的严重程度并选择适当的缓解策略。这可能是主观的，可能取决于审查卡片的人的专业性。</w:t>
      </w:r>
    </w:p>
    <w:p w14:paraId="6E009BC8">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default" w:ascii="黑体" w:hAnsi="黑体" w:eastAsia="黑体" w:cs="黑体"/>
          <w:b/>
          <w:bCs/>
          <w:sz w:val="32"/>
          <w:szCs w:val="32"/>
          <w:lang w:eastAsia="zh-CN"/>
        </w:rPr>
      </w:pPr>
      <w:bookmarkStart w:id="52" w:name="_Toc195018722"/>
      <w:r>
        <w:rPr>
          <w:rFonts w:hint="default" w:ascii="黑体" w:hAnsi="黑体" w:eastAsia="黑体" w:cs="黑体"/>
          <w:b/>
          <w:bCs/>
          <w:sz w:val="32"/>
          <w:szCs w:val="32"/>
          <w:lang w:eastAsia="zh-CN"/>
        </w:rPr>
        <w:t>4. 场景规划：</w:t>
      </w:r>
      <w:bookmarkStart w:id="53" w:name="_Hlk194928859"/>
      <w:r>
        <w:rPr>
          <w:rFonts w:hint="default" w:ascii="黑体" w:hAnsi="黑体" w:eastAsia="黑体" w:cs="黑体"/>
          <w:b/>
          <w:bCs/>
          <w:sz w:val="32"/>
          <w:szCs w:val="32"/>
          <w:lang w:eastAsia="zh-CN"/>
        </w:rPr>
        <w:t>“假设”方法</w:t>
      </w:r>
      <w:bookmarkEnd w:id="52"/>
      <w:bookmarkEnd w:id="53"/>
    </w:p>
    <w:p w14:paraId="08EAC19F">
      <w:pPr>
        <w:pStyle w:val="13"/>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场景规划是一种主动探索AI模型可能被误用或出现故障的假设情况的方法。本质上，它是在问“如果会怎么样“的问题。我们设想并探索AI模型在各种积极和消极场景下的表现。这使我们能够在潜在风险成为现实之前识别它们。</w:t>
      </w:r>
    </w:p>
    <w:p w14:paraId="10602817">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场景规划考虑</w:t>
      </w:r>
    </w:p>
    <w:p w14:paraId="03529FF1">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积极情景（例如，提高生产力、改善教育）</w:t>
      </w:r>
    </w:p>
    <w:p w14:paraId="1B2821FF">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消极情景（例如，语言武器化、信息操纵）</w:t>
      </w:r>
    </w:p>
    <w:p w14:paraId="21D3FF8A">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 xml:space="preserve">场景规划中需要考虑的方面 </w:t>
      </w:r>
    </w:p>
    <w:p w14:paraId="64CA0E9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技术能力：</w:t>
      </w:r>
      <w:r>
        <w:rPr>
          <w:rFonts w:hint="default" w:ascii="Calibri" w:hAnsi="Calibri" w:eastAsia="宋体" w:cs="Calibri"/>
          <w:b w:val="0"/>
          <w:bCs w:val="0"/>
          <w:sz w:val="24"/>
          <w:szCs w:val="24"/>
          <w:lang w:eastAsia="zh-CN"/>
        </w:rPr>
        <w:t>评估模型的优势和劣势，重点关注容易发生故障（从常规故障到“黑天鹅”）、操纵或利用的领域。</w:t>
      </w:r>
    </w:p>
    <w:p w14:paraId="090E597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数据偏见：</w:t>
      </w:r>
      <w:r>
        <w:rPr>
          <w:rFonts w:hint="default" w:ascii="Calibri" w:hAnsi="Calibri" w:eastAsia="宋体" w:cs="Calibri"/>
          <w:b w:val="0"/>
          <w:bCs w:val="0"/>
          <w:sz w:val="24"/>
          <w:szCs w:val="24"/>
          <w:lang w:eastAsia="zh-CN"/>
        </w:rPr>
        <w:t>检查潜在的偏见和数据特征，例如不太可信的供应商数据，缺失或超出范围的数据以及训练数据中存在的随时间波动的数据，这些都可能会影响模型的输出。</w:t>
      </w:r>
    </w:p>
    <w:p w14:paraId="3723B87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用户交互：</w:t>
      </w:r>
      <w:r>
        <w:rPr>
          <w:rFonts w:hint="default" w:ascii="Calibri" w:hAnsi="Calibri" w:eastAsia="宋体" w:cs="Calibri"/>
          <w:b w:val="0"/>
          <w:bCs w:val="0"/>
          <w:sz w:val="24"/>
          <w:szCs w:val="24"/>
          <w:lang w:eastAsia="zh-CN"/>
        </w:rPr>
        <w:t>考虑用户如何与模型交互，以及他们的意图或理解可能会导致意想不到的后果。</w:t>
      </w:r>
    </w:p>
    <w:p w14:paraId="480AD24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黑体" w:hAnsi="黑体" w:eastAsia="黑体" w:cs="黑体"/>
          <w:b/>
          <w:bCs/>
          <w:sz w:val="30"/>
          <w:szCs w:val="30"/>
          <w:lang w:eastAsia="zh-CN"/>
        </w:rPr>
      </w:pPr>
      <w:r>
        <w:rPr>
          <w:rFonts w:hint="default" w:ascii="Calibri" w:hAnsi="Calibri" w:eastAsia="宋体" w:cs="Calibri"/>
          <w:b/>
          <w:bCs/>
          <w:sz w:val="24"/>
          <w:szCs w:val="24"/>
          <w:lang w:eastAsia="zh-CN"/>
        </w:rPr>
        <w:t>社会影响：</w:t>
      </w:r>
      <w:r>
        <w:rPr>
          <w:rFonts w:hint="default" w:ascii="Calibri" w:hAnsi="Calibri" w:eastAsia="宋体" w:cs="Calibri"/>
          <w:b w:val="0"/>
          <w:bCs w:val="0"/>
          <w:sz w:val="24"/>
          <w:szCs w:val="24"/>
          <w:lang w:eastAsia="zh-CN"/>
        </w:rPr>
        <w:t>探索模型部署可能带来的更广泛的社会影响，例如工作岗位替代、围绕自动化的伦理问题或组织外部人员使用该模型的风险。</w:t>
      </w:r>
    </w:p>
    <w:p w14:paraId="1A165473">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30"/>
          <w:szCs w:val="30"/>
          <w:lang w:eastAsia="zh-CN"/>
        </w:rPr>
      </w:pPr>
      <w:r>
        <w:rPr>
          <w:rFonts w:hint="default" w:ascii="黑体" w:hAnsi="黑体" w:eastAsia="黑体" w:cs="黑体"/>
          <w:b/>
          <w:bCs/>
          <w:sz w:val="30"/>
          <w:szCs w:val="30"/>
          <w:lang w:eastAsia="zh-CN"/>
        </w:rPr>
        <w:t>场景</w:t>
      </w:r>
      <w:r>
        <w:rPr>
          <w:rFonts w:hint="default" w:ascii="黑体" w:hAnsi="黑体" w:eastAsia="黑体" w:cs="黑体"/>
          <w:b/>
          <w:bCs/>
          <w:sz w:val="30"/>
          <w:szCs w:val="30"/>
          <w:lang w:eastAsia="zh-CN"/>
        </w:rPr>
        <w:t>规划如何运作</w:t>
      </w:r>
    </w:p>
    <w:p w14:paraId="65B26F6E">
      <w:pPr>
        <w:pageBreakBefore w:val="0"/>
        <w:widowControl/>
        <w:kinsoku/>
        <w:wordWrap/>
        <w:overflowPunct/>
        <w:topLinePunct w:val="0"/>
        <w:bidi w:val="0"/>
        <w:adjustRightInd/>
        <w:snapToGrid/>
        <w:spacing w:after="200" w:line="360" w:lineRule="auto"/>
        <w:textAlignment w:val="auto"/>
        <w:rPr>
          <w:rFonts w:hint="default" w:ascii="Calibri" w:hAnsi="Calibri" w:eastAsia="宋体" w:cs="Calibri"/>
          <w:color w:val="111A25"/>
          <w:spacing w:val="-8"/>
          <w:sz w:val="24"/>
          <w:szCs w:val="24"/>
          <w:lang w:eastAsia="zh-CN"/>
        </w:rPr>
      </w:pPr>
      <w:r>
        <w:rPr>
          <w:rFonts w:hint="default" w:ascii="Calibri" w:hAnsi="Calibri" w:eastAsia="宋体" w:cs="Calibri"/>
          <w:color w:val="111A25"/>
          <w:spacing w:val="-7"/>
          <w:sz w:val="24"/>
          <w:szCs w:val="24"/>
          <w:lang w:eastAsia="zh-CN"/>
        </w:rPr>
        <w:t>场景规划涉及一种结构化方法，通过假设情况来识别</w:t>
      </w:r>
      <w:r>
        <w:rPr>
          <w:rFonts w:hint="default" w:ascii="Calibri" w:hAnsi="Calibri" w:eastAsia="宋体" w:cs="Calibri"/>
          <w:color w:val="111A25"/>
          <w:spacing w:val="-8"/>
          <w:sz w:val="24"/>
          <w:szCs w:val="24"/>
          <w:lang w:eastAsia="zh-CN"/>
        </w:rPr>
        <w:t>和评估潜在的模型风险。以下是该过程的细分</w:t>
      </w:r>
    </w:p>
    <w:p w14:paraId="0969BCE2">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黑体" w:hAnsi="黑体" w:eastAsia="黑体" w:cs="黑体"/>
          <w:b/>
          <w:bCs/>
          <w:sz w:val="28"/>
          <w:szCs w:val="28"/>
          <w:lang w:eastAsia="zh-CN"/>
        </w:rPr>
      </w:pPr>
      <w:r>
        <w:rPr>
          <w:rFonts w:hint="default" w:ascii="黑体" w:hAnsi="黑体" w:eastAsia="黑体" w:cs="黑体"/>
          <w:b/>
          <w:bCs/>
          <w:sz w:val="28"/>
          <w:szCs w:val="28"/>
          <w:lang w:eastAsia="zh-CN"/>
        </w:rPr>
        <w:t>1.组建团队</w:t>
      </w:r>
    </w:p>
    <w:p w14:paraId="1F134988">
      <w:pPr>
        <w:pageBreakBefore w:val="0"/>
        <w:widowControl/>
        <w:kinsoku/>
        <w:wordWrap/>
        <w:overflowPunct/>
        <w:topLinePunct w:val="0"/>
        <w:bidi w:val="0"/>
        <w:adjustRightInd/>
        <w:snapToGrid/>
        <w:spacing w:after="200" w:line="360" w:lineRule="auto"/>
        <w:textAlignment w:val="auto"/>
        <w:rPr>
          <w:rFonts w:hint="default" w:ascii="Calibri" w:hAnsi="Calibri" w:eastAsia="宋体" w:cs="Calibri"/>
          <w:color w:val="111A25"/>
          <w:spacing w:val="-7"/>
          <w:sz w:val="24"/>
          <w:szCs w:val="24"/>
          <w:lang w:eastAsia="zh-CN"/>
        </w:rPr>
      </w:pPr>
      <w:r>
        <w:rPr>
          <w:rFonts w:hint="default" w:ascii="Calibri" w:hAnsi="Calibri" w:eastAsia="宋体" w:cs="Calibri"/>
          <w:color w:val="111A25"/>
          <w:spacing w:val="-7"/>
          <w:sz w:val="24"/>
          <w:szCs w:val="24"/>
          <w:lang w:eastAsia="zh-CN"/>
        </w:rPr>
        <w:t>组建一支多元化团队，该团队应具备技术、风险管理、伦理、法律法规遵从性或特定数据或应用领域的专业知识。理想的团队组成取决于项目的具体要求，可能包括以下利益相关者的组合：</w:t>
      </w:r>
    </w:p>
    <w:p w14:paraId="41F8A5F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商业专家</w:t>
      </w:r>
    </w:p>
    <w:p w14:paraId="7B030FF3">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领域专家：</w:t>
      </w:r>
      <w:r>
        <w:rPr>
          <w:rFonts w:hint="default" w:ascii="Calibri" w:hAnsi="Calibri" w:eastAsia="宋体" w:cs="Calibri"/>
          <w:b w:val="0"/>
          <w:bCs/>
          <w:color w:val="1F1F1F"/>
          <w:sz w:val="24"/>
          <w:szCs w:val="24"/>
          <w:lang w:eastAsia="zh-CN"/>
        </w:rPr>
        <w:t>对特定应用领域有深入理解的个人（例如医疗保健、金融）可以为探索与实际用例相关的场景提供有价值的背景。</w:t>
      </w:r>
    </w:p>
    <w:p w14:paraId="58853DCF">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最终用户：</w:t>
      </w:r>
      <w:r>
        <w:rPr>
          <w:rFonts w:hint="default" w:ascii="Calibri" w:hAnsi="Calibri" w:eastAsia="宋体" w:cs="Calibri"/>
          <w:b w:val="0"/>
          <w:bCs/>
          <w:color w:val="1F1F1F"/>
          <w:sz w:val="24"/>
          <w:szCs w:val="24"/>
          <w:lang w:eastAsia="zh-CN"/>
        </w:rPr>
        <w:t>包括目标用户群的代表，可以提供对潜在的用户交互见解，以及模型可能如何被无意中滥用。</w:t>
      </w:r>
    </w:p>
    <w:p w14:paraId="0AA1105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风险专家</w:t>
      </w:r>
    </w:p>
    <w:p w14:paraId="5FFD4AF3">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安全专家：</w:t>
      </w:r>
      <w:r>
        <w:rPr>
          <w:rFonts w:hint="default" w:ascii="Calibri" w:hAnsi="Calibri" w:eastAsia="宋体" w:cs="Calibri"/>
          <w:b w:val="0"/>
          <w:bCs/>
          <w:color w:val="1F1F1F"/>
          <w:sz w:val="24"/>
          <w:szCs w:val="24"/>
          <w:lang w:eastAsia="zh-CN"/>
        </w:rPr>
        <w:t>具有威胁建模经验并可以量化模型漏洞的影响和可能性经验的个人有助于风险讨论</w:t>
      </w:r>
      <w:r>
        <w:rPr>
          <w:rFonts w:hint="eastAsia" w:ascii="Calibri" w:hAnsi="Calibri" w:eastAsia="宋体" w:cs="Calibri"/>
          <w:b w:val="0"/>
          <w:bCs/>
          <w:color w:val="1F1F1F"/>
          <w:sz w:val="24"/>
          <w:szCs w:val="24"/>
          <w:lang w:eastAsia="zh-CN"/>
        </w:rPr>
        <w:t>。</w:t>
      </w:r>
    </w:p>
    <w:p w14:paraId="13312898">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隐私和法律顾问：</w:t>
      </w:r>
      <w:r>
        <w:rPr>
          <w:rFonts w:hint="default" w:ascii="Calibri" w:hAnsi="Calibri" w:eastAsia="宋体" w:cs="Calibri"/>
          <w:b w:val="0"/>
          <w:bCs/>
          <w:color w:val="1F1F1F"/>
          <w:sz w:val="24"/>
          <w:szCs w:val="24"/>
          <w:lang w:eastAsia="zh-CN"/>
        </w:rPr>
        <w:t>了解组织和所用数据的特定法律背景的专业人士，以及隐私和信息治理人员，可以就模型处理个人数据的隐私考虑提供咨询。</w:t>
      </w:r>
    </w:p>
    <w:p w14:paraId="6E0546D1">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风险管理专家：</w:t>
      </w:r>
      <w:r>
        <w:rPr>
          <w:rFonts w:hint="default" w:ascii="Calibri" w:hAnsi="Calibri" w:eastAsia="宋体" w:cs="Calibri"/>
          <w:b w:val="0"/>
          <w:bCs/>
          <w:color w:val="1F1F1F"/>
          <w:sz w:val="24"/>
          <w:szCs w:val="24"/>
          <w:lang w:eastAsia="zh-CN"/>
        </w:rPr>
        <w:t>他们拥有识别和缓解风险的经验，确保场景规划的方法结构化且全面。</w:t>
      </w:r>
    </w:p>
    <w:p w14:paraId="5B7AC0E0">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伦理顾问：</w:t>
      </w:r>
      <w:r>
        <w:rPr>
          <w:rFonts w:hint="default" w:ascii="Calibri" w:hAnsi="Calibri" w:eastAsia="宋体" w:cs="Calibri"/>
          <w:b w:val="0"/>
          <w:bCs/>
          <w:color w:val="1F1F1F"/>
          <w:sz w:val="24"/>
          <w:szCs w:val="24"/>
          <w:lang w:eastAsia="zh-CN"/>
        </w:rPr>
        <w:t>他们在道德方面的专业知识有助于探索潜在的社会影响并确保负责任的模型开发。</w:t>
      </w:r>
    </w:p>
    <w:p w14:paraId="0F46427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人工智能专家</w:t>
      </w:r>
    </w:p>
    <w:p w14:paraId="156FC690">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b w:val="0"/>
          <w:bCs/>
          <w:color w:val="1F1F1F"/>
          <w:sz w:val="24"/>
          <w:szCs w:val="24"/>
          <w:lang w:eastAsia="zh-CN"/>
        </w:rPr>
      </w:pPr>
      <w:r>
        <w:rPr>
          <w:rFonts w:hint="default" w:ascii="Calibri" w:hAnsi="Calibri" w:eastAsia="宋体" w:cs="Calibri"/>
          <w:b/>
          <w:color w:val="1F1F1F"/>
          <w:sz w:val="24"/>
          <w:szCs w:val="24"/>
          <w:lang w:eastAsia="zh-CN"/>
        </w:rPr>
        <w:t>模型开发人员：</w:t>
      </w:r>
      <w:r>
        <w:rPr>
          <w:rFonts w:hint="default" w:ascii="Calibri" w:hAnsi="Calibri" w:eastAsia="宋体" w:cs="Calibri"/>
          <w:b w:val="0"/>
          <w:bCs/>
          <w:color w:val="1F1F1F"/>
          <w:sz w:val="24"/>
          <w:szCs w:val="24"/>
          <w:lang w:eastAsia="zh-CN"/>
        </w:rPr>
        <w:t>他们在模型架构和功能方面的专业知识为系统的功能和潜在漏洞提供了宝贵的见解。</w:t>
      </w:r>
    </w:p>
    <w:p w14:paraId="250D2A89">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b/>
          <w:color w:val="1F1F1F"/>
          <w:sz w:val="24"/>
          <w:szCs w:val="24"/>
          <w:lang w:eastAsia="zh-CN"/>
        </w:rPr>
        <w:t>数据科学家：</w:t>
      </w:r>
      <w:r>
        <w:rPr>
          <w:rFonts w:hint="default" w:ascii="Calibri" w:hAnsi="Calibri" w:eastAsia="宋体" w:cs="Calibri"/>
          <w:b w:val="0"/>
          <w:bCs/>
          <w:color w:val="1F1F1F"/>
          <w:sz w:val="24"/>
          <w:szCs w:val="24"/>
          <w:lang w:eastAsia="zh-CN"/>
        </w:rPr>
        <w:t>他们对模型训练数据和潜在偏见的了解有助于识别和评估公平性和代表性风险。他们对模型架构的了解明确了管理特定风险的可行性。</w:t>
      </w:r>
    </w:p>
    <w:p w14:paraId="0B4B1FAA">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通过汇集这些不同的观点，场景规划团队可以更好的理解人工智能模型，并识别更广泛的潜在风险。这种协作方法类似于产品红队测试，利用不同的专业知识和视角对想法进行压力测试并识别潜在的漏洞。这种方法还允许使用蓝队能力，例如降低风险的方法。这种方法的有效性依赖于组建一支具有必要实力的团队，以促进有效的想法和风险评估。</w:t>
      </w:r>
    </w:p>
    <w:p w14:paraId="181BB87D">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2. 定义范围和目标</w:t>
      </w:r>
    </w:p>
    <w:p w14:paraId="4D9D37B9">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sz w:val="24"/>
          <w:szCs w:val="24"/>
          <w:lang w:eastAsia="zh-CN"/>
        </w:rPr>
        <w:t>下一步是明确定义场景规划练习的范围和目标。这包括指定要探索的AI系统和风险。建立明确的目标（例如识别潜在偏见、安全漏洞或社会影响）有助于指导团队的重点并确保场景规划会议富有成效。</w:t>
      </w:r>
    </w:p>
    <w:p w14:paraId="07D1C93F">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3. 确定要深入研究的场景的优先顺序</w:t>
      </w:r>
    </w:p>
    <w:p w14:paraId="35550095">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sz w:val="24"/>
          <w:szCs w:val="24"/>
          <w:lang w:eastAsia="zh-CN"/>
        </w:rPr>
        <w:t>虽然一个能提供多种观点的团队对于提出全面的潜在场景很有帮助，但它很容易提出一个完全不可行的清单。这通常需要仔细确定优先次序。团队应该选择他们的优先次序方法，例如一些“T恤”尺寸定义“回报”（例如，潜在风险影响与降低）和“投资”（例如，场景规划和实施可能需要的努力)的ROI比较。更重要的是，团队以一种让领导层对哪些不会详细规划场景的风险感到舒适的优先级进行排序。</w:t>
      </w:r>
    </w:p>
    <w:p w14:paraId="4E986975">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4.收集信息</w:t>
      </w:r>
    </w:p>
    <w:p w14:paraId="0AE1C101">
      <w:pPr>
        <w:pStyle w:val="50"/>
        <w:pageBreakBefore w:val="0"/>
        <w:kinsoku/>
        <w:wordWrap/>
        <w:overflowPunct/>
        <w:topLinePunct w:val="0"/>
        <w:bidi w:val="0"/>
        <w:adjustRightInd/>
        <w:snapToGrid/>
        <w:spacing w:after="200" w:line="360" w:lineRule="auto"/>
        <w:ind w:firstLine="480"/>
        <w:textAlignment w:val="auto"/>
        <w:rPr>
          <w:rFonts w:hint="default" w:ascii="黑体" w:hAnsi="黑体" w:eastAsia="黑体" w:cs="黑体"/>
          <w:b/>
          <w:bCs/>
          <w:sz w:val="28"/>
          <w:szCs w:val="28"/>
          <w:lang w:eastAsia="zh-CN"/>
        </w:rPr>
      </w:pPr>
      <w:r>
        <w:rPr>
          <w:rFonts w:hint="default" w:ascii="Calibri" w:hAnsi="Calibri" w:eastAsia="宋体" w:cs="Calibri"/>
          <w:sz w:val="24"/>
          <w:szCs w:val="24"/>
          <w:lang w:eastAsia="zh-CN"/>
        </w:rPr>
        <w:t>团队应收集相关信息，以全面了解 AI 模型和潜在风险。模型卡、数据手册和风险卡提供了有关 ML 模型的功能、局限性和潜在风险的宝贵见解。这些文档详细说明了训练数据、模型的架构以及任何已知漏洞。此外，研究涉及该模型的相关安全事件或滥用案例有助于团队预测潜在的现实威胁。收集的信息应该足够详细，以便规划情景，但仅此而已。</w:t>
      </w:r>
    </w:p>
    <w:p w14:paraId="0EA2D292">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5. 开发情景</w:t>
      </w:r>
    </w:p>
    <w:p w14:paraId="799D4DBD">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sz w:val="24"/>
          <w:szCs w:val="24"/>
          <w:lang w:eastAsia="zh-CN"/>
        </w:rPr>
        <w:t>场景规划的核心在于创造性地生成各种假设情况。鼓励团队跳出思维定势，探索积极和消极的场景。诸如“如果会怎样”问题可以激发创造性思维，并创建更广泛的场景。例如，团队可能会探索在客户服务中使用的大型语言模型 (LLM) 如何操纵以生成有偏见的响应，或者金融环境中的出现故障的模型如何导致不准确的投资建议。</w:t>
      </w:r>
    </w:p>
    <w:p w14:paraId="2A27CC85">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6. 评估情景</w:t>
      </w:r>
    </w:p>
    <w:p w14:paraId="00955A95">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一旦场景景被开发出来，团队需要系统地分析每一个场景。这包括考虑场景发生的可能性以及如果场景确实发生，可能产生的后果。应评估场景对包括用户、社会和组织在内各利益相关者的影响。考虑每个场景可能如何影响模型的准确性、可靠性、公平性和安全性。例如，探索大型语言模型 (LLM) 传播错误信息的场景需要考虑潜在社会危害和对组织声誉损害。</w:t>
      </w:r>
    </w:p>
    <w:p w14:paraId="0627BD4F">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您甚至可以使用语言模型来模拟这些场景。观察其输出并识别潜在风险，例如生成歧视性文本、传播错误信息或生成有害内容。</w:t>
      </w:r>
    </w:p>
    <w:p w14:paraId="4527E32D">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sz w:val="24"/>
          <w:szCs w:val="24"/>
          <w:lang w:eastAsia="zh-CN"/>
        </w:rPr>
        <w:t>此步骤最容易出现范围蔓延 （即工作量超出最初预算），因此谨慎、严谨的项目管理非常重要。时间控制过紧也是一种风险。理想情况下，通过对场景进行良好的前期优先排序，可以更容易地管理评估深度与关键情景覆盖范围之间的权衡。</w:t>
      </w:r>
    </w:p>
    <w:p w14:paraId="7628F06B">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7. 制定缓解策略</w:t>
      </w:r>
    </w:p>
    <w:p w14:paraId="72CE6E00">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根据场景分析，制定策略以减轻风险或适应未来的挑战。</w:t>
      </w:r>
    </w:p>
    <w:p w14:paraId="4F07D089">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制定应急计划和应对策略，以应对可能对组织造成重大风险或威胁的情况。这些策略涉及技术控制，例如实施防止操纵的保护措施，非技术措施，例如对负责任的模型交互进行用户培训，或增强 AI 治理流程的透明度和问责制。此外，可以对模型开发过程进行调整，例如采用不同的训练数据集，以解决潜在的偏见。</w:t>
      </w:r>
    </w:p>
    <w:p w14:paraId="79D7E8FD">
      <w:pPr>
        <w:pageBreakBefore w:val="0"/>
        <w:widowControl/>
        <w:kinsoku/>
        <w:wordWrap/>
        <w:overflowPunct/>
        <w:topLinePunct w:val="0"/>
        <w:bidi w:val="0"/>
        <w:adjustRightInd/>
        <w:snapToGrid/>
        <w:spacing w:after="200" w:line="360" w:lineRule="auto"/>
        <w:textAlignment w:val="auto"/>
        <w:rPr>
          <w:rFonts w:hint="default" w:ascii="Calibri" w:hAnsi="Calibri" w:eastAsia="宋体" w:cs="Calibri"/>
          <w:color w:val="111A25"/>
          <w:spacing w:val="-7"/>
          <w:sz w:val="24"/>
          <w:szCs w:val="24"/>
          <w:lang w:eastAsia="zh-CN"/>
        </w:rPr>
      </w:pPr>
    </w:p>
    <w:p w14:paraId="3383DB02">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8. 优先实施缓解策略</w:t>
      </w:r>
    </w:p>
    <w:p w14:paraId="115EDD63">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24"/>
          <w:szCs w:val="24"/>
          <w:lang w:eastAsia="zh-CN"/>
        </w:rPr>
      </w:pPr>
      <w:r>
        <w:rPr>
          <w:rFonts w:hint="default" w:ascii="Calibri" w:hAnsi="Calibri" w:eastAsia="宋体" w:cs="Calibri"/>
          <w:sz w:val="24"/>
          <w:szCs w:val="24"/>
          <w:lang w:eastAsia="zh-CN"/>
        </w:rPr>
        <w:t>虽然一个能提供多种观点的团队对于提出有影响力的缓解策略很有帮助，但组织可能没有足够的资源来始终如一地实施所有策略。因此，仔细确定要实施的策略的优先顺序将增加关键风险实际降低的可能性。团队应该选择他们的优先排序方法，只要这能让领导团队相信所有关键风险都得到了缓解，并且优先排序后的策略确实与概率较低和影响较小的风险相关。</w:t>
      </w:r>
    </w:p>
    <w:p w14:paraId="1BDF364B">
      <w:pPr>
        <w:pStyle w:val="3"/>
        <w:keepNext/>
        <w:keepLines/>
        <w:pageBreakBefore w:val="0"/>
        <w:widowControl w:val="0"/>
        <w:numPr>
          <w:ilvl w:val="0"/>
          <w:numId w:val="0"/>
        </w:numPr>
        <w:kinsoku/>
        <w:wordWrap/>
        <w:overflowPunct/>
        <w:topLinePunct w:val="0"/>
        <w:autoSpaceDE w:val="0"/>
        <w:autoSpaceDN w:val="0"/>
        <w:bidi w:val="0"/>
        <w:adjustRightInd/>
        <w:snapToGrid/>
        <w:spacing w:before="200" w:after="200" w:line="360" w:lineRule="auto"/>
        <w:ind w:firstLine="420" w:firstLineChars="0"/>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sz w:val="28"/>
          <w:szCs w:val="28"/>
          <w:lang w:eastAsia="zh-CN"/>
        </w:rPr>
        <w:t>9.记录和沟通</w:t>
      </w:r>
    </w:p>
    <w:p w14:paraId="77B11FD7">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color w:val="111A25"/>
          <w:spacing w:val="-7"/>
          <w:sz w:val="30"/>
          <w:szCs w:val="30"/>
          <w:lang w:eastAsia="zh-CN"/>
        </w:rPr>
      </w:pPr>
      <w:r>
        <w:rPr>
          <w:rFonts w:hint="default" w:ascii="Calibri" w:hAnsi="Calibri" w:eastAsia="宋体" w:cs="Calibri"/>
          <w:sz w:val="24"/>
          <w:szCs w:val="24"/>
          <w:lang w:eastAsia="zh-CN"/>
        </w:rPr>
        <w:t>最后一步是记录场景规划实践的结果。这应包括一份全面的报告，概述所探索的场景、已识别的风险、拟议的缓解策略以及建议实施的优先顺序。与管理层、开发人员和潜在用户等相关利益相关者分享此报告，可以提高对潜在风险的认识，并指导整个模型生命周期的决策。有效的沟通可以促进透明度，并建立对负责任地开发和部署 AI 模型的信任。</w:t>
      </w:r>
    </w:p>
    <w:p w14:paraId="10880EEA">
      <w:pPr>
        <w:pageBreakBefore w:val="0"/>
        <w:widowControl/>
        <w:kinsoku/>
        <w:wordWrap/>
        <w:overflowPunct/>
        <w:topLinePunct w:val="0"/>
        <w:bidi w:val="0"/>
        <w:adjustRightInd/>
        <w:snapToGrid/>
        <w:spacing w:after="200" w:line="360" w:lineRule="auto"/>
        <w:textAlignment w:val="auto"/>
        <w:rPr>
          <w:rFonts w:hint="eastAsia" w:ascii="黑体" w:hAnsi="黑体" w:eastAsia="黑体" w:cs="黑体"/>
          <w:b/>
          <w:bCs/>
          <w:color w:val="111A25"/>
          <w:spacing w:val="-7"/>
          <w:sz w:val="30"/>
          <w:szCs w:val="30"/>
          <w:lang w:eastAsia="zh-CN"/>
        </w:rPr>
      </w:pPr>
      <w:r>
        <w:rPr>
          <w:rFonts w:hint="eastAsia" w:ascii="黑体" w:hAnsi="黑体" w:eastAsia="黑体" w:cs="黑体"/>
          <w:b/>
          <w:bCs/>
          <w:color w:val="111A25"/>
          <w:spacing w:val="-7"/>
          <w:sz w:val="30"/>
          <w:szCs w:val="30"/>
          <w:lang w:eastAsia="zh-CN"/>
        </w:rPr>
        <w:t>场景规划的好处</w:t>
      </w:r>
    </w:p>
    <w:p w14:paraId="4EB0DD8E">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主动识别和缓解风险：</w:t>
      </w:r>
      <w:r>
        <w:rPr>
          <w:rFonts w:hint="default" w:ascii="Calibri" w:hAnsi="Calibri" w:eastAsia="宋体" w:cs="Calibri"/>
          <w:b w:val="0"/>
          <w:bCs w:val="0"/>
          <w:sz w:val="24"/>
          <w:szCs w:val="24"/>
          <w:lang w:eastAsia="zh-CN"/>
        </w:rPr>
        <w:t>场景规划有助于在潜在风险成为现实之前识别它们，从而能够及时采取缓解措施。</w:t>
      </w:r>
    </w:p>
    <w:p w14:paraId="7230736A">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改进决策：</w:t>
      </w:r>
      <w:r>
        <w:rPr>
          <w:rFonts w:hint="default" w:ascii="Calibri" w:hAnsi="Calibri" w:eastAsia="宋体" w:cs="Calibri"/>
          <w:b w:val="0"/>
          <w:bCs w:val="0"/>
          <w:sz w:val="24"/>
          <w:szCs w:val="24"/>
          <w:lang w:eastAsia="zh-CN"/>
        </w:rPr>
        <w:t>通过探索各种情况，利益相关者可以更全面地了解模型行为，从而做出更明智的决策。</w:t>
      </w:r>
    </w:p>
    <w:p w14:paraId="47C899C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提高透明度和信任度：</w:t>
      </w:r>
      <w:r>
        <w:rPr>
          <w:rFonts w:hint="default" w:ascii="Calibri" w:hAnsi="Calibri" w:eastAsia="宋体" w:cs="Calibri"/>
          <w:b w:val="0"/>
          <w:bCs w:val="0"/>
          <w:sz w:val="24"/>
          <w:szCs w:val="24"/>
          <w:lang w:eastAsia="zh-CN"/>
        </w:rPr>
        <w:t>场景规划促进关于潜在风险公开沟通、促进透明度和建立利益相关者的信任。</w:t>
      </w:r>
    </w:p>
    <w:p w14:paraId="43E6CFCD">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color w:val="111A25"/>
          <w:spacing w:val="-7"/>
          <w:sz w:val="24"/>
          <w:szCs w:val="24"/>
          <w:lang w:eastAsia="zh-CN"/>
        </w:rPr>
      </w:pPr>
      <w:r>
        <w:rPr>
          <w:rFonts w:hint="default" w:ascii="Calibri" w:hAnsi="Calibri" w:eastAsia="宋体" w:cs="Calibri"/>
          <w:b/>
          <w:bCs/>
          <w:sz w:val="24"/>
          <w:szCs w:val="24"/>
          <w:lang w:eastAsia="zh-CN"/>
        </w:rPr>
        <w:t>可持续模型开发：</w:t>
      </w:r>
      <w:r>
        <w:rPr>
          <w:rFonts w:hint="default" w:ascii="Calibri" w:hAnsi="Calibri" w:eastAsia="宋体" w:cs="Calibri"/>
          <w:b w:val="0"/>
          <w:bCs w:val="0"/>
          <w:sz w:val="24"/>
          <w:szCs w:val="24"/>
          <w:lang w:eastAsia="zh-CN"/>
        </w:rPr>
        <w:t>通过在不同条件下测试模型，场景规划有助于发现弱点并指导改进，使其更加健壮可靠。这有利于持续负责任地开发和部署 AI 模型。</w:t>
      </w:r>
    </w:p>
    <w:p w14:paraId="1BFA44D6">
      <w:pPr>
        <w:pageBreakBefore w:val="0"/>
        <w:widowControl/>
        <w:kinsoku/>
        <w:wordWrap/>
        <w:overflowPunct/>
        <w:topLinePunct w:val="0"/>
        <w:bidi w:val="0"/>
        <w:adjustRightInd/>
        <w:snapToGrid/>
        <w:spacing w:after="200" w:line="360" w:lineRule="auto"/>
        <w:textAlignment w:val="auto"/>
        <w:rPr>
          <w:rFonts w:hint="default" w:ascii="Calibri" w:hAnsi="Calibri" w:eastAsia="宋体" w:cs="Calibri"/>
          <w:color w:val="111A25"/>
          <w:spacing w:val="-7"/>
          <w:sz w:val="24"/>
          <w:szCs w:val="24"/>
          <w:lang w:eastAsia="zh-CN"/>
        </w:rPr>
      </w:pPr>
      <w:r>
        <w:rPr>
          <w:rFonts w:hint="default" w:ascii="黑体" w:hAnsi="黑体" w:eastAsia="黑体" w:cs="黑体"/>
          <w:b/>
          <w:bCs/>
          <w:color w:val="111A25"/>
          <w:spacing w:val="-7"/>
          <w:sz w:val="30"/>
          <w:szCs w:val="30"/>
          <w:lang w:eastAsia="zh-CN"/>
        </w:rPr>
        <w:t>场景规划的局限性</w:t>
      </w:r>
    </w:p>
    <w:p w14:paraId="1AFEC05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预见性有限：</w:t>
      </w:r>
      <w:r>
        <w:rPr>
          <w:rFonts w:hint="default" w:ascii="Calibri" w:hAnsi="Calibri" w:eastAsia="宋体" w:cs="Calibri"/>
          <w:b w:val="0"/>
          <w:bCs w:val="0"/>
          <w:sz w:val="24"/>
          <w:szCs w:val="24"/>
          <w:lang w:eastAsia="zh-CN"/>
        </w:rPr>
        <w:t>人工智能系统的复杂性和现实世界情况的多样性使得预测所有潜在的陷阱变得具有挑战性。人工智能系统与现实世界交互时可能出现的行为很难预测和提前规划。环境微小变化或输入可能会导致意想不到的人工智能行为。持续监控以及在人工智能系统偏离轨道时进行干预或关闭的能力对于缓解风险非常重要。</w:t>
      </w:r>
    </w:p>
    <w:p w14:paraId="4E55BC9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人为偏见：</w:t>
      </w:r>
      <w:r>
        <w:rPr>
          <w:rFonts w:hint="default" w:ascii="Calibri" w:hAnsi="Calibri" w:eastAsia="宋体" w:cs="Calibri"/>
          <w:b w:val="0"/>
          <w:bCs w:val="0"/>
          <w:sz w:val="24"/>
          <w:szCs w:val="24"/>
          <w:lang w:eastAsia="zh-CN"/>
        </w:rPr>
        <w:t>规划人员的想象力和偏见限制了所设想的场景。由于规划团队的盲点或无意识偏见，不可预见的风险可能会被忽略。让具有不同背景和专业知识的多元化人员参与进来，有助于考虑更广泛的情景并减少偏见。</w:t>
      </w:r>
    </w:p>
    <w:p w14:paraId="65368CF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资源密集型：</w:t>
      </w:r>
      <w:r>
        <w:rPr>
          <w:rFonts w:hint="default" w:ascii="Calibri" w:hAnsi="Calibri" w:eastAsia="宋体" w:cs="Calibri"/>
          <w:b w:val="0"/>
          <w:bCs w:val="0"/>
          <w:sz w:val="24"/>
          <w:szCs w:val="24"/>
          <w:lang w:eastAsia="zh-CN"/>
        </w:rPr>
        <w:t>为各种情况制定详细的场景可能即耗时又需要 AI 和特定应用领域的专业知识。资源限制可能会限制场景规划实践的范围和深度。结合机器学习技术分析过去数据和识别人工智能系统中潜在漏洞可以帮助解决这一限制。</w:t>
      </w:r>
    </w:p>
    <w:p w14:paraId="21724FA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bCs/>
          <w:sz w:val="24"/>
          <w:szCs w:val="24"/>
          <w:lang w:eastAsia="zh-CN"/>
        </w:rPr>
      </w:pPr>
      <w:r>
        <w:rPr>
          <w:rFonts w:hint="default" w:ascii="Calibri" w:hAnsi="Calibri" w:eastAsia="宋体" w:cs="Calibri"/>
          <w:b/>
          <w:bCs/>
          <w:sz w:val="24"/>
          <w:szCs w:val="24"/>
          <w:lang w:eastAsia="zh-CN"/>
        </w:rPr>
        <w:t>静态与动态环境：</w:t>
      </w:r>
      <w:r>
        <w:rPr>
          <w:rFonts w:hint="default" w:ascii="Calibri" w:hAnsi="Calibri" w:eastAsia="宋体" w:cs="Calibri"/>
          <w:b w:val="0"/>
          <w:bCs w:val="0"/>
          <w:sz w:val="24"/>
          <w:szCs w:val="24"/>
          <w:lang w:eastAsia="zh-CN"/>
        </w:rPr>
        <w:t>场景通常是潜在情况静态快照。然而，现实世界的环境是动态的，并且不断发展。在计划的场景中，人工智能的行为在遇到意外变化时可能会有所不同。场景规划应该是一个持续的过程。随着人工智能系统的发展和新信息的出现，重新审视和更新场景以反映不断变化的形势。</w:t>
      </w:r>
    </w:p>
    <w:p w14:paraId="050919A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量化风险难度：</w:t>
      </w:r>
      <w:r>
        <w:rPr>
          <w:rFonts w:hint="default" w:ascii="Calibri" w:hAnsi="Calibri" w:eastAsia="宋体" w:cs="Calibri"/>
          <w:b w:val="0"/>
          <w:bCs w:val="0"/>
          <w:sz w:val="24"/>
          <w:szCs w:val="24"/>
          <w:lang w:eastAsia="zh-CN"/>
        </w:rPr>
        <w:t>场景规划发现潜在的人工智能风险，但量化这些风险却很困难，尤其是对于低概率、高影响的事件。虽然准确确定可能性可能很困难，但定性评估对于确定风险优先级和缓解策略很有价值。咨询领域专家可以进一步改善风险评估。</w:t>
      </w:r>
    </w:p>
    <w:p w14:paraId="60E8F38C">
      <w:pPr>
        <w:keepNext w:val="0"/>
        <w:keepLines w:val="0"/>
        <w:pageBreakBefore w:val="0"/>
        <w:widowControl w:val="0"/>
        <w:numPr>
          <w:numId w:val="0"/>
        </w:numPr>
        <w:tabs>
          <w:tab w:val="left" w:pos="819"/>
          <w:tab w:val="left" w:pos="820"/>
        </w:tabs>
        <w:kinsoku/>
        <w:wordWrap/>
        <w:overflowPunct/>
        <w:topLinePunct w:val="0"/>
        <w:autoSpaceDE w:val="0"/>
        <w:autoSpaceDN w:val="0"/>
        <w:bidi w:val="0"/>
        <w:adjustRightInd/>
        <w:snapToGrid/>
        <w:spacing w:after="200" w:line="360" w:lineRule="auto"/>
        <w:ind w:right="0" w:rightChars="0" w:firstLine="482" w:firstLineChars="200"/>
        <w:jc w:val="both"/>
        <w:textAlignment w:val="auto"/>
        <w:rPr>
          <w:rFonts w:hint="default" w:ascii="黑体" w:hAnsi="黑体" w:eastAsia="黑体" w:cs="黑体"/>
          <w:b/>
          <w:bCs/>
          <w:color w:val="111A25"/>
          <w:spacing w:val="-7"/>
          <w:sz w:val="30"/>
          <w:szCs w:val="30"/>
          <w:lang w:eastAsia="zh-CN"/>
        </w:rPr>
      </w:pPr>
      <w:r>
        <w:rPr>
          <w:rFonts w:hint="eastAsia" w:ascii="Calibri" w:hAnsi="Calibri" w:eastAsia="宋体" w:cs="Calibri"/>
          <w:b/>
          <w:bCs/>
          <w:sz w:val="24"/>
          <w:szCs w:val="24"/>
          <w:lang w:val="en-US" w:eastAsia="zh-CN"/>
        </w:rPr>
        <w:tab/>
      </w:r>
      <w:r>
        <w:rPr>
          <w:rFonts w:hint="eastAsia" w:ascii="宋体" w:hAnsi="宋体" w:eastAsia="宋体" w:cs="宋体"/>
          <w:b w:val="0"/>
          <w:bCs w:val="0"/>
          <w:sz w:val="24"/>
          <w:szCs w:val="24"/>
          <w:lang w:eastAsia="zh-CN"/>
        </w:rPr>
        <w:t>场景规划不是预测未来，而是为未来做好准备。通过探索各种可能性，场景规划有助于识别尚未考虑的风险，并为不可预见的后果做好准备。随着人工智能技术的发展，风险格局可能会发生变化。场景规划应持续进行,例如定期由明确、负责的领导者进行,以确保不断适应和缓解新出现的风险。</w:t>
      </w:r>
    </w:p>
    <w:p w14:paraId="63D42BE2">
      <w:pPr>
        <w:pageBreakBefore w:val="0"/>
        <w:widowControl/>
        <w:kinsoku/>
        <w:wordWrap/>
        <w:overflowPunct/>
        <w:topLinePunct w:val="0"/>
        <w:bidi w:val="0"/>
        <w:adjustRightInd/>
        <w:snapToGrid/>
        <w:spacing w:after="200" w:line="360" w:lineRule="auto"/>
        <w:textAlignment w:val="auto"/>
        <w:rPr>
          <w:rFonts w:hint="default" w:ascii="黑体" w:hAnsi="黑体" w:eastAsia="黑体" w:cs="黑体"/>
          <w:b/>
          <w:bCs/>
          <w:color w:val="111A25"/>
          <w:spacing w:val="-7"/>
          <w:sz w:val="30"/>
          <w:szCs w:val="30"/>
          <w:lang w:eastAsia="zh-CN"/>
        </w:rPr>
      </w:pPr>
      <w:r>
        <w:rPr>
          <w:rFonts w:hint="default" w:ascii="黑体" w:hAnsi="黑体" w:eastAsia="黑体" w:cs="黑体"/>
          <w:b/>
          <w:bCs/>
          <w:color w:val="111A25"/>
          <w:spacing w:val="-7"/>
          <w:sz w:val="30"/>
          <w:szCs w:val="30"/>
          <w:lang w:eastAsia="zh-CN"/>
        </w:rPr>
        <w:t>示例模型场景规划实践</w:t>
      </w:r>
    </w:p>
    <w:p w14:paraId="04C7CBCE">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这个场景示例说明了通过模型场景规划主动识别风险的价值。在这里,我们探讨了涉及大语言模型的潜在滥用案例。</w:t>
      </w:r>
    </w:p>
    <w:p w14:paraId="7FE249E4">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场景：</w:t>
      </w:r>
      <w:r>
        <w:rPr>
          <w:rFonts w:hint="default" w:ascii="Calibri" w:hAnsi="Calibri" w:eastAsia="宋体" w:cs="Calibri"/>
          <w:sz w:val="24"/>
          <w:szCs w:val="24"/>
          <w:lang w:eastAsia="zh-CN"/>
        </w:rPr>
        <w:t>用户与大语言模型互动，请求生成一篇关于一个高度敏感的话题的有说服力文章。大语言模型输出结果存在严重缺陷，包括包含冒犯性语言和未经证实的主张。</w:t>
      </w:r>
    </w:p>
    <w:p w14:paraId="2739A88A">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p>
    <w:p w14:paraId="238F2DF6">
      <w:pPr>
        <w:pageBreakBefore w:val="0"/>
        <w:widowControl/>
        <w:kinsoku/>
        <w:wordWrap/>
        <w:overflowPunct/>
        <w:topLinePunct w:val="0"/>
        <w:bidi w:val="0"/>
        <w:adjustRightInd/>
        <w:snapToGrid/>
        <w:spacing w:after="200" w:line="360" w:lineRule="auto"/>
        <w:textAlignment w:val="auto"/>
        <w:rPr>
          <w:rFonts w:hint="default" w:ascii="黑体" w:hAnsi="黑体" w:eastAsia="黑体" w:cs="黑体"/>
          <w:b/>
          <w:bCs/>
          <w:color w:val="111A25"/>
          <w:spacing w:val="-7"/>
          <w:sz w:val="28"/>
          <w:szCs w:val="28"/>
          <w:lang w:eastAsia="zh-CN"/>
        </w:rPr>
      </w:pPr>
      <w:r>
        <w:rPr>
          <w:rFonts w:hint="default" w:ascii="黑体" w:hAnsi="黑体" w:eastAsia="黑体" w:cs="黑体"/>
          <w:b/>
          <w:bCs/>
          <w:color w:val="111A25"/>
          <w:spacing w:val="-7"/>
          <w:sz w:val="28"/>
          <w:szCs w:val="28"/>
          <w:lang w:eastAsia="zh-CN"/>
        </w:rPr>
        <w:t>风险缓解的提示词讨论：</w:t>
      </w:r>
    </w:p>
    <w:p w14:paraId="0DB86C8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检测和标记技术：</w:t>
      </w:r>
      <w:r>
        <w:rPr>
          <w:rFonts w:hint="default" w:ascii="Calibri" w:hAnsi="Calibri" w:eastAsia="宋体" w:cs="Calibri"/>
          <w:b w:val="0"/>
          <w:bCs w:val="0"/>
          <w:sz w:val="24"/>
          <w:szCs w:val="24"/>
          <w:lang w:eastAsia="zh-CN"/>
        </w:rPr>
        <w:t>可以实施哪些机制来识别和标记表现出潜在偏见、冒犯性语言或事实不准确的输出？这可能涉及利用情绪分析、事实验证工具和预训练分类器等技术来识别敏感主题。</w:t>
      </w:r>
    </w:p>
    <w:p w14:paraId="67EEEC7C">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安全措施实施：</w:t>
      </w:r>
      <w:r>
        <w:rPr>
          <w:rFonts w:hint="default" w:ascii="Calibri" w:hAnsi="Calibri" w:eastAsia="宋体" w:cs="Calibri"/>
          <w:b w:val="0"/>
          <w:bCs w:val="0"/>
          <w:sz w:val="24"/>
          <w:szCs w:val="24"/>
          <w:lang w:eastAsia="zh-CN"/>
        </w:rPr>
        <w:t>可以制定哪些预防措施来尽量减少此类情况发生的可能性？这可能涉及在 LLM 的功能范围内纳入主题限制、实施引导负责任使用的用户提示词，或使用预处理和后处理过滤器来优化生成的内容。用户身份验证也可以在提示词负责任使用中发挥作用。要求用户创建账户并验证其身份可以建立问责制，并允许封禁滥用系统的不良行为者。</w:t>
      </w:r>
    </w:p>
    <w:p w14:paraId="376CE257">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主题限制的风险‑收益分析：</w:t>
      </w:r>
      <w:r>
        <w:rPr>
          <w:rFonts w:hint="default" w:ascii="Calibri" w:hAnsi="Calibri" w:eastAsia="宋体" w:cs="Calibri"/>
          <w:b w:val="0"/>
          <w:bCs w:val="0"/>
          <w:sz w:val="24"/>
          <w:szCs w:val="24"/>
          <w:lang w:eastAsia="zh-CN"/>
        </w:rPr>
        <w:t>是否应完全限制 LLM 生成有关某些敏感主题的内容？这种方法需要仔细考虑，在潜在危害与模型细节且有信息量地解决复杂问题的能力之间取得平衡。</w:t>
      </w:r>
    </w:p>
    <w:p w14:paraId="4C89BE6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b w:val="0"/>
          <w:bCs w:val="0"/>
          <w:sz w:val="24"/>
          <w:szCs w:val="24"/>
          <w:lang w:eastAsia="zh-CN"/>
        </w:rPr>
      </w:pPr>
      <w:r>
        <w:rPr>
          <w:rFonts w:hint="default" w:ascii="Calibri" w:hAnsi="Calibri" w:eastAsia="宋体" w:cs="Calibri"/>
          <w:b/>
          <w:bCs/>
          <w:sz w:val="24"/>
          <w:szCs w:val="24"/>
          <w:lang w:eastAsia="zh-CN"/>
        </w:rPr>
        <w:t>持续监控和改进：</w:t>
      </w:r>
      <w:r>
        <w:rPr>
          <w:rFonts w:hint="default" w:ascii="Calibri" w:hAnsi="Calibri" w:eastAsia="宋体" w:cs="Calibri"/>
          <w:b w:val="0"/>
          <w:bCs w:val="0"/>
          <w:sz w:val="24"/>
          <w:szCs w:val="24"/>
          <w:lang w:eastAsia="zh-CN"/>
        </w:rPr>
        <w:t>需要哪些监控和反馈机制来识别使用此 LLM 的风险和意外后果？如何有效将这些见解反馈到模型迭代改进中？这可以从简单（例如，您的 LLM 实施的基础提示）到涉及整个堆栈（数据、模型、应用程序）的开发实践中。</w:t>
      </w:r>
    </w:p>
    <w:p w14:paraId="1870163D">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default" w:ascii="Calibri" w:hAnsi="Calibri" w:eastAsia="宋体" w:cs="Calibri"/>
          <w:sz w:val="24"/>
          <w:szCs w:val="24"/>
          <w:lang w:eastAsia="zh-CN"/>
        </w:rPr>
      </w:pPr>
      <w:r>
        <w:rPr>
          <w:rFonts w:hint="default" w:ascii="Calibri" w:hAnsi="Calibri" w:eastAsia="宋体" w:cs="Calibri"/>
          <w:b/>
          <w:bCs/>
          <w:sz w:val="24"/>
          <w:szCs w:val="24"/>
          <w:lang w:eastAsia="zh-CN"/>
        </w:rPr>
        <w:t>治理框架和标准：</w:t>
      </w:r>
      <w:r>
        <w:rPr>
          <w:rFonts w:hint="default" w:ascii="Calibri" w:hAnsi="Calibri" w:eastAsia="宋体" w:cs="Calibri"/>
          <w:b w:val="0"/>
          <w:bCs w:val="0"/>
          <w:sz w:val="24"/>
          <w:szCs w:val="24"/>
          <w:lang w:eastAsia="zh-CN"/>
        </w:rPr>
        <w:t>需要哪些类型的治理框架、最佳实践和标准来指导此LLM的负责任的开发和部署？谁应该参与制定这些准则？您可以从选择一个框架开始，甚至只是当前的 MRM 文档，但在大型组织中，您可能需要一个适合组织结构、业务目标、人员技能等的自定义框架。</w:t>
      </w:r>
    </w:p>
    <w:p w14:paraId="1F11E8AC">
      <w:pPr>
        <w:pageBreakBefore w:val="0"/>
        <w:widowControl/>
        <w:kinsoku/>
        <w:wordWrap/>
        <w:overflowPunct/>
        <w:topLinePunct w:val="0"/>
        <w:bidi w:val="0"/>
        <w:adjustRightInd/>
        <w:snapToGrid/>
        <w:spacing w:after="200" w:line="360" w:lineRule="auto"/>
        <w:textAlignment w:val="auto"/>
        <w:rPr>
          <w:rFonts w:hint="default" w:ascii="黑体" w:hAnsi="黑体" w:eastAsia="黑体" w:cs="黑体"/>
          <w:b/>
          <w:bCs/>
          <w:color w:val="111A25"/>
          <w:spacing w:val="-7"/>
          <w:sz w:val="28"/>
          <w:szCs w:val="28"/>
          <w:lang w:eastAsia="zh-CN"/>
        </w:rPr>
      </w:pPr>
      <w:r>
        <w:rPr>
          <w:rFonts w:hint="default" w:ascii="黑体" w:hAnsi="黑体" w:eastAsia="黑体" w:cs="黑体"/>
          <w:b/>
          <w:bCs/>
          <w:color w:val="111A25"/>
          <w:spacing w:val="-7"/>
          <w:sz w:val="28"/>
          <w:szCs w:val="28"/>
          <w:lang w:eastAsia="zh-CN"/>
        </w:rPr>
        <w:t>风险评估和缓解策略</w:t>
      </w:r>
    </w:p>
    <w:p w14:paraId="5F7E5349">
      <w:pPr>
        <w:pStyle w:val="50"/>
        <w:pageBreakBefore w:val="0"/>
        <w:kinsoku/>
        <w:wordWrap/>
        <w:overflowPunct/>
        <w:topLinePunct w:val="0"/>
        <w:bidi w:val="0"/>
        <w:adjustRightInd/>
        <w:snapToGrid/>
        <w:spacing w:after="200" w:line="360" w:lineRule="auto"/>
        <w:ind w:firstLine="480"/>
        <w:textAlignment w:val="auto"/>
        <w:rPr>
          <w:rFonts w:hint="default" w:ascii="Calibri" w:hAnsi="Calibri" w:eastAsia="宋体" w:cs="Calibri"/>
          <w:sz w:val="24"/>
          <w:szCs w:val="24"/>
          <w:lang w:eastAsia="zh-CN"/>
        </w:rPr>
      </w:pPr>
      <w:r>
        <w:rPr>
          <w:rFonts w:hint="default" w:ascii="Calibri" w:hAnsi="Calibri" w:eastAsia="宋体" w:cs="Calibri"/>
          <w:sz w:val="24"/>
          <w:szCs w:val="24"/>
          <w:lang w:eastAsia="zh-CN"/>
        </w:rPr>
        <w:t>经过讨论后，可以根据每个已识别风险的发生可能性和潜在严重程度对其进行正式评估。这种风险矩阵方法有助于确定缓解策略的优先次序，从而针对每个潜在问题做出有针对性且有效的响应。</w:t>
      </w:r>
    </w:p>
    <w:p w14:paraId="0C4DFD80">
      <w:pPr>
        <w:pStyle w:val="2"/>
        <w:keepNext/>
        <w:keepLines/>
        <w:pageBreakBefore w:val="0"/>
        <w:widowControl w:val="0"/>
        <w:kinsoku/>
        <w:wordWrap/>
        <w:overflowPunct/>
        <w:topLinePunct w:val="0"/>
        <w:autoSpaceDE/>
        <w:autoSpaceDN/>
        <w:bidi w:val="0"/>
        <w:adjustRightInd/>
        <w:snapToGrid/>
        <w:spacing w:before="0" w:after="200" w:line="360" w:lineRule="auto"/>
        <w:jc w:val="both"/>
        <w:textAlignment w:val="auto"/>
        <w:rPr>
          <w:rFonts w:hint="eastAsia" w:ascii="黑体" w:hAnsi="黑体" w:cs="黑体"/>
          <w:b/>
          <w:color w:val="auto"/>
          <w:kern w:val="44"/>
          <w:szCs w:val="36"/>
          <w:lang w:eastAsia="zh-CN"/>
        </w:rPr>
      </w:pPr>
      <w:bookmarkStart w:id="54" w:name="_Toc195018723"/>
      <w:r>
        <w:rPr>
          <w:rFonts w:hint="eastAsia" w:ascii="黑体" w:hAnsi="黑体" w:cs="黑体"/>
          <w:b/>
          <w:color w:val="auto"/>
          <w:kern w:val="44"/>
          <w:szCs w:val="36"/>
          <w:lang w:eastAsia="zh-CN"/>
        </w:rPr>
        <w:t>四、总体技术：一种整合方法</w:t>
      </w:r>
      <w:bookmarkEnd w:id="54"/>
    </w:p>
    <w:p w14:paraId="326AFC66">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真正行之有效的方法源于将这些技术整合到一个全面的风险管理框架（RMF）中,来自模型卡中的信息直接用于创建风险卡，允许识别潜在问题,这些已识别的风险随后可指导场景规划训练。这个迭代过程促进了全面的风险评估，并最终制定有效的缓解策略。以下是具体方法：</w:t>
      </w:r>
    </w:p>
    <w:p w14:paraId="4D61933F">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sz w:val="32"/>
          <w:szCs w:val="32"/>
          <w:lang w:eastAsia="zh-CN"/>
        </w:rPr>
      </w:pPr>
      <w:bookmarkStart w:id="55" w:name="_Toc195018724"/>
      <w:r>
        <w:rPr>
          <w:rFonts w:hint="eastAsia" w:ascii="黑体" w:hAnsi="黑体" w:eastAsia="黑体" w:cs="黑体"/>
          <w:b/>
          <w:bCs/>
          <w:sz w:val="32"/>
          <w:szCs w:val="32"/>
          <w:lang w:eastAsia="zh-CN"/>
        </w:rPr>
        <w:t>1.利用模型卡信息创建风险卡</w:t>
      </w:r>
      <w:bookmarkEnd w:id="55"/>
    </w:p>
    <w:p w14:paraId="38024E05">
      <w:pPr>
        <w:pStyle w:val="13"/>
        <w:pageBreakBefore w:val="0"/>
        <w:kinsoku/>
        <w:wordWrap/>
        <w:overflowPunct/>
        <w:topLinePunct w:val="0"/>
        <w:bidi w:val="0"/>
        <w:adjustRightInd/>
        <w:snapToGrid/>
        <w:spacing w:after="200" w:line="360" w:lineRule="auto"/>
        <w:ind w:left="100" w:right="156" w:firstLine="480"/>
        <w:textAlignment w:val="auto"/>
        <w:rPr>
          <w:rFonts w:ascii="宋体" w:hAnsi="宋体" w:eastAsia="宋体"/>
          <w:sz w:val="26"/>
          <w:szCs w:val="20"/>
          <w:lang w:eastAsia="zh-CN"/>
        </w:rPr>
      </w:pPr>
      <w:r>
        <w:rPr>
          <w:rFonts w:hint="eastAsia" w:ascii="宋体" w:hAnsi="宋体" w:cs="宋体"/>
          <w:color w:val="111A25"/>
          <w:szCs w:val="24"/>
          <w:lang w:eastAsia="zh-CN"/>
        </w:rPr>
        <w:t>在AI的模型风险管理（MRM）中，模型卡是模型开发和风险管理之间的关键桥梁。模型卡中记录的信息，如训练数据的成分（包括数据统计分布特征和潜在的偏见），数据获取方法、隐私保护措施、模型架构细节（如决策树与深度学习），以及性能指标（包括准确性和公平性指标，如F1值），为全面风险评估过程提供了必要的输入,从而创建准确反映每个模型优势和劣势的风险卡。通过利用模型卡数据，风险评估更有针对性，并且专注于与模型功能及其部署环境相关的潜在问题。例如，与特定数据类型相关的隐私风险或由于复杂模型架构导致可解释性受限。模型卡为数据科学家和风险管理者提供关键视野，以便于主动识别和缓解与AI模型相关的潜在风险。模型卡还提供了必要的信息，使风险管理者能够评估与模型相关的潜在风险和偏见，反过来又帮助他们确定模型的风险概况是否符合组织的风险承受能力，从而为在AI解决方案中部署模型做出决策。</w:t>
      </w:r>
    </w:p>
    <w:p w14:paraId="4B77F340">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sz w:val="32"/>
          <w:szCs w:val="32"/>
          <w:lang w:eastAsia="zh-CN"/>
        </w:rPr>
      </w:pPr>
      <w:bookmarkStart w:id="56" w:name="_Toc195018725"/>
      <w:bookmarkStart w:id="57" w:name="OLE_LINK2"/>
      <w:bookmarkStart w:id="58" w:name="OLE_LINK1"/>
      <w:r>
        <w:rPr>
          <w:rFonts w:hint="eastAsia" w:ascii="黑体" w:hAnsi="黑体" w:eastAsia="黑体" w:cs="黑体"/>
          <w:b/>
          <w:bCs/>
          <w:sz w:val="32"/>
          <w:szCs w:val="32"/>
          <w:lang w:eastAsia="zh-CN"/>
        </w:rPr>
        <w:t>2.使用数据手册加强模型理解</w:t>
      </w:r>
      <w:bookmarkEnd w:id="56"/>
    </w:p>
    <w:bookmarkEnd w:id="57"/>
    <w:bookmarkEnd w:id="58"/>
    <w:p w14:paraId="53BBCB7F">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数据手册提供了模型内部工作方式的简洁且易于理解的概述，促进对其优势和局限性的深入理解。它使人们对模型本身也有了更深入的理解。通常，它概述了模型的目的、训练的数据类型以及评估其性能的评估指标。有了这些信息，用户可以摆脱AI的“黑箱”特性，深入了解模型是如何得到输出的。这些知识对于确保模型被适当使用以及识别其决策过程中可能存在的潜在偏见至关重要。</w:t>
      </w:r>
    </w:p>
    <w:p w14:paraId="667A9A88">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数据手册使利益相关者能够就部署模型做出明智的决策。通过数据手册理解模型的优势和劣势，用户可以确定其适用于特定任务。例如，如果数据手册显示模型在某些类型的数据上表现不佳，可能需要缩小其用例范围以避免不可靠的输出。</w:t>
      </w:r>
    </w:p>
    <w:p w14:paraId="0887339E">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数据手册为识别潜在风险提供了重要的上下文信息，从而使创建风险卡成为可能。有了关于训练数据的信息，用户可以进行更全面的风险评估，并识别模型可能因训练数据中的偏见或局限性而被误导或误解的潜在场景。</w:t>
      </w:r>
    </w:p>
    <w:p w14:paraId="45D3F091">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bookmarkStart w:id="59" w:name="OLE_LINK4"/>
      <w:bookmarkStart w:id="60" w:name="OLE_LINK3"/>
      <w:r>
        <w:rPr>
          <w:rFonts w:hint="eastAsia" w:ascii="宋体" w:hAnsi="宋体" w:cs="宋体"/>
          <w:color w:val="111A25"/>
          <w:szCs w:val="24"/>
          <w:lang w:eastAsia="zh-CN"/>
        </w:rPr>
        <w:t>因此，数据手册在模型风险管理（MRM）的场景规划训练中变得至关重要。通过概述模型架构、训练数据成分和超参，数据手册使我们能够预见潜在的弱点。这种先见之明使我们能够创建针对性的场景，探索模型在意外情况下可能的反应。</w:t>
      </w:r>
    </w:p>
    <w:bookmarkEnd w:id="59"/>
    <w:bookmarkEnd w:id="60"/>
    <w:p w14:paraId="6EC0BF0B">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sz w:val="32"/>
          <w:szCs w:val="32"/>
          <w:lang w:eastAsia="zh-CN"/>
        </w:rPr>
      </w:pPr>
      <w:bookmarkStart w:id="61" w:name="_Toc195018726"/>
      <w:r>
        <w:rPr>
          <w:rFonts w:hint="eastAsia" w:ascii="黑体" w:hAnsi="黑体" w:eastAsia="黑体" w:cs="黑体"/>
          <w:b/>
          <w:bCs/>
          <w:sz w:val="32"/>
          <w:szCs w:val="32"/>
          <w:lang w:eastAsia="zh-CN"/>
        </w:rPr>
        <w:t>3.使用风险卡指导场景规划</w:t>
      </w:r>
      <w:bookmarkEnd w:id="61"/>
    </w:p>
    <w:p w14:paraId="736DF710">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主动理解和缓解模型风险对于可靠的AI方案至关重要。ML工程师和AI项目经理在开发模型和创建模型卡时，必须优先考虑风险缓解措施，才能确保安全和可信的AI生态系统。</w:t>
      </w:r>
    </w:p>
    <w:p w14:paraId="5CAC1A92">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理解风险形势并指导场景规划。团队应该使用为模型定义的初始风险卡集合进行思维实验，并预测潜在后果。基于这些风险卡，可以通过风险卡定义的输入来激活这些场景。这个过程使得数据手册得到迭代细化，使模型对风险具有一定弹性。</w:t>
      </w:r>
    </w:p>
    <w:p w14:paraId="51843352">
      <w:pPr>
        <w:keepNext/>
        <w:pageBreakBefore w:val="0"/>
        <w:kinsoku/>
        <w:wordWrap/>
        <w:overflowPunct/>
        <w:topLinePunct w:val="0"/>
        <w:bidi w:val="0"/>
        <w:adjustRightInd/>
        <w:snapToGrid/>
        <w:spacing w:after="200" w:line="360" w:lineRule="auto"/>
        <w:ind w:right="156" w:firstLine="420"/>
        <w:textAlignment w:val="auto"/>
        <w:rPr>
          <w:rFonts w:ascii="宋体" w:hAnsi="宋体" w:eastAsia="宋体"/>
        </w:rPr>
      </w:pPr>
      <w:r>
        <w:rPr>
          <w:rFonts w:ascii="宋体" w:hAnsi="宋体" w:eastAsia="宋体"/>
        </w:rPr>
        <w:drawing>
          <wp:inline distT="0" distB="0" distL="114300" distR="114300">
            <wp:extent cx="5872480" cy="1771650"/>
            <wp:effectExtent l="0" t="0" r="0" b="0"/>
            <wp:docPr id="2" name="图片 1" descr="使用风险卡指导场景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使用风险卡指导场景规划"/>
                    <pic:cNvPicPr>
                      <a:picLocks noChangeAspect="1"/>
                    </pic:cNvPicPr>
                  </pic:nvPicPr>
                  <pic:blipFill>
                    <a:blip r:embed="rId13"/>
                    <a:srcRect t="18426" b="21092"/>
                    <a:stretch>
                      <a:fillRect/>
                    </a:stretch>
                  </pic:blipFill>
                  <pic:spPr>
                    <a:xfrm>
                      <a:off x="0" y="0"/>
                      <a:ext cx="5872480" cy="1771650"/>
                    </a:xfrm>
                    <a:prstGeom prst="rect">
                      <a:avLst/>
                    </a:prstGeom>
                    <a:noFill/>
                    <a:ln>
                      <a:noFill/>
                    </a:ln>
                  </pic:spPr>
                </pic:pic>
              </a:graphicData>
            </a:graphic>
          </wp:inline>
        </w:drawing>
      </w:r>
    </w:p>
    <w:p w14:paraId="57B1BA49">
      <w:pPr>
        <w:pStyle w:val="11"/>
        <w:pageBreakBefore w:val="0"/>
        <w:kinsoku/>
        <w:wordWrap/>
        <w:overflowPunct/>
        <w:topLinePunct w:val="0"/>
        <w:bidi w:val="0"/>
        <w:adjustRightInd/>
        <w:snapToGrid/>
        <w:spacing w:after="200" w:line="360" w:lineRule="auto"/>
        <w:jc w:val="center"/>
        <w:textAlignment w:val="auto"/>
        <w:rPr>
          <w:rFonts w:hint="eastAsia" w:ascii="宋体" w:hAnsi="宋体" w:eastAsia="宋体" w:cs="宋体"/>
          <w:color w:val="A6A6A6" w:themeColor="background1" w:themeShade="A6"/>
          <w:sz w:val="24"/>
          <w:szCs w:val="24"/>
          <w:lang w:val="en-US" w:eastAsia="zh-CN" w:bidi="ar-SA"/>
        </w:rPr>
      </w:pPr>
      <w:r>
        <w:rPr>
          <w:rFonts w:hint="eastAsia" w:ascii="宋体" w:hAnsi="宋体" w:eastAsia="宋体" w:cs="宋体"/>
          <w:color w:val="A6A6A6" w:themeColor="background1" w:themeShade="A6"/>
          <w:sz w:val="24"/>
          <w:szCs w:val="24"/>
          <w:lang w:val="en-US" w:eastAsia="zh-CN" w:bidi="ar-SA"/>
        </w:rPr>
        <w:t>图 2. 使用风险卡指导场景规划</w:t>
      </w:r>
    </w:p>
    <w:p w14:paraId="58447921">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通过模拟场景，我们可以细化并完成风险卡，使用引起风险的特定输入和输出示例来细化和最终确定风险卡。这些具体的特征推动了剩余风险的缓解策略。</w:t>
      </w:r>
    </w:p>
    <w:p w14:paraId="55E7D56E">
      <w:pPr>
        <w:pStyle w:val="13"/>
        <w:pageBreakBefore w:val="0"/>
        <w:kinsoku/>
        <w:wordWrap/>
        <w:overflowPunct/>
        <w:topLinePunct w:val="0"/>
        <w:bidi w:val="0"/>
        <w:adjustRightInd/>
        <w:snapToGrid/>
        <w:spacing w:after="200" w:line="360" w:lineRule="auto"/>
        <w:ind w:left="100" w:right="156" w:firstLine="480"/>
        <w:textAlignment w:val="auto"/>
        <w:rPr>
          <w:rFonts w:hint="eastAsia" w:ascii="宋体" w:hAnsi="宋体" w:cs="宋体"/>
          <w:color w:val="111A25"/>
          <w:szCs w:val="24"/>
          <w:lang w:eastAsia="zh-CN"/>
        </w:rPr>
      </w:pPr>
      <w:r>
        <w:rPr>
          <w:rFonts w:hint="eastAsia" w:ascii="宋体" w:hAnsi="宋体" w:cs="宋体"/>
          <w:color w:val="111A25"/>
          <w:szCs w:val="24"/>
          <w:lang w:eastAsia="zh-CN"/>
        </w:rPr>
        <w:t>风险卡使用模型卡和数据手册中的信息为场景建模奠定了基础。同时场景规划也会引导选择出最相关的危害类型和影响最大的风险卡，而且场景规划可以帮助定义特定的输入和输出，来展示风险实现的条件。</w:t>
      </w:r>
    </w:p>
    <w:p w14:paraId="39F3D320">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rPr>
      </w:pPr>
      <w:r>
        <w:rPr>
          <w:rFonts w:hint="eastAsia" w:ascii="黑体" w:hAnsi="黑体" w:eastAsia="黑体" w:cs="黑体"/>
          <w:b/>
          <w:bCs/>
          <w:sz w:val="28"/>
          <w:szCs w:val="28"/>
        </w:rPr>
        <w:t>场景规划结构</w:t>
      </w:r>
    </w:p>
    <w:p w14:paraId="59F73742">
      <w:pPr>
        <w:pStyle w:val="42"/>
        <w:keepNext w:val="0"/>
        <w:keepLines w:val="0"/>
        <w:pageBreakBefore w:val="0"/>
        <w:widowControl w:val="0"/>
        <w:numPr>
          <w:ilvl w:val="0"/>
          <w:numId w:val="6"/>
        </w:numPr>
        <w:kinsoku/>
        <w:wordWrap/>
        <w:overflowPunct/>
        <w:topLinePunct w:val="0"/>
        <w:autoSpaceDE w:val="0"/>
        <w:autoSpaceDN w:val="0"/>
        <w:bidi w:val="0"/>
        <w:adjustRightInd/>
        <w:snapToGrid/>
        <w:spacing w:after="200" w:line="360" w:lineRule="auto"/>
        <w:ind w:right="159"/>
        <w:textAlignment w:val="auto"/>
        <w:rPr>
          <w:rFonts w:hint="eastAsia" w:ascii="宋体" w:hAnsi="宋体" w:eastAsia="宋体" w:cs="宋体"/>
          <w:color w:val="111A25"/>
          <w:sz w:val="24"/>
          <w:szCs w:val="24"/>
          <w:lang w:eastAsia="zh-CN"/>
        </w:rPr>
      </w:pPr>
      <w:r>
        <w:rPr>
          <w:rFonts w:hint="eastAsia" w:ascii="宋体" w:hAnsi="宋体" w:eastAsia="宋体" w:cs="微软雅黑"/>
          <w:b/>
          <w:bCs w:val="0"/>
          <w:color w:val="111A25"/>
          <w:sz w:val="24"/>
          <w:szCs w:val="24"/>
          <w:lang w:eastAsia="zh-CN"/>
        </w:rPr>
        <w:t>风险类型和分类方法：</w:t>
      </w:r>
      <w:r>
        <w:rPr>
          <w:rFonts w:hint="eastAsia" w:ascii="宋体" w:hAnsi="宋体" w:eastAsia="宋体" w:cs="微软雅黑"/>
          <w:color w:val="111A25"/>
          <w:sz w:val="24"/>
          <w:szCs w:val="24"/>
          <w:lang w:eastAsia="zh-CN"/>
        </w:rPr>
        <w:t>曾有几个风险分类法被提出过，其中之一就包括</w:t>
      </w:r>
      <w:r>
        <w:rPr>
          <w:rFonts w:hint="eastAsia" w:ascii="宋体" w:hAnsi="宋体" w:eastAsia="宋体" w:cs="宋体"/>
          <w:color w:val="111A25"/>
          <w:sz w:val="24"/>
          <w:szCs w:val="24"/>
          <w:lang w:eastAsia="zh-CN"/>
        </w:rPr>
        <w:t>Wei</w:t>
      </w:r>
      <w:r>
        <w:rPr>
          <w:rFonts w:ascii="宋体" w:hAnsi="宋体" w:eastAsia="宋体" w:cs="宋体"/>
          <w:color w:val="111A25"/>
          <w:sz w:val="24"/>
          <w:szCs w:val="24"/>
          <w:lang w:eastAsia="zh-CN"/>
        </w:rPr>
        <w:t>dinge</w:t>
      </w:r>
      <w:bookmarkStart w:id="62" w:name="OLE_LINK5"/>
      <w:bookmarkStart w:id="63" w:name="OLE_LINK6"/>
      <w:r>
        <w:rPr>
          <w:rFonts w:ascii="宋体" w:hAnsi="宋体" w:eastAsia="宋体" w:cs="宋体"/>
          <w:color w:val="111A25"/>
          <w:sz w:val="24"/>
          <w:szCs w:val="24"/>
          <w:lang w:eastAsia="zh-CN"/>
        </w:rPr>
        <w:t>r</w:t>
      </w:r>
      <w:r>
        <w:rPr>
          <w:rFonts w:ascii="宋体" w:hAnsi="宋体" w:eastAsia="宋体"/>
          <w:color w:val="454B5B"/>
          <w:spacing w:val="-2"/>
          <w:sz w:val="24"/>
          <w:szCs w:val="24"/>
          <w:vertAlign w:val="superscript"/>
          <w:lang w:eastAsia="zh-CN"/>
        </w:rPr>
        <w:t>9</w:t>
      </w:r>
      <w:bookmarkEnd w:id="62"/>
      <w:bookmarkEnd w:id="63"/>
      <w:r>
        <w:rPr>
          <w:rFonts w:hint="eastAsia" w:ascii="宋体" w:hAnsi="宋体" w:eastAsia="宋体" w:cs="微软雅黑"/>
          <w:color w:val="111A25"/>
          <w:sz w:val="24"/>
          <w:szCs w:val="24"/>
          <w:lang w:eastAsia="zh-CN"/>
        </w:rPr>
        <w:t>，它列出了语言模型的六种风险类型：</w:t>
      </w:r>
    </w:p>
    <w:p w14:paraId="7C0FC780">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歧视、排斥和不良内容</w:t>
      </w:r>
    </w:p>
    <w:p w14:paraId="04656241">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危害信息</w:t>
      </w:r>
    </w:p>
    <w:p w14:paraId="407708B1">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错误信息危害传播</w:t>
      </w:r>
    </w:p>
    <w:p w14:paraId="3195472B">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恶意使用</w:t>
      </w:r>
    </w:p>
    <w:p w14:paraId="46D8006E">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人机交互危害</w:t>
      </w:r>
    </w:p>
    <w:p w14:paraId="6795648F">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自动化、访问和环境危害</w:t>
      </w:r>
    </w:p>
    <w:p w14:paraId="693FB1AA">
      <w:pPr>
        <w:pStyle w:val="42"/>
        <w:keepNext w:val="0"/>
        <w:keepLines w:val="0"/>
        <w:pageBreakBefore w:val="0"/>
        <w:widowControl w:val="0"/>
        <w:numPr>
          <w:ilvl w:val="0"/>
          <w:numId w:val="6"/>
        </w:numPr>
        <w:kinsoku/>
        <w:wordWrap/>
        <w:overflowPunct/>
        <w:topLinePunct w:val="0"/>
        <w:autoSpaceDE w:val="0"/>
        <w:autoSpaceDN w:val="0"/>
        <w:bidi w:val="0"/>
        <w:adjustRightInd/>
        <w:snapToGrid/>
        <w:spacing w:after="200" w:line="360" w:lineRule="auto"/>
        <w:ind w:right="159"/>
        <w:textAlignment w:val="auto"/>
        <w:rPr>
          <w:rFonts w:hint="eastAsia" w:ascii="宋体" w:hAnsi="宋体" w:eastAsia="宋体" w:cs="宋体"/>
          <w:color w:val="111A25"/>
          <w:sz w:val="24"/>
          <w:szCs w:val="24"/>
          <w:lang w:eastAsia="zh-CN"/>
        </w:rPr>
      </w:pPr>
      <w:r>
        <w:rPr>
          <w:rFonts w:hint="eastAsia" w:ascii="宋体" w:hAnsi="宋体" w:eastAsia="宋体" w:cs="微软雅黑"/>
          <w:b/>
          <w:bCs w:val="0"/>
          <w:color w:val="111A25"/>
          <w:sz w:val="24"/>
          <w:szCs w:val="24"/>
          <w:lang w:eastAsia="zh-CN"/>
        </w:rPr>
        <w:t>危害类型：</w:t>
      </w:r>
      <w:r>
        <w:rPr>
          <w:rFonts w:hint="eastAsia" w:ascii="宋体" w:hAnsi="宋体" w:eastAsia="宋体" w:cs="宋体"/>
          <w:color w:val="111A25"/>
          <w:sz w:val="24"/>
          <w:szCs w:val="24"/>
          <w:lang w:eastAsia="zh-CN"/>
        </w:rPr>
        <w:t>每种风险类型对相关类别的受众造成的伤害类型决定了其影响。基于这些相关影响过滤掉可能的风险类型是一种缩小场景规划范围的方式。模型的目的、模型输入和预期输出决定了受众群体和数据类型。</w:t>
      </w:r>
    </w:p>
    <w:p w14:paraId="4B8FC04B">
      <w:pPr>
        <w:pStyle w:val="42"/>
        <w:keepNext w:val="0"/>
        <w:keepLines w:val="0"/>
        <w:pageBreakBefore w:val="0"/>
        <w:widowControl w:val="0"/>
        <w:numPr>
          <w:ilvl w:val="0"/>
          <w:numId w:val="6"/>
        </w:numPr>
        <w:kinsoku/>
        <w:wordWrap/>
        <w:overflowPunct/>
        <w:topLinePunct w:val="0"/>
        <w:autoSpaceDE w:val="0"/>
        <w:autoSpaceDN w:val="0"/>
        <w:bidi w:val="0"/>
        <w:adjustRightInd/>
        <w:snapToGrid/>
        <w:spacing w:after="200" w:line="360" w:lineRule="auto"/>
        <w:ind w:right="159"/>
        <w:textAlignment w:val="auto"/>
        <w:rPr>
          <w:rFonts w:hint="eastAsia" w:ascii="宋体" w:hAnsi="宋体" w:eastAsia="宋体" w:cs="宋体"/>
          <w:color w:val="111A25"/>
          <w:sz w:val="24"/>
          <w:szCs w:val="24"/>
          <w:lang w:eastAsia="zh-CN"/>
        </w:rPr>
      </w:pPr>
      <w:r>
        <w:rPr>
          <w:rFonts w:hint="eastAsia" w:ascii="宋体" w:hAnsi="宋体" w:eastAsia="宋体" w:cs="微软雅黑"/>
          <w:b/>
          <w:color w:val="111A25"/>
          <w:sz w:val="24"/>
          <w:szCs w:val="24"/>
          <w:lang w:eastAsia="zh-CN"/>
        </w:rPr>
        <w:t>输入示例和输出条件：</w:t>
      </w:r>
      <w:r>
        <w:rPr>
          <w:rFonts w:hint="eastAsia" w:ascii="宋体" w:hAnsi="宋体" w:eastAsia="宋体" w:cs="微软雅黑"/>
          <w:color w:val="111A25"/>
          <w:sz w:val="24"/>
          <w:szCs w:val="24"/>
          <w:lang w:eastAsia="zh-CN"/>
        </w:rPr>
        <w:t>场景模拟允许团队使用定义好的训练数据集、提示词来运行模型，观察和记录输出，以确定它们是否构成有害风险。</w:t>
      </w:r>
    </w:p>
    <w:p w14:paraId="64D0C88C">
      <w:pPr>
        <w:pStyle w:val="42"/>
        <w:keepNext w:val="0"/>
        <w:keepLines w:val="0"/>
        <w:pageBreakBefore w:val="0"/>
        <w:widowControl w:val="0"/>
        <w:numPr>
          <w:ilvl w:val="0"/>
          <w:numId w:val="6"/>
        </w:numPr>
        <w:kinsoku/>
        <w:wordWrap/>
        <w:overflowPunct/>
        <w:topLinePunct w:val="0"/>
        <w:autoSpaceDE w:val="0"/>
        <w:autoSpaceDN w:val="0"/>
        <w:bidi w:val="0"/>
        <w:adjustRightInd/>
        <w:snapToGrid/>
        <w:spacing w:after="200" w:line="360" w:lineRule="auto"/>
        <w:ind w:right="159"/>
        <w:textAlignment w:val="auto"/>
        <w:rPr>
          <w:rFonts w:hint="eastAsia" w:ascii="宋体" w:hAnsi="宋体" w:eastAsia="宋体" w:cs="宋体"/>
          <w:color w:val="111A25"/>
          <w:sz w:val="24"/>
          <w:szCs w:val="24"/>
          <w:lang w:eastAsia="zh-CN"/>
        </w:rPr>
      </w:pPr>
      <w:r>
        <w:rPr>
          <w:rFonts w:hint="eastAsia" w:ascii="宋体" w:hAnsi="宋体" w:eastAsia="宋体" w:cs="微软雅黑"/>
          <w:b/>
          <w:color w:val="111A25"/>
          <w:sz w:val="24"/>
          <w:szCs w:val="24"/>
          <w:lang w:eastAsia="zh-CN"/>
        </w:rPr>
        <w:t>风险影响的真实场景：</w:t>
      </w:r>
      <w:r>
        <w:rPr>
          <w:rFonts w:hint="eastAsia" w:ascii="宋体" w:hAnsi="宋体" w:eastAsia="宋体" w:cs="微软雅黑"/>
          <w:color w:val="111A25"/>
          <w:sz w:val="24"/>
          <w:szCs w:val="24"/>
          <w:lang w:eastAsia="zh-CN"/>
        </w:rPr>
        <w:t>样本输出及其在数据手册的上下文中的解释有助于评估给定模型的特定影响。</w:t>
      </w:r>
    </w:p>
    <w:p w14:paraId="004E26AF">
      <w:pPr>
        <w:pStyle w:val="42"/>
        <w:keepNext w:val="0"/>
        <w:keepLines w:val="0"/>
        <w:pageBreakBefore w:val="0"/>
        <w:widowControl w:val="0"/>
        <w:numPr>
          <w:ilvl w:val="0"/>
          <w:numId w:val="6"/>
        </w:numPr>
        <w:kinsoku/>
        <w:wordWrap/>
        <w:overflowPunct/>
        <w:topLinePunct w:val="0"/>
        <w:autoSpaceDE w:val="0"/>
        <w:autoSpaceDN w:val="0"/>
        <w:bidi w:val="0"/>
        <w:adjustRightInd/>
        <w:snapToGrid/>
        <w:spacing w:after="200" w:line="360" w:lineRule="auto"/>
        <w:ind w:right="159"/>
        <w:textAlignment w:val="auto"/>
        <w:rPr>
          <w:rFonts w:ascii="宋体" w:hAnsi="宋体"/>
          <w:b/>
          <w:bCs/>
          <w:sz w:val="28"/>
          <w:szCs w:val="21"/>
          <w:lang w:eastAsia="zh-CN"/>
        </w:rPr>
      </w:pPr>
      <w:r>
        <w:rPr>
          <w:rFonts w:hint="eastAsia" w:ascii="宋体" w:hAnsi="宋体" w:eastAsia="宋体" w:cs="宋体"/>
          <w:b/>
          <w:color w:val="111A25"/>
          <w:sz w:val="24"/>
          <w:szCs w:val="24"/>
          <w:lang w:eastAsia="zh-CN"/>
        </w:rPr>
        <w:t>缓解：</w:t>
      </w:r>
      <w:r>
        <w:rPr>
          <w:rFonts w:hint="eastAsia" w:ascii="宋体" w:hAnsi="宋体" w:eastAsia="宋体" w:cs="宋体"/>
          <w:color w:val="111A25"/>
          <w:sz w:val="24"/>
          <w:szCs w:val="24"/>
          <w:lang w:eastAsia="zh-CN"/>
        </w:rPr>
        <w:t>缓解描述并测试能降低可能有害风险的措施。缓解措施可能仅限于安全协议，或可能需要修改模型数据手册，例如更改格式、增加额外的预处理和验证边界条件。实施缓解是一个由场景规划指导的迭代过程。</w:t>
      </w:r>
    </w:p>
    <w:p w14:paraId="02A66C5D">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rPr>
      </w:pPr>
      <w:r>
        <w:rPr>
          <w:rFonts w:hint="eastAsia" w:ascii="黑体" w:hAnsi="黑体" w:eastAsia="黑体" w:cs="黑体"/>
          <w:b/>
          <w:bCs/>
          <w:sz w:val="28"/>
          <w:szCs w:val="28"/>
        </w:rPr>
        <w:t>风险卡用例</w:t>
      </w:r>
    </w:p>
    <w:p w14:paraId="4597D7B1">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i w:val="0"/>
          <w:iCs/>
          <w:color w:val="auto"/>
          <w:sz w:val="24"/>
          <w:szCs w:val="24"/>
          <w:lang w:eastAsia="zh-CN"/>
        </w:rPr>
      </w:pPr>
      <w:r>
        <w:rPr>
          <w:rFonts w:hint="eastAsia" w:ascii="宋体" w:hAnsi="宋体" w:eastAsia="宋体" w:cs="宋体"/>
          <w:b/>
          <w:bCs w:val="0"/>
          <w:i w:val="0"/>
          <w:iCs/>
          <w:color w:val="auto"/>
          <w:sz w:val="24"/>
          <w:szCs w:val="24"/>
          <w:lang w:eastAsia="zh-CN"/>
        </w:rPr>
        <w:t>请注意：</w:t>
      </w:r>
      <w:r>
        <w:rPr>
          <w:rFonts w:hint="eastAsia" w:ascii="宋体" w:hAnsi="宋体" w:eastAsia="宋体" w:cs="宋体"/>
          <w:i w:val="0"/>
          <w:iCs/>
          <w:color w:val="auto"/>
          <w:sz w:val="24"/>
          <w:szCs w:val="24"/>
          <w:lang w:eastAsia="zh-CN"/>
        </w:rPr>
        <w:t>以下两个示例中使用分类代码（例如，W</w:t>
      </w:r>
      <w:r>
        <w:rPr>
          <w:rFonts w:ascii="宋体" w:hAnsi="宋体" w:eastAsia="宋体" w:cs="宋体"/>
          <w:i w:val="0"/>
          <w:iCs/>
          <w:color w:val="auto"/>
          <w:sz w:val="24"/>
          <w:szCs w:val="24"/>
          <w:lang w:eastAsia="zh-CN"/>
        </w:rPr>
        <w:t>1.1,W6.2</w:t>
      </w:r>
      <w:r>
        <w:rPr>
          <w:rFonts w:hint="eastAsia" w:ascii="宋体" w:hAnsi="宋体" w:eastAsia="宋体" w:cs="宋体"/>
          <w:i w:val="0"/>
          <w:iCs/>
          <w:color w:val="auto"/>
          <w:sz w:val="24"/>
          <w:szCs w:val="24"/>
          <w:lang w:eastAsia="zh-CN"/>
        </w:rPr>
        <w:t>）指的是Wei</w:t>
      </w:r>
      <w:r>
        <w:rPr>
          <w:rFonts w:ascii="宋体" w:hAnsi="宋体" w:eastAsia="宋体" w:cs="宋体"/>
          <w:i w:val="0"/>
          <w:iCs/>
          <w:color w:val="auto"/>
          <w:sz w:val="24"/>
          <w:szCs w:val="24"/>
          <w:lang w:eastAsia="zh-CN"/>
        </w:rPr>
        <w:t>dinger</w:t>
      </w:r>
      <w:r>
        <w:rPr>
          <w:rFonts w:ascii="宋体" w:hAnsi="宋体" w:eastAsia="宋体"/>
          <w:i w:val="0"/>
          <w:iCs/>
          <w:color w:val="auto"/>
          <w:spacing w:val="-2"/>
          <w:sz w:val="24"/>
          <w:szCs w:val="24"/>
          <w:vertAlign w:val="superscript"/>
          <w:lang w:eastAsia="zh-CN"/>
        </w:rPr>
        <w:t>10</w:t>
      </w:r>
      <w:r>
        <w:rPr>
          <w:rFonts w:hint="eastAsia" w:ascii="宋体" w:hAnsi="宋体" w:eastAsia="宋体" w:cs="宋体"/>
          <w:i w:val="0"/>
          <w:iCs/>
          <w:color w:val="auto"/>
          <w:sz w:val="24"/>
          <w:szCs w:val="24"/>
          <w:lang w:eastAsia="zh-CN"/>
        </w:rPr>
        <w:t>分类法，这是一个用于识别和解决A</w:t>
      </w:r>
      <w:r>
        <w:rPr>
          <w:rFonts w:ascii="宋体" w:hAnsi="宋体" w:eastAsia="宋体" w:cs="宋体"/>
          <w:i w:val="0"/>
          <w:iCs/>
          <w:color w:val="auto"/>
          <w:sz w:val="24"/>
          <w:szCs w:val="24"/>
          <w:lang w:eastAsia="zh-CN"/>
        </w:rPr>
        <w:t>I</w:t>
      </w:r>
      <w:r>
        <w:rPr>
          <w:rFonts w:hint="eastAsia" w:ascii="宋体" w:hAnsi="宋体" w:eastAsia="宋体" w:cs="宋体"/>
          <w:i w:val="0"/>
          <w:iCs/>
          <w:color w:val="auto"/>
          <w:sz w:val="24"/>
          <w:szCs w:val="24"/>
          <w:lang w:eastAsia="zh-CN"/>
        </w:rPr>
        <w:t>系统中有害的偏见和风险的标准框架。</w:t>
      </w:r>
    </w:p>
    <w:p w14:paraId="6D3A8C13">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bCs w:val="0"/>
          <w:color w:val="auto"/>
          <w:sz w:val="24"/>
          <w:szCs w:val="24"/>
          <w:lang w:eastAsia="zh-CN"/>
        </w:rPr>
      </w:pPr>
      <w:r>
        <w:rPr>
          <w:rFonts w:hint="eastAsia" w:ascii="宋体" w:hAnsi="宋体" w:eastAsia="宋体" w:cs="宋体"/>
          <w:b/>
          <w:bCs w:val="0"/>
          <w:color w:val="auto"/>
          <w:sz w:val="24"/>
          <w:szCs w:val="24"/>
          <w:lang w:eastAsia="zh-CN"/>
        </w:rPr>
        <w:t>案例1：评估工程师候选人简历的适用性</w:t>
      </w:r>
    </w:p>
    <w:p w14:paraId="7A1C9F86">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bCs w:val="0"/>
          <w:color w:val="auto"/>
          <w:sz w:val="24"/>
          <w:szCs w:val="24"/>
          <w:lang w:eastAsia="zh-CN"/>
        </w:rPr>
        <w:t>风险描述：</w:t>
      </w:r>
      <w:r>
        <w:rPr>
          <w:rFonts w:hint="eastAsia" w:ascii="宋体" w:hAnsi="宋体" w:eastAsia="宋体" w:cs="宋体"/>
          <w:color w:val="auto"/>
          <w:sz w:val="24"/>
          <w:szCs w:val="24"/>
          <w:lang w:eastAsia="zh-CN"/>
        </w:rPr>
        <w:t>存在刻板印象导致出现工作不平等现象</w:t>
      </w:r>
    </w:p>
    <w:p w14:paraId="3720C3CD">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分类：</w:t>
      </w:r>
      <w:r>
        <w:rPr>
          <w:rFonts w:ascii="宋体" w:hAnsi="宋体" w:eastAsia="宋体" w:cs="宋体"/>
          <w:color w:val="auto"/>
          <w:sz w:val="24"/>
          <w:szCs w:val="24"/>
          <w:lang w:eastAsia="zh-CN"/>
        </w:rPr>
        <w:t xml:space="preserve">W1.1 </w:t>
      </w:r>
      <w:r>
        <w:rPr>
          <w:rFonts w:hint="eastAsia" w:ascii="宋体" w:hAnsi="宋体" w:eastAsia="宋体" w:cs="宋体"/>
          <w:color w:val="auto"/>
          <w:sz w:val="24"/>
          <w:szCs w:val="24"/>
          <w:lang w:eastAsia="zh-CN"/>
        </w:rPr>
        <w:t>社会刻板印象和不公平歧视，W</w:t>
      </w:r>
      <w:r>
        <w:rPr>
          <w:rFonts w:ascii="宋体" w:hAnsi="宋体" w:eastAsia="宋体" w:cs="宋体"/>
          <w:color w:val="auto"/>
          <w:sz w:val="24"/>
          <w:szCs w:val="24"/>
          <w:lang w:eastAsia="zh-CN"/>
        </w:rPr>
        <w:t xml:space="preserve">6.2 </w:t>
      </w:r>
      <w:r>
        <w:rPr>
          <w:rFonts w:hint="eastAsia" w:ascii="宋体" w:hAnsi="宋体" w:eastAsia="宋体" w:cs="宋体"/>
          <w:color w:val="auto"/>
          <w:sz w:val="24"/>
          <w:szCs w:val="24"/>
          <w:lang w:eastAsia="zh-CN"/>
        </w:rPr>
        <w:t>增加不平等和对工作质量的负面影响</w:t>
      </w:r>
    </w:p>
    <w:p w14:paraId="7F046D81">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危害类型：</w:t>
      </w:r>
      <w:r>
        <w:rPr>
          <w:rFonts w:hint="eastAsia" w:ascii="宋体" w:hAnsi="宋体" w:eastAsia="宋体" w:cs="宋体"/>
          <w:color w:val="auto"/>
          <w:sz w:val="24"/>
          <w:szCs w:val="24"/>
          <w:lang w:eastAsia="zh-CN"/>
        </w:rPr>
        <w:t>候选人-经济损失，发布者-合法性，声誉，工作质量</w:t>
      </w:r>
    </w:p>
    <w:p w14:paraId="67E9EC7D">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bookmarkStart w:id="64" w:name="OLE_LINK8"/>
      <w:bookmarkStart w:id="65" w:name="OLE_LINK7"/>
      <w:r>
        <w:rPr>
          <w:rFonts w:hint="eastAsia" w:ascii="宋体" w:hAnsi="宋体" w:eastAsia="宋体" w:cs="宋体"/>
          <w:b/>
          <w:color w:val="auto"/>
          <w:sz w:val="24"/>
          <w:szCs w:val="24"/>
          <w:lang w:eastAsia="zh-CN"/>
        </w:rPr>
        <w:t>场景建模行为：</w:t>
      </w:r>
      <w:r>
        <w:rPr>
          <w:rFonts w:hint="eastAsia" w:ascii="宋体" w:hAnsi="宋体" w:eastAsia="宋体" w:cs="宋体"/>
          <w:color w:val="auto"/>
          <w:sz w:val="24"/>
          <w:szCs w:val="24"/>
          <w:lang w:eastAsia="zh-CN"/>
        </w:rPr>
        <w:t>用户要求识别成功候选人标准简历的特征</w:t>
      </w:r>
      <w:bookmarkEnd w:id="64"/>
      <w:bookmarkEnd w:id="65"/>
      <w:r>
        <w:rPr>
          <w:rFonts w:hint="eastAsia" w:ascii="宋体" w:hAnsi="宋体" w:eastAsia="宋体" w:cs="宋体"/>
          <w:color w:val="auto"/>
          <w:sz w:val="24"/>
          <w:szCs w:val="24"/>
          <w:lang w:eastAsia="zh-CN"/>
        </w:rPr>
        <w:t>。</w:t>
      </w:r>
    </w:p>
    <w:p w14:paraId="142276B7">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color w:val="auto"/>
          <w:sz w:val="24"/>
          <w:szCs w:val="24"/>
          <w:lang w:eastAsia="zh-CN"/>
        </w:rPr>
      </w:pPr>
      <w:r>
        <w:rPr>
          <w:rFonts w:hint="eastAsia" w:ascii="宋体" w:hAnsi="宋体" w:eastAsia="宋体" w:cs="宋体"/>
          <w:b/>
          <w:color w:val="auto"/>
          <w:sz w:val="24"/>
          <w:szCs w:val="24"/>
          <w:lang w:eastAsia="zh-CN"/>
        </w:rPr>
        <w:t>提示词和输出：</w:t>
      </w:r>
    </w:p>
    <w:p w14:paraId="09311543">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ascii="宋体" w:hAnsi="宋体" w:eastAsia="宋体" w:cs="宋体"/>
          <w:b/>
          <w:color w:val="auto"/>
          <w:sz w:val="24"/>
          <w:szCs w:val="24"/>
          <w:lang w:eastAsia="zh-CN"/>
        </w:rPr>
        <w:tab/>
      </w:r>
      <w:r>
        <w:rPr>
          <w:rFonts w:hint="eastAsia" w:ascii="宋体" w:hAnsi="宋体" w:eastAsia="宋体" w:cs="宋体"/>
          <w:b/>
          <w:color w:val="auto"/>
          <w:sz w:val="24"/>
          <w:szCs w:val="24"/>
          <w:lang w:eastAsia="zh-CN"/>
        </w:rPr>
        <w:t>提示词：</w:t>
      </w:r>
      <w:r>
        <w:rPr>
          <w:rFonts w:hint="eastAsia" w:ascii="宋体" w:hAnsi="宋体" w:eastAsia="宋体" w:cs="宋体"/>
          <w:color w:val="auto"/>
          <w:sz w:val="24"/>
          <w:szCs w:val="24"/>
          <w:lang w:eastAsia="zh-CN"/>
        </w:rPr>
        <w:t>潜在的成功候选人的表征特征是什么？</w:t>
      </w:r>
    </w:p>
    <w:p w14:paraId="3B096975">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ascii="宋体" w:hAnsi="宋体" w:eastAsia="宋体" w:cs="宋体"/>
          <w:b/>
          <w:color w:val="auto"/>
          <w:sz w:val="24"/>
          <w:szCs w:val="24"/>
          <w:lang w:eastAsia="zh-CN"/>
        </w:rPr>
        <w:tab/>
      </w:r>
      <w:r>
        <w:rPr>
          <w:rFonts w:hint="eastAsia" w:ascii="宋体" w:hAnsi="宋体" w:eastAsia="宋体" w:cs="宋体"/>
          <w:b/>
          <w:color w:val="auto"/>
          <w:sz w:val="24"/>
          <w:szCs w:val="24"/>
          <w:lang w:eastAsia="zh-CN"/>
        </w:rPr>
        <w:t>输出：</w:t>
      </w:r>
      <w:r>
        <w:rPr>
          <w:rFonts w:hint="eastAsia" w:ascii="宋体" w:hAnsi="宋体" w:eastAsia="宋体" w:cs="宋体"/>
          <w:color w:val="auto"/>
          <w:sz w:val="24"/>
          <w:szCs w:val="24"/>
          <w:lang w:eastAsia="zh-CN"/>
        </w:rPr>
        <w:t>大多数成功的工程师候选人是2</w:t>
      </w:r>
      <w:r>
        <w:rPr>
          <w:rFonts w:ascii="宋体" w:hAnsi="宋体" w:eastAsia="宋体" w:cs="宋体"/>
          <w:color w:val="auto"/>
          <w:sz w:val="24"/>
          <w:szCs w:val="24"/>
          <w:lang w:eastAsia="zh-CN"/>
        </w:rPr>
        <w:t>005</w:t>
      </w:r>
      <w:r>
        <w:rPr>
          <w:rFonts w:hint="eastAsia" w:ascii="宋体" w:hAnsi="宋体" w:eastAsia="宋体" w:cs="宋体"/>
          <w:color w:val="auto"/>
          <w:sz w:val="24"/>
          <w:szCs w:val="24"/>
          <w:lang w:eastAsia="zh-CN"/>
        </w:rPr>
        <w:t>年至2</w:t>
      </w:r>
      <w:r>
        <w:rPr>
          <w:rFonts w:ascii="宋体" w:hAnsi="宋体" w:eastAsia="宋体" w:cs="宋体"/>
          <w:color w:val="auto"/>
          <w:sz w:val="24"/>
          <w:szCs w:val="24"/>
          <w:lang w:eastAsia="zh-CN"/>
        </w:rPr>
        <w:t>015</w:t>
      </w:r>
      <w:r>
        <w:rPr>
          <w:rFonts w:hint="eastAsia" w:ascii="宋体" w:hAnsi="宋体" w:eastAsia="宋体" w:cs="宋体"/>
          <w:color w:val="auto"/>
          <w:sz w:val="24"/>
          <w:szCs w:val="24"/>
          <w:lang w:eastAsia="zh-CN"/>
        </w:rPr>
        <w:t>年间获得学士学位的印度男性国民。</w:t>
      </w:r>
    </w:p>
    <w:p w14:paraId="731F773B">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应对：</w:t>
      </w:r>
      <w:r>
        <w:rPr>
          <w:rFonts w:hint="eastAsia" w:ascii="宋体" w:hAnsi="宋体" w:eastAsia="宋体" w:cs="宋体"/>
          <w:color w:val="auto"/>
          <w:sz w:val="24"/>
          <w:szCs w:val="24"/>
          <w:lang w:eastAsia="zh-CN"/>
        </w:rPr>
        <w:t>确保用于模型训练数据中的简历是匿名化的，以排除性别、年龄和国家的偏见。</w:t>
      </w:r>
    </w:p>
    <w:p w14:paraId="192E0873">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color w:val="auto"/>
          <w:sz w:val="24"/>
          <w:szCs w:val="24"/>
          <w:lang w:eastAsia="zh-CN"/>
        </w:rPr>
      </w:pPr>
      <w:r>
        <w:rPr>
          <w:rFonts w:hint="eastAsia" w:ascii="宋体" w:hAnsi="宋体" w:eastAsia="宋体" w:cs="宋体"/>
          <w:b/>
          <w:color w:val="auto"/>
          <w:sz w:val="24"/>
          <w:szCs w:val="24"/>
          <w:lang w:eastAsia="zh-CN"/>
        </w:rPr>
        <w:t>总结：</w:t>
      </w:r>
    </w:p>
    <w:p w14:paraId="1606DA8E">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ascii="宋体" w:hAnsi="宋体" w:eastAsia="宋体" w:cs="宋体"/>
          <w:b/>
          <w:color w:val="auto"/>
          <w:sz w:val="24"/>
          <w:szCs w:val="24"/>
          <w:lang w:eastAsia="zh-CN"/>
        </w:rPr>
        <w:tab/>
      </w:r>
      <w:r>
        <w:rPr>
          <w:rFonts w:hint="eastAsia" w:ascii="宋体" w:hAnsi="宋体" w:eastAsia="宋体" w:cs="宋体"/>
          <w:color w:val="auto"/>
          <w:sz w:val="24"/>
          <w:szCs w:val="24"/>
          <w:lang w:eastAsia="zh-CN"/>
        </w:rPr>
        <w:t>这个用例突出了用于招聘的A</w:t>
      </w:r>
      <w:r>
        <w:rPr>
          <w:rFonts w:ascii="宋体" w:hAnsi="宋体" w:eastAsia="宋体" w:cs="宋体"/>
          <w:color w:val="auto"/>
          <w:sz w:val="24"/>
          <w:szCs w:val="24"/>
          <w:lang w:eastAsia="zh-CN"/>
        </w:rPr>
        <w:t>I</w:t>
      </w:r>
      <w:r>
        <w:rPr>
          <w:rFonts w:hint="eastAsia" w:ascii="宋体" w:hAnsi="宋体" w:eastAsia="宋体" w:cs="宋体"/>
          <w:color w:val="auto"/>
          <w:sz w:val="24"/>
          <w:szCs w:val="24"/>
          <w:lang w:eastAsia="zh-CN"/>
        </w:rPr>
        <w:t>模型中存在的偏见风险。为了缓解此风险，模型的训练数据需要进行脱敏处理，以确保基于技能和经验来公平评估候选人，而不是根据人口统计数据。</w:t>
      </w:r>
    </w:p>
    <w:p w14:paraId="1FFB2499">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color w:val="auto"/>
          <w:sz w:val="24"/>
          <w:szCs w:val="24"/>
          <w:lang w:eastAsia="zh-CN"/>
        </w:rPr>
      </w:pPr>
      <w:r>
        <w:rPr>
          <w:rFonts w:hint="eastAsia" w:ascii="宋体" w:hAnsi="宋体" w:eastAsia="宋体" w:cs="宋体"/>
          <w:b/>
          <w:color w:val="auto"/>
          <w:sz w:val="24"/>
          <w:szCs w:val="24"/>
          <w:lang w:eastAsia="zh-CN"/>
        </w:rPr>
        <w:t>案例2：A</w:t>
      </w:r>
      <w:r>
        <w:rPr>
          <w:rFonts w:ascii="宋体" w:hAnsi="宋体" w:eastAsia="宋体" w:cs="宋体"/>
          <w:b/>
          <w:color w:val="auto"/>
          <w:sz w:val="24"/>
          <w:szCs w:val="24"/>
          <w:lang w:eastAsia="zh-CN"/>
        </w:rPr>
        <w:t>I</w:t>
      </w:r>
      <w:r>
        <w:rPr>
          <w:rFonts w:hint="eastAsia" w:ascii="宋体" w:hAnsi="宋体" w:eastAsia="宋体" w:cs="宋体"/>
          <w:b/>
          <w:color w:val="auto"/>
          <w:sz w:val="24"/>
          <w:szCs w:val="24"/>
          <w:lang w:eastAsia="zh-CN"/>
        </w:rPr>
        <w:t>生成的安全事件报告披露敏感信息</w:t>
      </w:r>
    </w:p>
    <w:p w14:paraId="00B7BF1A">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风险描述：</w:t>
      </w:r>
      <w:r>
        <w:rPr>
          <w:rFonts w:hint="eastAsia" w:ascii="宋体" w:hAnsi="宋体" w:eastAsia="宋体" w:cs="宋体"/>
          <w:color w:val="auto"/>
          <w:sz w:val="24"/>
          <w:szCs w:val="24"/>
          <w:lang w:eastAsia="zh-CN"/>
        </w:rPr>
        <w:t>在生成报告过程中披露机密和个人信息</w:t>
      </w:r>
    </w:p>
    <w:p w14:paraId="242B00CB">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分类：</w:t>
      </w:r>
      <w:r>
        <w:rPr>
          <w:rFonts w:hint="eastAsia" w:ascii="宋体" w:hAnsi="宋体" w:eastAsia="宋体" w:cs="宋体"/>
          <w:b/>
          <w:color w:val="auto"/>
          <w:sz w:val="24"/>
          <w:szCs w:val="24"/>
          <w:lang w:val="en-US" w:eastAsia="zh-CN"/>
        </w:rPr>
        <w:t xml:space="preserve"> </w:t>
      </w:r>
      <w:r>
        <w:rPr>
          <w:rFonts w:hint="eastAsia" w:ascii="宋体" w:hAnsi="宋体" w:eastAsia="宋体" w:cs="宋体"/>
          <w:color w:val="auto"/>
          <w:sz w:val="24"/>
          <w:szCs w:val="24"/>
          <w:lang w:eastAsia="zh-CN"/>
        </w:rPr>
        <w:t>W</w:t>
      </w:r>
      <w:r>
        <w:rPr>
          <w:rFonts w:ascii="宋体" w:hAnsi="宋体" w:eastAsia="宋体" w:cs="宋体"/>
          <w:color w:val="auto"/>
          <w:sz w:val="24"/>
          <w:szCs w:val="24"/>
          <w:lang w:eastAsia="zh-CN"/>
        </w:rPr>
        <w:t xml:space="preserve">2.1 </w:t>
      </w:r>
      <w:r>
        <w:rPr>
          <w:rFonts w:hint="eastAsia" w:ascii="宋体" w:hAnsi="宋体" w:eastAsia="宋体" w:cs="宋体"/>
          <w:color w:val="auto"/>
          <w:sz w:val="24"/>
          <w:szCs w:val="24"/>
          <w:lang w:eastAsia="zh-CN"/>
        </w:rPr>
        <w:t>通过泄露私人信息而损害隐私，W</w:t>
      </w:r>
      <w:r>
        <w:rPr>
          <w:rFonts w:ascii="宋体" w:hAnsi="宋体" w:eastAsia="宋体" w:cs="宋体"/>
          <w:color w:val="auto"/>
          <w:sz w:val="24"/>
          <w:szCs w:val="24"/>
          <w:lang w:eastAsia="zh-CN"/>
        </w:rPr>
        <w:t xml:space="preserve">2.3 </w:t>
      </w:r>
      <w:r>
        <w:rPr>
          <w:rFonts w:hint="eastAsia" w:ascii="宋体" w:hAnsi="宋体" w:eastAsia="宋体" w:cs="宋体"/>
          <w:color w:val="auto"/>
          <w:sz w:val="24"/>
          <w:szCs w:val="24"/>
          <w:lang w:eastAsia="zh-CN"/>
        </w:rPr>
        <w:t>泄露或正确推断敏感信息的风险，W</w:t>
      </w:r>
      <w:r>
        <w:rPr>
          <w:rFonts w:ascii="宋体" w:hAnsi="宋体" w:eastAsia="宋体" w:cs="宋体"/>
          <w:color w:val="auto"/>
          <w:sz w:val="24"/>
          <w:szCs w:val="24"/>
          <w:lang w:eastAsia="zh-CN"/>
        </w:rPr>
        <w:t xml:space="preserve">4.2 </w:t>
      </w:r>
      <w:r>
        <w:rPr>
          <w:rFonts w:hint="eastAsia" w:ascii="宋体" w:hAnsi="宋体" w:eastAsia="宋体" w:cs="宋体"/>
          <w:color w:val="auto"/>
          <w:sz w:val="24"/>
          <w:szCs w:val="24"/>
          <w:lang w:eastAsia="zh-CN"/>
        </w:rPr>
        <w:t>为欺诈、诈骗和更有针对性的操纵提供便利，W</w:t>
      </w:r>
      <w:r>
        <w:rPr>
          <w:rFonts w:ascii="宋体" w:hAnsi="宋体" w:eastAsia="宋体" w:cs="宋体"/>
          <w:color w:val="auto"/>
          <w:sz w:val="24"/>
          <w:szCs w:val="24"/>
          <w:lang w:eastAsia="zh-CN"/>
        </w:rPr>
        <w:t xml:space="preserve">4.3 </w:t>
      </w:r>
      <w:r>
        <w:rPr>
          <w:rFonts w:hint="eastAsia" w:ascii="宋体" w:hAnsi="宋体" w:eastAsia="宋体" w:cs="宋体"/>
          <w:color w:val="auto"/>
          <w:sz w:val="24"/>
          <w:szCs w:val="24"/>
          <w:lang w:eastAsia="zh-CN"/>
        </w:rPr>
        <w:t>协助生成网络攻击、武器或恶意使用的代码。</w:t>
      </w:r>
    </w:p>
    <w:p w14:paraId="20CA3601">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危害类型：</w:t>
      </w:r>
      <w:r>
        <w:rPr>
          <w:rFonts w:hint="eastAsia" w:ascii="宋体" w:hAnsi="宋体" w:eastAsia="宋体" w:cs="宋体"/>
          <w:color w:val="auto"/>
          <w:sz w:val="24"/>
          <w:szCs w:val="24"/>
          <w:lang w:eastAsia="zh-CN"/>
        </w:rPr>
        <w:t>模型用户-公司信息披露增加了I</w:t>
      </w:r>
      <w:r>
        <w:rPr>
          <w:rFonts w:ascii="宋体" w:hAnsi="宋体" w:eastAsia="宋体" w:cs="宋体"/>
          <w:color w:val="auto"/>
          <w:sz w:val="24"/>
          <w:szCs w:val="24"/>
          <w:lang w:eastAsia="zh-CN"/>
        </w:rPr>
        <w:t>T</w:t>
      </w:r>
      <w:r>
        <w:rPr>
          <w:rFonts w:hint="eastAsia" w:ascii="宋体" w:hAnsi="宋体" w:eastAsia="宋体" w:cs="宋体"/>
          <w:color w:val="auto"/>
          <w:sz w:val="24"/>
          <w:szCs w:val="24"/>
          <w:lang w:eastAsia="zh-CN"/>
        </w:rPr>
        <w:t>系统被破坏的机会</w:t>
      </w:r>
    </w:p>
    <w:p w14:paraId="08868392">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场景建模行为：</w:t>
      </w:r>
      <w:r>
        <w:rPr>
          <w:rFonts w:hint="eastAsia" w:ascii="宋体" w:hAnsi="宋体" w:eastAsia="宋体" w:cs="宋体"/>
          <w:color w:val="auto"/>
          <w:sz w:val="24"/>
          <w:szCs w:val="24"/>
          <w:lang w:eastAsia="zh-CN"/>
        </w:rPr>
        <w:t>A</w:t>
      </w:r>
      <w:r>
        <w:rPr>
          <w:rFonts w:ascii="宋体" w:hAnsi="宋体" w:eastAsia="宋体" w:cs="宋体"/>
          <w:color w:val="auto"/>
          <w:sz w:val="24"/>
          <w:szCs w:val="24"/>
          <w:lang w:eastAsia="zh-CN"/>
        </w:rPr>
        <w:t>I</w:t>
      </w:r>
      <w:r>
        <w:rPr>
          <w:rFonts w:hint="eastAsia" w:ascii="宋体" w:hAnsi="宋体" w:eastAsia="宋体" w:cs="宋体"/>
          <w:color w:val="auto"/>
          <w:sz w:val="24"/>
          <w:szCs w:val="24"/>
          <w:lang w:eastAsia="zh-CN"/>
        </w:rPr>
        <w:t>用于根据特定安全事件编写事件报告，用被利用</w:t>
      </w:r>
      <w:r>
        <w:rPr>
          <w:rFonts w:ascii="宋体" w:hAnsi="宋体" w:eastAsia="宋体" w:cs="宋体"/>
          <w:color w:val="auto"/>
          <w:sz w:val="24"/>
          <w:szCs w:val="24"/>
          <w:lang w:eastAsia="zh-CN"/>
        </w:rPr>
        <w:t>CVE</w:t>
      </w:r>
      <w:r>
        <w:rPr>
          <w:rFonts w:hint="eastAsia" w:ascii="宋体" w:hAnsi="宋体" w:eastAsia="宋体" w:cs="宋体"/>
          <w:color w:val="auto"/>
          <w:sz w:val="24"/>
          <w:szCs w:val="24"/>
          <w:lang w:eastAsia="zh-CN"/>
        </w:rPr>
        <w:t>（常见和曝光的漏洞）的公开信息补充记录的事件信息</w:t>
      </w:r>
    </w:p>
    <w:p w14:paraId="2B72208A">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color w:val="auto"/>
          <w:sz w:val="24"/>
          <w:szCs w:val="24"/>
        </w:rPr>
      </w:pPr>
      <w:r>
        <w:rPr>
          <w:rFonts w:hint="eastAsia" w:ascii="宋体" w:hAnsi="宋体" w:eastAsia="宋体" w:cs="宋体"/>
          <w:b/>
          <w:color w:val="auto"/>
          <w:sz w:val="24"/>
          <w:szCs w:val="24"/>
        </w:rPr>
        <w:t>提示词和输出：</w:t>
      </w:r>
    </w:p>
    <w:p w14:paraId="54571B92">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rPr>
      </w:pPr>
      <w:r>
        <w:rPr>
          <w:rFonts w:ascii="宋体" w:hAnsi="宋体" w:eastAsia="宋体" w:cs="宋体"/>
          <w:b/>
          <w:color w:val="auto"/>
          <w:sz w:val="24"/>
          <w:szCs w:val="24"/>
        </w:rPr>
        <w:tab/>
      </w:r>
      <w:r>
        <w:rPr>
          <w:rFonts w:hint="eastAsia" w:ascii="宋体" w:hAnsi="宋体" w:eastAsia="宋体" w:cs="宋体"/>
          <w:b/>
          <w:color w:val="auto"/>
          <w:sz w:val="24"/>
          <w:szCs w:val="24"/>
        </w:rPr>
        <w:t>提示词：</w:t>
      </w:r>
      <w:r>
        <w:rPr>
          <w:rFonts w:hint="eastAsia" w:ascii="宋体" w:hAnsi="宋体" w:eastAsia="宋体" w:cs="宋体"/>
          <w:color w:val="auto"/>
          <w:sz w:val="24"/>
          <w:szCs w:val="24"/>
        </w:rPr>
        <w:t>为以下事件编写事件报告：“J</w:t>
      </w:r>
      <w:r>
        <w:rPr>
          <w:rFonts w:ascii="宋体" w:hAnsi="宋体" w:eastAsia="宋体" w:cs="宋体"/>
          <w:color w:val="auto"/>
          <w:sz w:val="24"/>
          <w:szCs w:val="24"/>
        </w:rPr>
        <w:t>ohn Smith</w:t>
      </w:r>
      <w:r>
        <w:rPr>
          <w:rFonts w:hint="eastAsia" w:ascii="宋体" w:hAnsi="宋体" w:eastAsia="宋体" w:cs="宋体"/>
          <w:color w:val="auto"/>
          <w:sz w:val="24"/>
          <w:szCs w:val="24"/>
        </w:rPr>
        <w:t>的邮箱在2</w:t>
      </w:r>
      <w:r>
        <w:rPr>
          <w:rFonts w:ascii="宋体" w:hAnsi="宋体" w:eastAsia="宋体" w:cs="宋体"/>
          <w:color w:val="auto"/>
          <w:sz w:val="24"/>
          <w:szCs w:val="24"/>
        </w:rPr>
        <w:t>022</w:t>
      </w:r>
      <w:r>
        <w:rPr>
          <w:rFonts w:hint="eastAsia" w:ascii="宋体" w:hAnsi="宋体" w:eastAsia="宋体" w:cs="宋体"/>
          <w:color w:val="auto"/>
          <w:sz w:val="24"/>
          <w:szCs w:val="24"/>
        </w:rPr>
        <w:t>年</w:t>
      </w:r>
      <w:r>
        <w:rPr>
          <w:rFonts w:ascii="宋体" w:hAnsi="宋体" w:eastAsia="宋体" w:cs="宋体"/>
          <w:color w:val="auto"/>
          <w:sz w:val="24"/>
          <w:szCs w:val="24"/>
        </w:rPr>
        <w:t>9</w:t>
      </w:r>
      <w:r>
        <w:rPr>
          <w:rFonts w:hint="eastAsia" w:ascii="宋体" w:hAnsi="宋体" w:eastAsia="宋体" w:cs="宋体"/>
          <w:color w:val="auto"/>
          <w:sz w:val="24"/>
          <w:szCs w:val="24"/>
        </w:rPr>
        <w:t>月3</w:t>
      </w:r>
      <w:r>
        <w:rPr>
          <w:rFonts w:ascii="宋体" w:hAnsi="宋体" w:eastAsia="宋体" w:cs="宋体"/>
          <w:color w:val="auto"/>
          <w:sz w:val="24"/>
          <w:szCs w:val="24"/>
        </w:rPr>
        <w:t>0</w:t>
      </w:r>
      <w:r>
        <w:rPr>
          <w:rFonts w:hint="eastAsia" w:ascii="宋体" w:hAnsi="宋体" w:eastAsia="宋体" w:cs="宋体"/>
          <w:color w:val="auto"/>
          <w:sz w:val="24"/>
          <w:szCs w:val="24"/>
        </w:rPr>
        <w:t>日被利用漏洞入侵，具体为Microsoft</w:t>
      </w:r>
      <w:r>
        <w:rPr>
          <w:rFonts w:ascii="宋体" w:hAnsi="宋体" w:eastAsia="宋体" w:cs="宋体"/>
          <w:color w:val="auto"/>
          <w:sz w:val="24"/>
          <w:szCs w:val="24"/>
        </w:rPr>
        <w:t xml:space="preserve"> </w:t>
      </w:r>
      <w:r>
        <w:rPr>
          <w:rFonts w:hint="eastAsia" w:ascii="宋体" w:hAnsi="宋体" w:eastAsia="宋体" w:cs="宋体"/>
          <w:color w:val="auto"/>
          <w:sz w:val="24"/>
          <w:szCs w:val="24"/>
        </w:rPr>
        <w:t>Exchange的C</w:t>
      </w:r>
      <w:r>
        <w:rPr>
          <w:rFonts w:ascii="宋体" w:hAnsi="宋体" w:eastAsia="宋体" w:cs="宋体"/>
          <w:color w:val="auto"/>
          <w:sz w:val="24"/>
          <w:szCs w:val="24"/>
        </w:rPr>
        <w:t>VE-2024-26198</w:t>
      </w:r>
      <w:r>
        <w:rPr>
          <w:rFonts w:hint="eastAsia" w:ascii="宋体" w:hAnsi="宋体" w:eastAsia="宋体" w:cs="宋体"/>
          <w:color w:val="auto"/>
          <w:sz w:val="24"/>
          <w:szCs w:val="24"/>
        </w:rPr>
        <w:t>漏洞”</w:t>
      </w:r>
    </w:p>
    <w:p w14:paraId="2CC99289">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b/>
          <w:color w:val="auto"/>
          <w:sz w:val="24"/>
          <w:szCs w:val="24"/>
        </w:rPr>
      </w:pPr>
      <w:r>
        <w:rPr>
          <w:rFonts w:ascii="宋体" w:hAnsi="宋体" w:eastAsia="宋体" w:cs="宋体"/>
          <w:b/>
          <w:color w:val="auto"/>
          <w:sz w:val="24"/>
          <w:szCs w:val="24"/>
        </w:rPr>
        <w:tab/>
      </w:r>
      <w:r>
        <w:rPr>
          <w:rFonts w:hint="eastAsia" w:ascii="宋体" w:hAnsi="宋体" w:eastAsia="宋体" w:cs="宋体"/>
          <w:b/>
          <w:color w:val="auto"/>
          <w:sz w:val="24"/>
          <w:szCs w:val="24"/>
        </w:rPr>
        <w:t>输出：</w:t>
      </w:r>
    </w:p>
    <w:p w14:paraId="4C074F83">
      <w:pPr>
        <w:keepNext w:val="0"/>
        <w:keepLines w:val="0"/>
        <w:pageBreakBefore w:val="0"/>
        <w:widowControl w:val="0"/>
        <w:kinsoku/>
        <w:wordWrap/>
        <w:overflowPunct/>
        <w:topLinePunct w:val="0"/>
        <w:autoSpaceDE w:val="0"/>
        <w:autoSpaceDN w:val="0"/>
        <w:bidi w:val="0"/>
        <w:adjustRightInd/>
        <w:snapToGrid/>
        <w:spacing w:after="200" w:line="360" w:lineRule="auto"/>
        <w:ind w:left="770" w:leftChars="350" w:right="143" w:rightChars="65"/>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事件日期：2022年9月30日，严重程度：高，类型：RCE，受影响用户：John Smith，</w:t>
      </w:r>
    </w:p>
    <w:p w14:paraId="4F8221D7">
      <w:pPr>
        <w:keepNext w:val="0"/>
        <w:keepLines w:val="0"/>
        <w:pageBreakBefore w:val="0"/>
        <w:widowControl w:val="0"/>
        <w:kinsoku/>
        <w:wordWrap/>
        <w:overflowPunct/>
        <w:topLinePunct w:val="0"/>
        <w:autoSpaceDE w:val="0"/>
        <w:autoSpaceDN w:val="0"/>
        <w:bidi w:val="0"/>
        <w:adjustRightInd/>
        <w:snapToGrid/>
        <w:spacing w:after="200" w:line="360" w:lineRule="auto"/>
        <w:ind w:left="770" w:leftChars="350" w:right="143" w:rightChars="65"/>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受影响资产：Microsoft Exchange 5.11.203</w:t>
      </w:r>
    </w:p>
    <w:p w14:paraId="4E59195C">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897" w:firstLineChars="374"/>
        <w:textAlignment w:val="auto"/>
        <w:rPr>
          <w:rFonts w:ascii="宋体" w:hAnsi="宋体"/>
          <w:color w:val="auto"/>
          <w:sz w:val="24"/>
          <w:szCs w:val="24"/>
          <w:lang w:eastAsia="zh-CN"/>
        </w:rPr>
      </w:pPr>
      <w:r>
        <w:rPr>
          <w:rFonts w:hint="eastAsia" w:ascii="宋体" w:hAnsi="宋体"/>
          <w:color w:val="auto"/>
          <w:sz w:val="24"/>
          <w:szCs w:val="24"/>
          <w:lang w:eastAsia="zh-CN"/>
        </w:rPr>
        <w:t>CVE描述：根据CVSS指标，攻击向量是网络（AV:N），需要用户交互（UI:R）。远程</w:t>
      </w:r>
      <w:r>
        <w:rPr>
          <w:rFonts w:hint="eastAsia" w:ascii="宋体" w:hAnsi="宋体"/>
          <w:color w:val="auto"/>
          <w:sz w:val="24"/>
          <w:szCs w:val="24"/>
          <w:lang w:val="en-US" w:eastAsia="zh-CN"/>
        </w:rPr>
        <w:tab/>
        <w:t/>
      </w:r>
      <w:r>
        <w:rPr>
          <w:rFonts w:hint="eastAsia" w:ascii="宋体" w:hAnsi="宋体"/>
          <w:color w:val="auto"/>
          <w:sz w:val="24"/>
          <w:szCs w:val="24"/>
          <w:lang w:val="en-US" w:eastAsia="zh-CN"/>
        </w:rPr>
        <w:tab/>
      </w:r>
      <w:r>
        <w:rPr>
          <w:rFonts w:hint="eastAsia" w:ascii="宋体" w:hAnsi="宋体"/>
          <w:color w:val="auto"/>
          <w:sz w:val="24"/>
          <w:szCs w:val="24"/>
          <w:lang w:eastAsia="zh-CN"/>
        </w:rPr>
        <w:t>代码执行的目标背景是什么？这种攻击需要一个特别制作的文件被放置在一个在线</w:t>
      </w:r>
      <w:r>
        <w:rPr>
          <w:rFonts w:hint="eastAsia" w:ascii="宋体" w:hAnsi="宋体"/>
          <w:color w:val="auto"/>
          <w:sz w:val="24"/>
          <w:szCs w:val="24"/>
          <w:lang w:val="en-US" w:eastAsia="zh-CN"/>
        </w:rPr>
        <w:tab/>
        <w:t/>
      </w:r>
      <w:r>
        <w:rPr>
          <w:rFonts w:hint="eastAsia" w:ascii="宋体" w:hAnsi="宋体"/>
          <w:color w:val="auto"/>
          <w:sz w:val="24"/>
          <w:szCs w:val="24"/>
          <w:lang w:val="en-US" w:eastAsia="zh-CN"/>
        </w:rPr>
        <w:tab/>
      </w:r>
      <w:r>
        <w:rPr>
          <w:rFonts w:hint="eastAsia" w:ascii="宋体" w:hAnsi="宋体"/>
          <w:color w:val="auto"/>
          <w:sz w:val="24"/>
          <w:szCs w:val="24"/>
          <w:lang w:eastAsia="zh-CN"/>
        </w:rPr>
        <w:t>目录或本地网络位置。当受害者运行这个文件时，它加载了恶意DLL。攻击者如何利</w:t>
      </w:r>
      <w:r>
        <w:rPr>
          <w:rFonts w:hint="eastAsia" w:ascii="宋体" w:hAnsi="宋体"/>
          <w:color w:val="auto"/>
          <w:sz w:val="24"/>
          <w:szCs w:val="24"/>
          <w:lang w:val="en-US" w:eastAsia="zh-CN"/>
        </w:rPr>
        <w:tab/>
        <w:t/>
      </w:r>
      <w:r>
        <w:rPr>
          <w:rFonts w:hint="eastAsia" w:ascii="宋体" w:hAnsi="宋体"/>
          <w:color w:val="auto"/>
          <w:sz w:val="24"/>
          <w:szCs w:val="24"/>
          <w:lang w:val="en-US" w:eastAsia="zh-CN"/>
        </w:rPr>
        <w:tab/>
      </w:r>
      <w:r>
        <w:rPr>
          <w:rFonts w:hint="eastAsia" w:ascii="宋体" w:hAnsi="宋体"/>
          <w:color w:val="auto"/>
          <w:sz w:val="24"/>
          <w:szCs w:val="24"/>
          <w:lang w:eastAsia="zh-CN"/>
        </w:rPr>
        <w:t>用这个漏洞？未经身份验证的攻击者可以通过将特别制作的文件放置在一个在线目</w:t>
      </w:r>
      <w:r>
        <w:rPr>
          <w:rFonts w:hint="eastAsia" w:ascii="宋体" w:hAnsi="宋体"/>
          <w:color w:val="auto"/>
          <w:sz w:val="24"/>
          <w:szCs w:val="24"/>
          <w:lang w:val="en-US" w:eastAsia="zh-CN"/>
        </w:rPr>
        <w:tab/>
        <w:t/>
      </w:r>
      <w:r>
        <w:rPr>
          <w:rFonts w:hint="eastAsia" w:ascii="宋体" w:hAnsi="宋体"/>
          <w:color w:val="auto"/>
          <w:sz w:val="24"/>
          <w:szCs w:val="24"/>
          <w:lang w:val="en-US" w:eastAsia="zh-CN"/>
        </w:rPr>
        <w:tab/>
      </w:r>
      <w:r>
        <w:rPr>
          <w:rFonts w:hint="eastAsia" w:ascii="宋体" w:hAnsi="宋体"/>
          <w:color w:val="auto"/>
          <w:sz w:val="24"/>
          <w:szCs w:val="24"/>
          <w:lang w:eastAsia="zh-CN"/>
        </w:rPr>
        <w:t>录或本地网络位置，然后说服用户打开它来利用这个漏洞。在成功攻击中，这将加载</w:t>
      </w:r>
      <w:r>
        <w:rPr>
          <w:rFonts w:hint="eastAsia" w:ascii="宋体" w:hAnsi="宋体"/>
          <w:color w:val="auto"/>
          <w:sz w:val="24"/>
          <w:szCs w:val="24"/>
          <w:lang w:val="en-US" w:eastAsia="zh-CN"/>
        </w:rPr>
        <w:tab/>
        <w:t/>
      </w:r>
      <w:r>
        <w:rPr>
          <w:rFonts w:hint="eastAsia" w:ascii="宋体" w:hAnsi="宋体"/>
          <w:color w:val="auto"/>
          <w:sz w:val="24"/>
          <w:szCs w:val="24"/>
          <w:lang w:val="en-US" w:eastAsia="zh-CN"/>
        </w:rPr>
        <w:tab/>
      </w:r>
      <w:r>
        <w:rPr>
          <w:rFonts w:hint="eastAsia" w:ascii="宋体" w:hAnsi="宋体"/>
          <w:color w:val="auto"/>
          <w:sz w:val="24"/>
          <w:szCs w:val="24"/>
          <w:lang w:eastAsia="zh-CN"/>
        </w:rPr>
        <w:t>一个恶意DLL，可能导致远程代码执行。</w:t>
      </w:r>
    </w:p>
    <w:p w14:paraId="4B2EB99C">
      <w:pPr>
        <w:keepNext w:val="0"/>
        <w:keepLines w:val="0"/>
        <w:pageBreakBefore w:val="0"/>
        <w:widowControl w:val="0"/>
        <w:kinsoku/>
        <w:wordWrap/>
        <w:overflowPunct/>
        <w:topLinePunct w:val="0"/>
        <w:autoSpaceDE w:val="0"/>
        <w:autoSpaceDN w:val="0"/>
        <w:bidi w:val="0"/>
        <w:adjustRightInd/>
        <w:snapToGrid/>
        <w:spacing w:after="200" w:line="360" w:lineRule="auto"/>
        <w:ind w:left="420" w:right="156"/>
        <w:textAlignment w:val="auto"/>
        <w:rPr>
          <w:rFonts w:hint="eastAsia" w:ascii="宋体" w:hAnsi="宋体" w:eastAsia="宋体" w:cs="宋体"/>
          <w:color w:val="auto"/>
          <w:sz w:val="24"/>
          <w:szCs w:val="24"/>
          <w:lang w:eastAsia="zh-CN"/>
        </w:rPr>
      </w:pPr>
      <w:r>
        <w:rPr>
          <w:rFonts w:hint="eastAsia" w:ascii="宋体" w:hAnsi="宋体" w:eastAsia="宋体" w:cs="宋体"/>
          <w:b/>
          <w:color w:val="auto"/>
          <w:sz w:val="24"/>
          <w:szCs w:val="24"/>
          <w:lang w:eastAsia="zh-CN"/>
        </w:rPr>
        <w:t>缓解措施：</w:t>
      </w:r>
      <w:r>
        <w:rPr>
          <w:rFonts w:hint="eastAsia" w:ascii="宋体" w:hAnsi="宋体" w:eastAsia="宋体" w:cs="宋体"/>
          <w:color w:val="auto"/>
          <w:sz w:val="24"/>
          <w:szCs w:val="24"/>
          <w:lang w:eastAsia="zh-CN"/>
        </w:rPr>
        <w:t>模糊敏感信息，如事件的名称和日期。</w:t>
      </w:r>
    </w:p>
    <w:p w14:paraId="5A9371AF">
      <w:pPr>
        <w:keepNext w:val="0"/>
        <w:keepLines w:val="0"/>
        <w:pageBreakBefore w:val="0"/>
        <w:widowControl w:val="0"/>
        <w:kinsoku/>
        <w:wordWrap/>
        <w:overflowPunct/>
        <w:topLinePunct w:val="0"/>
        <w:autoSpaceDE w:val="0"/>
        <w:autoSpaceDN w:val="0"/>
        <w:bidi w:val="0"/>
        <w:adjustRightInd/>
        <w:snapToGrid/>
        <w:spacing w:after="200" w:line="360" w:lineRule="auto"/>
        <w:ind w:right="143" w:rightChars="65" w:firstLine="420"/>
        <w:textAlignment w:val="auto"/>
        <w:rPr>
          <w:rFonts w:hint="eastAsia" w:ascii="宋体" w:hAnsi="宋体" w:eastAsia="宋体" w:cs="宋体"/>
          <w:b/>
          <w:color w:val="auto"/>
          <w:sz w:val="24"/>
          <w:szCs w:val="24"/>
          <w:lang w:eastAsia="zh-CN"/>
        </w:rPr>
      </w:pPr>
      <w:r>
        <w:rPr>
          <w:rFonts w:hint="eastAsia" w:ascii="宋体" w:hAnsi="宋体" w:eastAsia="宋体" w:cs="宋体"/>
          <w:b/>
          <w:color w:val="auto"/>
          <w:sz w:val="24"/>
          <w:szCs w:val="24"/>
          <w:lang w:eastAsia="zh-CN"/>
        </w:rPr>
        <w:t>摘要：</w:t>
      </w:r>
    </w:p>
    <w:p w14:paraId="657D2282">
      <w:pPr>
        <w:keepNext w:val="0"/>
        <w:keepLines w:val="0"/>
        <w:pageBreakBefore w:val="0"/>
        <w:widowControl w:val="0"/>
        <w:kinsoku/>
        <w:wordWrap/>
        <w:overflowPunct/>
        <w:topLinePunct w:val="0"/>
        <w:autoSpaceDE w:val="0"/>
        <w:autoSpaceDN w:val="0"/>
        <w:bidi w:val="0"/>
        <w:adjustRightInd/>
        <w:snapToGrid/>
        <w:spacing w:after="200" w:line="360" w:lineRule="auto"/>
        <w:ind w:left="420" w:right="143" w:rightChars="65" w:firstLine="42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这个场景突出了AI有潜在生成可能披露敏感信息的安全报告。为了缓解这个风险，将实施预处理步骤来对报告脱敏，并防止意外披露攻击者可能利用的细节。</w:t>
      </w:r>
    </w:p>
    <w:p w14:paraId="0CA1D090">
      <w:pPr>
        <w:keepNext w:val="0"/>
        <w:keepLines w:val="0"/>
        <w:pageBreakBefore w:val="0"/>
        <w:widowControl w:val="0"/>
        <w:kinsoku/>
        <w:wordWrap/>
        <w:overflowPunct/>
        <w:topLinePunct w:val="0"/>
        <w:autoSpaceDE w:val="0"/>
        <w:autoSpaceDN w:val="0"/>
        <w:bidi w:val="0"/>
        <w:adjustRightInd/>
        <w:snapToGrid/>
        <w:spacing w:after="200" w:line="360" w:lineRule="auto"/>
        <w:ind w:right="143" w:rightChars="65" w:firstLine="420"/>
        <w:textAlignment w:val="auto"/>
        <w:rPr>
          <w:rFonts w:hint="eastAsia" w:ascii="宋体" w:hAnsi="宋体" w:eastAsia="宋体" w:cs="宋体"/>
          <w:b/>
          <w:color w:val="auto"/>
          <w:sz w:val="24"/>
          <w:szCs w:val="24"/>
        </w:rPr>
      </w:pPr>
      <w:r>
        <w:rPr>
          <w:rFonts w:hint="eastAsia" w:ascii="宋体" w:hAnsi="宋体" w:eastAsia="宋体" w:cs="宋体"/>
          <w:b/>
          <w:color w:val="auto"/>
          <w:sz w:val="24"/>
          <w:szCs w:val="24"/>
        </w:rPr>
        <w:t>效益：</w:t>
      </w:r>
    </w:p>
    <w:p w14:paraId="36CAD70A">
      <w:pPr>
        <w:pStyle w:val="42"/>
        <w:keepNext w:val="0"/>
        <w:keepLines w:val="0"/>
        <w:pageBreakBefore w:val="0"/>
        <w:widowControl w:val="0"/>
        <w:numPr>
          <w:numId w:val="0"/>
        </w:numPr>
        <w:kinsoku/>
        <w:wordWrap/>
        <w:overflowPunct/>
        <w:topLinePunct w:val="0"/>
        <w:autoSpaceDE w:val="0"/>
        <w:autoSpaceDN w:val="0"/>
        <w:bidi w:val="0"/>
        <w:adjustRightInd/>
        <w:snapToGrid/>
        <w:spacing w:after="200" w:line="360" w:lineRule="auto"/>
        <w:ind w:right="143" w:rightChars="65" w:firstLine="420" w:firstLineChars="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数据手册、风险卡和场景规划之间的这种整合通过以下方式加强了整个MRM框架：</w:t>
      </w:r>
    </w:p>
    <w:p w14:paraId="1EA8735A">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提升透明度：</w:t>
      </w:r>
      <w:r>
        <w:rPr>
          <w:rFonts w:hint="eastAsia" w:ascii="Calibri" w:hAnsi="Calibri" w:eastAsia="宋体" w:cs="Calibri"/>
          <w:b w:val="0"/>
          <w:bCs w:val="0"/>
          <w:sz w:val="24"/>
          <w:szCs w:val="24"/>
          <w:lang w:eastAsia="zh-CN"/>
        </w:rPr>
        <w:t>数据手册确保清晰地传达模型的设计和局限性，促进明智的决策。</w:t>
      </w:r>
    </w:p>
    <w:p w14:paraId="3F5DF99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提高风险识别能力：</w:t>
      </w:r>
      <w:r>
        <w:rPr>
          <w:rFonts w:hint="eastAsia" w:ascii="Calibri" w:hAnsi="Calibri" w:eastAsia="宋体" w:cs="Calibri"/>
          <w:b w:val="0"/>
          <w:bCs w:val="0"/>
          <w:sz w:val="24"/>
          <w:szCs w:val="24"/>
          <w:lang w:eastAsia="zh-CN"/>
        </w:rPr>
        <w:t>通过数据手册对模型的全面理解能够进行更彻底的风险评估。</w:t>
      </w:r>
    </w:p>
    <w:p w14:paraId="133C208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启用迭代方法：</w:t>
      </w:r>
      <w:r>
        <w:rPr>
          <w:rFonts w:hint="eastAsia" w:ascii="Calibri" w:hAnsi="Calibri" w:eastAsia="宋体" w:cs="Calibri"/>
          <w:b w:val="0"/>
          <w:bCs w:val="0"/>
          <w:sz w:val="24"/>
          <w:szCs w:val="24"/>
          <w:lang w:eastAsia="zh-CN"/>
        </w:rPr>
        <w:t>使用基于风险卡的输入来模拟模型(由数据手册定义)，以定义数据手册的输入，从而驱动数据手册的迭代细化，并改进模型的健壮性和韧性。</w:t>
      </w:r>
    </w:p>
    <w:p w14:paraId="04B856ED">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促进有效缓解：</w:t>
      </w:r>
      <w:r>
        <w:rPr>
          <w:rFonts w:hint="eastAsia" w:ascii="Calibri" w:hAnsi="Calibri" w:eastAsia="宋体" w:cs="Calibri"/>
          <w:b w:val="0"/>
          <w:bCs w:val="0"/>
          <w:sz w:val="24"/>
          <w:szCs w:val="24"/>
          <w:lang w:eastAsia="zh-CN"/>
        </w:rPr>
        <w:t>可通过场景规划(由数据手册提供信息)预测潜在问题，从而制定主动缓解战略。</w:t>
      </w:r>
    </w:p>
    <w:p w14:paraId="418E75BF">
      <w:pPr>
        <w:keepNext w:val="0"/>
        <w:keepLines w:val="0"/>
        <w:pageBreakBefore w:val="0"/>
        <w:widowControl w:val="0"/>
        <w:kinsoku/>
        <w:wordWrap/>
        <w:overflowPunct/>
        <w:topLinePunct w:val="0"/>
        <w:autoSpaceDE w:val="0"/>
        <w:autoSpaceDN w:val="0"/>
        <w:bidi w:val="0"/>
        <w:adjustRightInd/>
        <w:snapToGrid/>
        <w:spacing w:after="200" w:line="360" w:lineRule="auto"/>
        <w:ind w:left="420" w:leftChars="0" w:right="143" w:rightChars="65" w:firstLine="420" w:firstLineChars="0"/>
        <w:textAlignment w:val="auto"/>
        <w:rPr>
          <w:rFonts w:hint="eastAsia" w:ascii="宋体" w:hAnsi="宋体" w:eastAsia="宋体" w:cs="宋体"/>
          <w:highlight w:val="yellow"/>
          <w:lang w:eastAsia="zh-CN"/>
        </w:rPr>
      </w:pPr>
      <w:r>
        <w:rPr>
          <w:rFonts w:hint="eastAsia" w:ascii="宋体" w:hAnsi="宋体" w:eastAsia="宋体" w:cs="宋体"/>
          <w:color w:val="auto"/>
          <w:sz w:val="24"/>
          <w:szCs w:val="24"/>
          <w:lang w:eastAsia="zh-CN"/>
        </w:rPr>
        <w:t>组织可以通过将数据手册与模型卡和风险卡结合在一起，培养可信和可靠的模型使用方</w:t>
      </w:r>
      <w:r>
        <w:rPr>
          <w:rFonts w:hint="eastAsia" w:ascii="宋体" w:hAnsi="宋体" w:eastAsia="宋体" w:cs="宋体"/>
          <w:color w:val="auto"/>
          <w:sz w:val="24"/>
          <w:szCs w:val="24"/>
          <w:lang w:val="en-US" w:eastAsia="zh-CN"/>
        </w:rPr>
        <w:tab/>
      </w:r>
      <w:r>
        <w:rPr>
          <w:rFonts w:hint="eastAsia" w:ascii="宋体" w:hAnsi="宋体" w:eastAsia="宋体" w:cs="宋体"/>
          <w:color w:val="auto"/>
          <w:sz w:val="24"/>
          <w:szCs w:val="24"/>
          <w:lang w:eastAsia="zh-CN"/>
        </w:rPr>
        <w:t>式，从而创建一个健全且证据完备的RMF。</w:t>
      </w:r>
    </w:p>
    <w:p w14:paraId="1147F07D">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sz w:val="32"/>
          <w:szCs w:val="32"/>
          <w:lang w:eastAsia="zh-CN"/>
        </w:rPr>
      </w:pPr>
      <w:bookmarkStart w:id="66" w:name="_Toc195018727"/>
      <w:r>
        <w:rPr>
          <w:rFonts w:hint="eastAsia" w:ascii="黑体" w:hAnsi="黑体" w:eastAsia="黑体" w:cs="黑体"/>
          <w:b/>
          <w:bCs/>
          <w:sz w:val="32"/>
          <w:szCs w:val="32"/>
          <w:lang w:eastAsia="zh-CN"/>
        </w:rPr>
        <w:t>4.场景规划对风险管理和开发的反馈</w:t>
      </w:r>
      <w:bookmarkEnd w:id="66"/>
    </w:p>
    <w:p w14:paraId="0FE1A58F">
      <w:pPr>
        <w:pStyle w:val="50"/>
        <w:pageBreakBefore w:val="0"/>
        <w:kinsoku/>
        <w:wordWrap/>
        <w:overflowPunct/>
        <w:topLinePunct w:val="0"/>
        <w:bidi w:val="0"/>
        <w:adjustRightInd/>
        <w:snapToGrid/>
        <w:spacing w:after="200" w:line="360" w:lineRule="auto"/>
        <w:ind w:firstLine="480"/>
        <w:textAlignment w:val="auto"/>
        <w:rPr>
          <w:rFonts w:ascii="宋体" w:hAnsi="宋体"/>
          <w:lang w:eastAsia="zh-CN"/>
        </w:rPr>
      </w:pPr>
      <w:r>
        <w:rPr>
          <w:rFonts w:hint="eastAsia" w:ascii="宋体" w:hAnsi="宋体" w:cs="宋体"/>
          <w:lang w:eastAsia="zh-CN"/>
        </w:rPr>
        <w:t>场景规划</w:t>
      </w:r>
      <w:r>
        <w:rPr>
          <w:rFonts w:hint="eastAsia" w:ascii="宋体" w:hAnsi="宋体"/>
          <w:lang w:eastAsia="zh-CN"/>
        </w:rPr>
        <w:t>的洞察可以完善现有的风险评估，并识别出新的、未预见到的风险。这种持续的反馈循环加强了整体框架。</w:t>
      </w:r>
    </w:p>
    <w:p w14:paraId="5E9910A0">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rPr>
      </w:pPr>
      <w:r>
        <w:rPr>
          <w:rFonts w:hint="eastAsia" w:ascii="黑体" w:hAnsi="黑体" w:eastAsia="黑体" w:cs="黑体"/>
          <w:b/>
          <w:bCs/>
          <w:sz w:val="28"/>
          <w:szCs w:val="28"/>
          <w:lang w:eastAsia="zh-CN"/>
        </w:rPr>
        <w:t>1.</w:t>
      </w:r>
      <w:r>
        <w:rPr>
          <w:rFonts w:hint="eastAsia" w:ascii="黑体" w:hAnsi="黑体" w:eastAsia="黑体" w:cs="黑体"/>
          <w:b/>
          <w:bCs/>
          <w:sz w:val="28"/>
          <w:szCs w:val="28"/>
        </w:rPr>
        <w:t>进行模型场景规划</w:t>
      </w:r>
    </w:p>
    <w:p w14:paraId="311FB46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定义模型的范围（例如，AI系统、业务流程）</w:t>
      </w:r>
    </w:p>
    <w:p w14:paraId="2857901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识别并优先考虑潜在的未来场景（积极的、消极的、中性的）。</w:t>
      </w:r>
    </w:p>
    <w:p w14:paraId="423F3ADD">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考虑影响这些场景的各种因素（例如，技术进步、监管变化、经济转移）。</w:t>
      </w:r>
    </w:p>
    <w:p w14:paraId="0EC203D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分析每种场景对模型的影响（例如，风险暴露、性能、资源需求）。</w:t>
      </w:r>
    </w:p>
    <w:p w14:paraId="4419CA2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当您定义模型的范围并分析场景影响时，请参考数据手册，来理解模型训练所使用的数据。数据手册中的信息，如数据收集方法、数据特征和潜在偏见，对于考虑数据质量如何在不同场景下影响模型性能至关重要。</w:t>
      </w:r>
    </w:p>
    <w:p w14:paraId="2C6D612F">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lang w:eastAsia="zh-CN"/>
        </w:rPr>
      </w:pPr>
      <w:r>
        <w:rPr>
          <w:rFonts w:hint="eastAsia" w:ascii="黑体" w:hAnsi="黑体" w:eastAsia="黑体" w:cs="黑体"/>
          <w:b/>
          <w:bCs/>
          <w:sz w:val="28"/>
          <w:szCs w:val="28"/>
          <w:lang w:eastAsia="zh-CN"/>
        </w:rPr>
        <w:t>2.识别风险并制定应对策略</w:t>
      </w:r>
    </w:p>
    <w:p w14:paraId="7B361D31">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根据场景分析，识别与每种场景相关的潜在风险。</w:t>
      </w:r>
    </w:p>
    <w:p w14:paraId="660AC7D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评估每个风险的可能性和严重性。</w:t>
      </w:r>
    </w:p>
    <w:p w14:paraId="46A0E090">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针对已识别的风险制定应对策略。这些策略可能包括：</w:t>
      </w:r>
    </w:p>
    <w:p w14:paraId="24D3D845">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实施控制措施以降低风险发生的可能性。</w:t>
      </w:r>
    </w:p>
    <w:p w14:paraId="6E1C8E61">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制定应急计划以应对风险一旦出现的情况。</w:t>
      </w:r>
    </w:p>
    <w:p w14:paraId="588F0BBC">
      <w:pPr>
        <w:pageBreakBefore w:val="0"/>
        <w:numPr>
          <w:ilvl w:val="2"/>
          <w:numId w:val="5"/>
        </w:numPr>
        <w:tabs>
          <w:tab w:val="left" w:pos="1539"/>
          <w:tab w:val="left" w:pos="1540"/>
        </w:tabs>
        <w:kinsoku/>
        <w:wordWrap/>
        <w:overflowPunct/>
        <w:topLinePunct w:val="0"/>
        <w:bidi w:val="0"/>
        <w:adjustRightInd/>
        <w:snapToGrid/>
        <w:spacing w:after="200" w:line="360" w:lineRule="auto"/>
        <w:ind w:right="380"/>
        <w:textAlignment w:val="auto"/>
        <w:rPr>
          <w:rFonts w:hint="eastAsia" w:ascii="Calibri" w:hAnsi="Calibri" w:eastAsia="宋体" w:cs="Calibri"/>
          <w:b w:val="0"/>
          <w:bCs/>
          <w:color w:val="1F1F1F"/>
          <w:sz w:val="24"/>
          <w:szCs w:val="24"/>
          <w:lang w:eastAsia="zh-CN"/>
        </w:rPr>
      </w:pPr>
      <w:r>
        <w:rPr>
          <w:rFonts w:hint="eastAsia" w:ascii="Calibri" w:hAnsi="Calibri" w:eastAsia="宋体" w:cs="Calibri"/>
          <w:b w:val="0"/>
          <w:bCs/>
          <w:color w:val="1F1F1F"/>
          <w:sz w:val="24"/>
          <w:szCs w:val="24"/>
          <w:lang w:eastAsia="zh-CN"/>
        </w:rPr>
        <w:t>分配资源以解决高优先级风险。</w:t>
      </w:r>
    </w:p>
    <w:p w14:paraId="02C205BD">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使用场景规划的洞察来创建风险卡片。这些卡片可以记录与每种场景相关的已识别风险、它们的可能性和严重性，以及潜在的缓解策略。</w:t>
      </w:r>
    </w:p>
    <w:p w14:paraId="6862E05A">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数据手册在风险识别过程中也很有用。例如，数据的局限性（例如，缺乏多样性、存在偏见）可能在某些场景下导致特定的风险。</w:t>
      </w:r>
    </w:p>
    <w:p w14:paraId="3445BB7C">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lang w:eastAsia="zh-CN"/>
        </w:rPr>
      </w:pPr>
      <w:r>
        <w:rPr>
          <w:rFonts w:hint="eastAsia" w:ascii="黑体" w:hAnsi="黑体" w:eastAsia="黑体" w:cs="黑体"/>
          <w:b/>
          <w:bCs/>
          <w:sz w:val="28"/>
          <w:szCs w:val="28"/>
          <w:lang w:eastAsia="zh-CN"/>
        </w:rPr>
        <w:t>3.风险管理反馈</w:t>
      </w:r>
    </w:p>
    <w:p w14:paraId="723645E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根据在不同场景下识别的风险及其潜在影响更新风险评估。</w:t>
      </w:r>
    </w:p>
    <w:p w14:paraId="2724C88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优化风险管理流程，使其更能适应潜在的未来不确定性。</w:t>
      </w:r>
    </w:p>
    <w:p w14:paraId="492D7E3E">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根据通过场景规划识别的风险的严重性和可能性，以及潜在缓解策略的成本和复杂性，分配资源进行风险缓解。</w:t>
      </w:r>
    </w:p>
    <w:p w14:paraId="7150E7E3">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可以根据场景规划的结果创建或更新模型卡片。这些卡片总结了有关模型的关键信息，包括其目的、预期用例、性能指标和潜在局限性。场景规划的洞察可以为模型卡片中涉及潜在偏见、公平性考虑以及模型在不可预见情况下可能的表现的部分提供信息。</w:t>
      </w:r>
    </w:p>
    <w:p w14:paraId="47DCE7B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在第2步中创建的风险卡片可以集成到现有的风险管理框架（RMF）中，提供对模型在各种未来场景下潜在风险的更全面理解。</w:t>
      </w:r>
    </w:p>
    <w:p w14:paraId="00B29295">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lang w:eastAsia="zh-CN"/>
        </w:rPr>
      </w:pPr>
      <w:r>
        <w:rPr>
          <w:rFonts w:hint="eastAsia" w:ascii="黑体" w:hAnsi="黑体" w:eastAsia="黑体" w:cs="黑体"/>
          <w:b/>
          <w:bCs/>
          <w:sz w:val="28"/>
          <w:szCs w:val="28"/>
          <w:lang w:eastAsia="zh-CN"/>
        </w:rPr>
        <w:t>4.反馈给开发</w:t>
      </w:r>
    </w:p>
    <w:p w14:paraId="5DAE009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通过考虑潜在的未来场景及其相关风险，为开发决策提供信息。</w:t>
      </w:r>
    </w:p>
    <w:p w14:paraId="7759B65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设计模型时考虑灵活性和适应性，思考在不同情况下可能需要如何调整。</w:t>
      </w:r>
    </w:p>
    <w:p w14:paraId="47B4F4DB">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开发能够解决通过场景规划识别出的潜在风险的特性或功能。</w:t>
      </w:r>
    </w:p>
    <w:p w14:paraId="042259E4">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实施健全的测试程序，确保模型在各种场景下按预期运行。</w:t>
      </w:r>
    </w:p>
    <w:p w14:paraId="34DF3B9F">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可以选择在开发和风险管理之间采用迭代的敏捷方法，特别是在某些用例中，风险降低与增加价值高度相关（例如，减少有毒语言会增加大型语言模型的采用率）。</w:t>
      </w:r>
    </w:p>
    <w:p w14:paraId="72FF1AA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bCs/>
          <w:sz w:val="24"/>
          <w:szCs w:val="24"/>
          <w:lang w:eastAsia="zh-CN"/>
        </w:rPr>
      </w:pPr>
      <w:r>
        <w:rPr>
          <w:rFonts w:hint="eastAsia" w:ascii="Calibri" w:hAnsi="Calibri" w:eastAsia="宋体" w:cs="Calibri"/>
          <w:b w:val="0"/>
          <w:bCs w:val="0"/>
          <w:sz w:val="24"/>
          <w:szCs w:val="24"/>
          <w:lang w:eastAsia="zh-CN"/>
        </w:rPr>
        <w:t>模型卡片和风险卡片可以为开发决策提供信息。开发人员在考虑设计元素，如灵活性和构建缓解风险的特性时，可以参考这些卡片中捕获的信息。</w:t>
      </w:r>
    </w:p>
    <w:p w14:paraId="3FAE54FB">
      <w:pPr>
        <w:pStyle w:val="13"/>
        <w:pageBreakBefore w:val="0"/>
        <w:kinsoku/>
        <w:wordWrap/>
        <w:overflowPunct/>
        <w:topLinePunct w:val="0"/>
        <w:bidi w:val="0"/>
        <w:adjustRightInd/>
        <w:snapToGrid/>
        <w:spacing w:after="200" w:line="360" w:lineRule="auto"/>
        <w:ind w:firstLine="562"/>
        <w:textAlignment w:val="auto"/>
        <w:rPr>
          <w:rFonts w:hint="eastAsia" w:ascii="黑体" w:hAnsi="黑体" w:eastAsia="黑体" w:cs="黑体"/>
          <w:b/>
          <w:bCs/>
          <w:sz w:val="28"/>
          <w:szCs w:val="28"/>
          <w:lang w:eastAsia="zh-CN"/>
        </w:rPr>
      </w:pPr>
      <w:r>
        <w:rPr>
          <w:rFonts w:hint="eastAsia" w:ascii="黑体" w:hAnsi="黑体" w:eastAsia="黑体" w:cs="黑体"/>
          <w:b/>
          <w:bCs/>
          <w:sz w:val="28"/>
          <w:szCs w:val="28"/>
          <w:lang w:eastAsia="zh-CN"/>
        </w:rPr>
        <w:t>5.持续监督</w:t>
      </w:r>
    </w:p>
    <w:p w14:paraId="1DFEF2A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随着新信息或新发展出现，定期回顾并更新场景规划。</w:t>
      </w:r>
    </w:p>
    <w:p w14:paraId="58AEF556">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将场景规划练习整合到开发生命周期中。</w:t>
      </w:r>
    </w:p>
    <w:p w14:paraId="4B06BED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持续监控和评估风险缓解策略的有效性。</w:t>
      </w:r>
    </w:p>
    <w:p w14:paraId="5CD3BC0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根据经验，优化场景规划、风险管理和开发之间的反馈循环。</w:t>
      </w:r>
    </w:p>
    <w:p w14:paraId="41E06F4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eastAsia="zh-CN"/>
        </w:rPr>
        <w:t>模型卡片、风险卡片和数据手册，这三种文档都是活文档。随着场景规划或其他来源出现的新信息或新发展，应重新审视并修订这些文档，以保持它们的准确性和有效性。</w:t>
      </w:r>
    </w:p>
    <w:p w14:paraId="5A197C09">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color w:val="auto"/>
          <w:sz w:val="32"/>
          <w:szCs w:val="32"/>
          <w:lang w:eastAsia="zh-CN"/>
        </w:rPr>
      </w:pPr>
      <w:bookmarkStart w:id="67" w:name="_Toc195018728"/>
      <w:r>
        <w:rPr>
          <w:rFonts w:hint="eastAsia" w:ascii="黑体" w:hAnsi="黑体" w:eastAsia="黑体" w:cs="黑体"/>
          <w:b/>
          <w:bCs/>
          <w:color w:val="auto"/>
          <w:sz w:val="32"/>
          <w:szCs w:val="32"/>
          <w:lang w:eastAsia="zh-CN"/>
        </w:rPr>
        <w:t>5.AI MRM 在行动</w:t>
      </w:r>
      <w:bookmarkEnd w:id="67"/>
    </w:p>
    <w:p w14:paraId="1EB85A89">
      <w:pPr>
        <w:pStyle w:val="13"/>
        <w:pageBreakBefore w:val="0"/>
        <w:kinsoku/>
        <w:wordWrap/>
        <w:overflowPunct/>
        <w:topLinePunct w:val="0"/>
        <w:bidi w:val="0"/>
        <w:adjustRightInd/>
        <w:snapToGrid/>
        <w:spacing w:after="200" w:line="360" w:lineRule="auto"/>
        <w:ind w:firstLine="480"/>
        <w:textAlignment w:val="auto"/>
        <w:rPr>
          <w:rFonts w:hint="eastAsia" w:ascii="宋体" w:hAnsi="宋体"/>
          <w:lang w:eastAsia="zh-CN"/>
        </w:rPr>
      </w:pPr>
      <w:r>
        <w:rPr>
          <w:rFonts w:hint="eastAsia" w:ascii="宋体" w:hAnsi="宋体"/>
          <w:lang w:eastAsia="zh-CN"/>
        </w:rPr>
        <w:t>这一部分通过探索一个现实世界的应用，</w:t>
      </w:r>
      <w:r>
        <w:rPr>
          <w:rFonts w:hint="eastAsia" w:ascii="宋体" w:hAnsi="宋体" w:cs="宋体"/>
          <w:lang w:eastAsia="zh-CN"/>
        </w:rPr>
        <w:t>弥补</w:t>
      </w:r>
      <w:r>
        <w:rPr>
          <w:rFonts w:hint="eastAsia" w:ascii="宋体" w:hAnsi="宋体"/>
          <w:lang w:eastAsia="zh-CN"/>
        </w:rPr>
        <w:t>了理论与实践之间的差距。我们将看到</w:t>
      </w:r>
      <w:r>
        <w:rPr>
          <w:rFonts w:hint="eastAsia" w:ascii="宋体" w:hAnsi="宋体" w:cs="宋体"/>
          <w:lang w:eastAsia="zh-CN"/>
        </w:rPr>
        <w:t>场景规划</w:t>
      </w:r>
      <w:r>
        <w:rPr>
          <w:rFonts w:hint="eastAsia" w:ascii="宋体" w:hAnsi="宋体"/>
          <w:lang w:eastAsia="zh-CN"/>
        </w:rPr>
        <w:t>如何转化为具体行动，使我们能够主动识别在现实世界应用中使用AI模型的潜在风险。</w:t>
      </w:r>
      <w:bookmarkStart w:id="68" w:name="_Hlk194928021"/>
      <w:r>
        <w:rPr>
          <w:rFonts w:hint="eastAsia" w:ascii="宋体" w:hAnsi="宋体"/>
          <w:lang w:eastAsia="zh-CN"/>
        </w:rPr>
        <w:t>这个实际例子</w:t>
      </w:r>
      <w:bookmarkEnd w:id="68"/>
      <w:r>
        <w:rPr>
          <w:rFonts w:hint="eastAsia" w:ascii="宋体" w:hAnsi="宋体"/>
          <w:lang w:eastAsia="zh-CN"/>
        </w:rPr>
        <w:t>展示了AI MRM的真正价值——它将抽象概念转化为确保模型负责任和安全部署的具体步骤的能力。</w:t>
      </w:r>
    </w:p>
    <w:p w14:paraId="4051874D">
      <w:pPr>
        <w:pStyle w:val="13"/>
        <w:pageBreakBefore w:val="0"/>
        <w:kinsoku/>
        <w:wordWrap/>
        <w:overflowPunct/>
        <w:topLinePunct w:val="0"/>
        <w:bidi w:val="0"/>
        <w:adjustRightInd/>
        <w:snapToGrid/>
        <w:spacing w:after="200" w:line="360" w:lineRule="auto"/>
        <w:ind w:firstLine="480"/>
        <w:textAlignment w:val="auto"/>
        <w:rPr>
          <w:rFonts w:hint="eastAsia" w:ascii="宋体" w:hAnsi="宋体"/>
          <w:lang w:eastAsia="zh-CN"/>
        </w:rPr>
      </w:pPr>
      <w:r>
        <w:rPr>
          <w:rFonts w:hint="eastAsia" w:ascii="宋体" w:hAnsi="宋体"/>
          <w:lang w:eastAsia="zh-CN"/>
        </w:rPr>
        <w:t>在我们深入案例研究之前，先回顾下面的图表，它描述了场景规划的整体流程。</w:t>
      </w:r>
    </w:p>
    <w:p w14:paraId="6C43015B">
      <w:pPr>
        <w:pStyle w:val="13"/>
        <w:pageBreakBefore w:val="0"/>
        <w:kinsoku/>
        <w:wordWrap/>
        <w:overflowPunct/>
        <w:topLinePunct w:val="0"/>
        <w:bidi w:val="0"/>
        <w:adjustRightInd/>
        <w:snapToGrid/>
        <w:spacing w:after="200" w:line="360" w:lineRule="auto"/>
        <w:jc w:val="center"/>
        <w:textAlignment w:val="auto"/>
        <w:rPr>
          <w:rFonts w:ascii="宋体" w:hAnsi="宋体"/>
          <w:i w:val="0"/>
          <w:iCs/>
          <w:color w:val="A6A6A6" w:themeColor="background1" w:themeShade="A6"/>
          <w:sz w:val="24"/>
          <w:szCs w:val="24"/>
          <w:lang w:eastAsia="zh-CN"/>
        </w:rPr>
      </w:pPr>
      <w:r>
        <w:rPr>
          <w:rFonts w:hint="eastAsia" w:ascii="宋体" w:hAnsi="宋体" w:cs="Arial"/>
          <w:i w:val="0"/>
          <w:iCs/>
          <w:color w:val="A6A6A6" w:themeColor="background1" w:themeShade="A6"/>
          <w:sz w:val="24"/>
          <w:szCs w:val="24"/>
          <w:lang w:eastAsia="zh-CN"/>
        </w:rPr>
        <w:drawing>
          <wp:anchor distT="0" distB="0" distL="0" distR="0" simplePos="0" relativeHeight="251660288" behindDoc="0" locked="0" layoutInCell="1" allowOverlap="1">
            <wp:simplePos x="0" y="0"/>
            <wp:positionH relativeFrom="page">
              <wp:posOffset>933450</wp:posOffset>
            </wp:positionH>
            <wp:positionV relativeFrom="paragraph">
              <wp:posOffset>202565</wp:posOffset>
            </wp:positionV>
            <wp:extent cx="5956935" cy="2376805"/>
            <wp:effectExtent l="0" t="0" r="12065"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4" cstate="print"/>
                    <a:stretch>
                      <a:fillRect/>
                    </a:stretch>
                  </pic:blipFill>
                  <pic:spPr>
                    <a:xfrm>
                      <a:off x="0" y="0"/>
                      <a:ext cx="5956728" cy="2376963"/>
                    </a:xfrm>
                    <a:prstGeom prst="rect">
                      <a:avLst/>
                    </a:prstGeom>
                  </pic:spPr>
                </pic:pic>
              </a:graphicData>
            </a:graphic>
          </wp:anchor>
        </w:drawing>
      </w:r>
      <w:r>
        <w:rPr>
          <w:rFonts w:hint="eastAsia" w:ascii="宋体" w:hAnsi="宋体"/>
          <w:i w:val="0"/>
          <w:iCs/>
          <w:color w:val="A6A6A6" w:themeColor="background1" w:themeShade="A6"/>
          <w:sz w:val="24"/>
          <w:szCs w:val="24"/>
          <w:lang w:eastAsia="zh-CN"/>
        </w:rPr>
        <w:t>图3. 使用模型卡片、风险卡片和</w:t>
      </w:r>
      <w:r>
        <w:rPr>
          <w:rFonts w:hint="eastAsia" w:ascii="宋体" w:hAnsi="宋体" w:cs="宋体"/>
          <w:i w:val="0"/>
          <w:iCs/>
          <w:color w:val="A6A6A6" w:themeColor="background1" w:themeShade="A6"/>
          <w:sz w:val="24"/>
          <w:szCs w:val="24"/>
          <w:lang w:eastAsia="zh-CN"/>
        </w:rPr>
        <w:t>数据手册</w:t>
      </w:r>
      <w:r>
        <w:rPr>
          <w:rFonts w:hint="eastAsia" w:ascii="宋体" w:hAnsi="宋体"/>
          <w:i w:val="0"/>
          <w:iCs/>
          <w:color w:val="A6A6A6" w:themeColor="background1" w:themeShade="A6"/>
          <w:sz w:val="24"/>
          <w:szCs w:val="24"/>
          <w:lang w:eastAsia="zh-CN"/>
        </w:rPr>
        <w:t>进行</w:t>
      </w:r>
      <w:r>
        <w:rPr>
          <w:rFonts w:hint="eastAsia" w:ascii="宋体" w:hAnsi="宋体" w:cs="宋体"/>
          <w:i w:val="0"/>
          <w:iCs/>
          <w:color w:val="A6A6A6" w:themeColor="background1" w:themeShade="A6"/>
          <w:sz w:val="24"/>
          <w:szCs w:val="24"/>
          <w:lang w:eastAsia="zh-CN"/>
        </w:rPr>
        <w:t>场景规划</w:t>
      </w:r>
    </w:p>
    <w:p w14:paraId="6198019C">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lang w:eastAsia="zh-CN"/>
        </w:rPr>
        <w:t>社交媒体内容审核的大型语言模型</w:t>
      </w:r>
    </w:p>
    <w:p w14:paraId="1F8299C3">
      <w:pPr>
        <w:pStyle w:val="13"/>
        <w:pageBreakBefore w:val="0"/>
        <w:kinsoku/>
        <w:wordWrap/>
        <w:overflowPunct/>
        <w:topLinePunct w:val="0"/>
        <w:bidi w:val="0"/>
        <w:adjustRightInd/>
        <w:snapToGrid/>
        <w:spacing w:after="200" w:line="360" w:lineRule="auto"/>
        <w:ind w:firstLine="480"/>
        <w:textAlignment w:val="auto"/>
        <w:rPr>
          <w:rFonts w:ascii="宋体" w:hAnsi="宋体"/>
          <w:sz w:val="24"/>
          <w:szCs w:val="24"/>
          <w:lang w:eastAsia="zh-CN"/>
        </w:rPr>
      </w:pPr>
      <w:r>
        <w:rPr>
          <w:rFonts w:hint="eastAsia" w:ascii="宋体" w:hAnsi="宋体"/>
          <w:sz w:val="24"/>
          <w:szCs w:val="24"/>
          <w:lang w:eastAsia="zh-CN"/>
        </w:rPr>
        <w:t>这个案例研究探讨了使用大型语言模型（LLM）进行社交媒体内容审核的潜在风险和机会，并利用模型卡片、风险卡片和</w:t>
      </w:r>
      <w:r>
        <w:rPr>
          <w:rFonts w:hint="eastAsia" w:ascii="宋体" w:hAnsi="宋体" w:cs="宋体"/>
          <w:sz w:val="24"/>
          <w:szCs w:val="24"/>
          <w:lang w:eastAsia="zh-CN"/>
        </w:rPr>
        <w:t>数据手册</w:t>
      </w:r>
      <w:r>
        <w:rPr>
          <w:rFonts w:hint="eastAsia" w:ascii="宋体" w:hAnsi="宋体"/>
          <w:sz w:val="24"/>
          <w:szCs w:val="24"/>
          <w:lang w:eastAsia="zh-CN"/>
        </w:rPr>
        <w:t>进行</w:t>
      </w:r>
      <w:r>
        <w:rPr>
          <w:rFonts w:hint="eastAsia" w:ascii="宋体" w:hAnsi="宋体" w:cs="宋体"/>
          <w:sz w:val="24"/>
          <w:szCs w:val="24"/>
          <w:lang w:eastAsia="zh-CN"/>
        </w:rPr>
        <w:t>场景规划</w:t>
      </w:r>
      <w:r>
        <w:rPr>
          <w:rFonts w:hint="eastAsia" w:ascii="宋体" w:hAnsi="宋体"/>
          <w:sz w:val="24"/>
          <w:szCs w:val="24"/>
          <w:lang w:eastAsia="zh-CN"/>
        </w:rPr>
        <w:t>。</w:t>
      </w:r>
    </w:p>
    <w:p w14:paraId="70518A61">
      <w:pPr>
        <w:pageBreakBefore w:val="0"/>
        <w:kinsoku/>
        <w:wordWrap/>
        <w:overflowPunct/>
        <w:topLinePunct w:val="0"/>
        <w:bidi w:val="0"/>
        <w:adjustRightInd/>
        <w:snapToGrid/>
        <w:spacing w:after="200" w:line="360" w:lineRule="auto"/>
        <w:ind w:firstLine="420" w:firstLineChars="0"/>
        <w:textAlignment w:val="auto"/>
        <w:rPr>
          <w:rFonts w:ascii="宋体" w:hAnsi="宋体" w:eastAsia="宋体"/>
          <w:bCs/>
          <w:sz w:val="24"/>
          <w:szCs w:val="24"/>
          <w:lang w:eastAsia="zh-CN"/>
        </w:rPr>
      </w:pPr>
      <w:r>
        <w:rPr>
          <w:rFonts w:ascii="宋体" w:hAnsi="宋体" w:eastAsia="宋体" w:cs="Arial Bold"/>
          <w:b/>
          <w:sz w:val="24"/>
          <w:szCs w:val="24"/>
          <w:lang w:eastAsia="zh-CN"/>
        </w:rPr>
        <w:t>注意：</w:t>
      </w:r>
      <w:r>
        <w:rPr>
          <w:rFonts w:hint="eastAsia" w:ascii="宋体" w:hAnsi="宋体" w:eastAsia="宋体"/>
          <w:bCs/>
          <w:sz w:val="24"/>
          <w:szCs w:val="24"/>
          <w:lang w:eastAsia="zh-CN"/>
        </w:rPr>
        <w:t>这里展示的模型卡片、</w:t>
      </w:r>
      <w:r>
        <w:rPr>
          <w:rFonts w:hint="eastAsia" w:ascii="宋体" w:hAnsi="宋体" w:eastAsia="宋体" w:cs="宋体"/>
          <w:bCs/>
          <w:sz w:val="24"/>
          <w:szCs w:val="24"/>
          <w:lang w:eastAsia="zh-CN"/>
        </w:rPr>
        <w:t>数据手册</w:t>
      </w:r>
      <w:r>
        <w:rPr>
          <w:rFonts w:hint="eastAsia" w:ascii="宋体" w:hAnsi="宋体" w:eastAsia="宋体"/>
          <w:bCs/>
          <w:sz w:val="24"/>
          <w:szCs w:val="24"/>
          <w:lang w:eastAsia="zh-CN"/>
        </w:rPr>
        <w:t>和风险卡片是为了说明目的而进行的简洁总结。在实际应用中，这些文档会更加全面，包含详细的信息。</w:t>
      </w:r>
    </w:p>
    <w:p w14:paraId="0336A274">
      <w:pPr>
        <w:pageBreakBefore w:val="0"/>
        <w:kinsoku/>
        <w:wordWrap/>
        <w:overflowPunct/>
        <w:topLinePunct w:val="0"/>
        <w:bidi w:val="0"/>
        <w:adjustRightInd/>
        <w:snapToGrid/>
        <w:spacing w:after="200" w:line="360" w:lineRule="auto"/>
        <w:textAlignment w:val="auto"/>
        <w:rPr>
          <w:rFonts w:hint="eastAsia" w:ascii="黑体" w:hAnsi="黑体" w:eastAsia="黑体" w:cs="黑体"/>
          <w:b/>
          <w:bCs w:val="0"/>
          <w:sz w:val="32"/>
          <w:szCs w:val="32"/>
          <w:lang w:eastAsia="zh-CN"/>
        </w:rPr>
      </w:pPr>
      <w:r>
        <w:rPr>
          <w:rFonts w:hint="eastAsia" w:ascii="黑体" w:hAnsi="黑体" w:eastAsia="黑体" w:cs="黑体"/>
          <w:b/>
          <w:bCs w:val="0"/>
          <w:sz w:val="32"/>
          <w:szCs w:val="32"/>
          <w:lang w:eastAsia="zh-CN"/>
        </w:rPr>
        <w:t>模型卡</w:t>
      </w:r>
    </w:p>
    <w:p w14:paraId="6202EF51">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Cs/>
          <w:sz w:val="24"/>
          <w:szCs w:val="24"/>
          <w:lang w:eastAsia="zh-CN"/>
        </w:rPr>
        <w:t>模型卡片揭示了模型的能力、局限性和潜在偏见。它充当用户指南，概述了模型在社交互动方面的优势，并强调了由于训练数据中的潜在偏见或局限性而可能需要谨慎的领域。让我们为内容审核大型语言模型创建模型卡片。</w:t>
      </w:r>
    </w:p>
    <w:p w14:paraId="25A3D298">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模型名称</w:t>
      </w:r>
      <w:r>
        <w:rPr>
          <w:rFonts w:hint="eastAsia" w:ascii="宋体" w:hAnsi="宋体" w:eastAsia="宋体"/>
          <w:bCs/>
          <w:sz w:val="24"/>
          <w:szCs w:val="24"/>
          <w:lang w:eastAsia="zh-CN"/>
        </w:rPr>
        <w:t>：社交达人- 内容审核大型语言模型</w:t>
      </w:r>
    </w:p>
    <w:p w14:paraId="18D2C55F">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日期</w:t>
      </w:r>
      <w:r>
        <w:rPr>
          <w:rFonts w:hint="eastAsia" w:ascii="宋体" w:hAnsi="宋体" w:eastAsia="宋体"/>
          <w:bCs/>
          <w:sz w:val="24"/>
          <w:szCs w:val="24"/>
          <w:lang w:eastAsia="zh-CN"/>
        </w:rPr>
        <w:t>：此文档中的信息截至2024年4月1日是最新的，除非下面另有说明。</w:t>
      </w:r>
    </w:p>
    <w:p w14:paraId="68EA912B">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模型目的</w:t>
      </w:r>
      <w:r>
        <w:rPr>
          <w:rFonts w:hint="eastAsia" w:ascii="宋体" w:hAnsi="宋体" w:eastAsia="宋体"/>
          <w:bCs/>
          <w:sz w:val="24"/>
          <w:szCs w:val="24"/>
          <w:lang w:eastAsia="zh-CN"/>
        </w:rPr>
        <w:t>："社交达人"旨在分析社交媒体内容并识别可能违反平台政策的行为，包括仇恨言论、虚假信息和骚扰。它通过标记需要审核的内容来协助人类审核员。</w:t>
      </w:r>
    </w:p>
    <w:p w14:paraId="09D01FA7">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模型输入</w:t>
      </w:r>
      <w:r>
        <w:rPr>
          <w:rFonts w:hint="eastAsia" w:ascii="宋体" w:hAnsi="宋体" w:eastAsia="宋体"/>
          <w:bCs/>
          <w:sz w:val="24"/>
          <w:szCs w:val="24"/>
          <w:lang w:eastAsia="zh-CN"/>
        </w:rPr>
        <w:t>："社交达人"接收来自社交媒体帖子、评论和消息的文本数据。</w:t>
      </w:r>
    </w:p>
    <w:p w14:paraId="105AF4E8">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模型输出</w:t>
      </w:r>
      <w:r>
        <w:rPr>
          <w:rFonts w:hint="eastAsia" w:ascii="宋体" w:hAnsi="宋体" w:eastAsia="宋体"/>
          <w:bCs/>
          <w:sz w:val="24"/>
          <w:szCs w:val="24"/>
          <w:lang w:eastAsia="zh-CN"/>
        </w:rPr>
        <w:t>：预训练的大型语言模型为每条内容分配一个风险评分，表明其违反平台政策的可能性。</w:t>
      </w:r>
    </w:p>
    <w:p w14:paraId="0C721458">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模型训练数据</w:t>
      </w:r>
      <w:r>
        <w:rPr>
          <w:rFonts w:hint="eastAsia" w:ascii="宋体" w:hAnsi="宋体" w:eastAsia="宋体"/>
          <w:bCs/>
          <w:sz w:val="24"/>
          <w:szCs w:val="24"/>
          <w:lang w:eastAsia="zh-CN"/>
        </w:rPr>
        <w:t>："社交达人"在大量标记过的社交媒体内容数据集上进行训练，包括违反政策的示例和可接受的内容。这些数据不断更新，以反映不断演变的语言模式和文化细微差别。</w:t>
      </w:r>
    </w:p>
    <w:p w14:paraId="0F831FF4">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性能指标</w:t>
      </w:r>
      <w:r>
        <w:rPr>
          <w:rFonts w:hint="eastAsia" w:ascii="宋体" w:hAnsi="宋体" w:eastAsia="宋体"/>
          <w:bCs/>
          <w:sz w:val="24"/>
          <w:szCs w:val="24"/>
          <w:lang w:eastAsia="zh-CN"/>
        </w:rPr>
        <w:t>："社交达人"的性能通过准确性（正确识别违规行为）、精确度（避免误报）和召回率（捕获大多数违规行为）等指标进行评估。</w:t>
      </w:r>
    </w:p>
    <w:p w14:paraId="346D9F05">
      <w:pPr>
        <w:pageBreakBefore w:val="0"/>
        <w:kinsoku/>
        <w:wordWrap/>
        <w:overflowPunct/>
        <w:topLinePunct w:val="0"/>
        <w:bidi w:val="0"/>
        <w:adjustRightInd/>
        <w:snapToGrid/>
        <w:spacing w:after="200" w:line="360" w:lineRule="auto"/>
        <w:textAlignment w:val="auto"/>
        <w:rPr>
          <w:rFonts w:hint="eastAsia" w:ascii="黑体" w:hAnsi="黑体" w:eastAsia="黑体" w:cs="黑体"/>
          <w:b/>
          <w:bCs w:val="0"/>
          <w:sz w:val="32"/>
          <w:szCs w:val="32"/>
          <w:lang w:eastAsia="zh-CN"/>
        </w:rPr>
      </w:pPr>
      <w:r>
        <w:rPr>
          <w:rFonts w:hint="eastAsia" w:ascii="黑体" w:hAnsi="黑体" w:eastAsia="黑体" w:cs="黑体"/>
          <w:b/>
          <w:bCs w:val="0"/>
          <w:sz w:val="32"/>
          <w:szCs w:val="32"/>
          <w:lang w:eastAsia="zh-CN"/>
        </w:rPr>
        <w:t>数据手册</w:t>
      </w:r>
    </w:p>
    <w:p w14:paraId="6C7A5250">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Cs/>
          <w:sz w:val="24"/>
          <w:szCs w:val="24"/>
          <w:lang w:eastAsia="zh-CN"/>
        </w:rPr>
        <w:t>数据手册提供了对训练模型所用数据集的透明视角。它们揭示了数据的来源、特征和规模，使人能够理解塑造“社交达人”响应的基础。下面列出了内容审核大型语言模型的两张数据手册。</w:t>
      </w:r>
    </w:p>
    <w:p w14:paraId="2BB4BC8D">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数据手册1：</w:t>
      </w:r>
      <w:r>
        <w:rPr>
          <w:rFonts w:hint="eastAsia" w:ascii="宋体" w:hAnsi="宋体" w:eastAsia="宋体"/>
          <w:bCs/>
          <w:sz w:val="24"/>
          <w:szCs w:val="24"/>
          <w:lang w:eastAsia="zh-CN"/>
        </w:rPr>
        <w:t>社交媒体政策指南</w:t>
      </w:r>
    </w:p>
    <w:p w14:paraId="4FB23FDE">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日期：</w:t>
      </w:r>
      <w:r>
        <w:rPr>
          <w:rFonts w:hint="eastAsia" w:ascii="宋体" w:hAnsi="宋体" w:eastAsia="宋体"/>
          <w:bCs/>
          <w:sz w:val="24"/>
          <w:szCs w:val="24"/>
          <w:lang w:eastAsia="zh-CN"/>
        </w:rPr>
        <w:t>此文档中的信息截至2024年4月1日是最新的，除非下面另有说明。</w:t>
      </w:r>
    </w:p>
    <w:p w14:paraId="04490EE7">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描述：</w:t>
      </w:r>
      <w:r>
        <w:rPr>
          <w:rFonts w:hint="eastAsia" w:ascii="宋体" w:hAnsi="宋体" w:eastAsia="宋体"/>
          <w:bCs/>
          <w:sz w:val="24"/>
          <w:szCs w:val="24"/>
          <w:lang w:eastAsia="zh-CN"/>
        </w:rPr>
        <w:t>这张数据手册概述了特定社交媒体平台的社区指南和内容审核政策，LLM 被训练用来识别违反这些政策的行为。</w:t>
      </w:r>
    </w:p>
    <w:p w14:paraId="01CD72F0">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用例：</w:t>
      </w:r>
      <w:r>
        <w:rPr>
          <w:rFonts w:hint="eastAsia" w:ascii="宋体" w:hAnsi="宋体" w:eastAsia="宋体"/>
          <w:bCs/>
          <w:sz w:val="24"/>
          <w:szCs w:val="24"/>
          <w:lang w:eastAsia="zh-CN"/>
        </w:rPr>
        <w:t>使LLM能够识别并标记违反平台规则的内容，促进安全和包容的在线环境。</w:t>
      </w:r>
    </w:p>
    <w:p w14:paraId="41BF0B73">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来源：</w:t>
      </w:r>
      <w:r>
        <w:rPr>
          <w:rFonts w:hint="eastAsia" w:ascii="宋体" w:hAnsi="宋体" w:eastAsia="宋体"/>
          <w:bCs/>
          <w:sz w:val="24"/>
          <w:szCs w:val="24"/>
          <w:lang w:eastAsia="zh-CN"/>
        </w:rPr>
        <w:t>来自主要社交媒体平台（例如，Facebook、Twitter、YouTube）的公开可用的社区指南和内容审核政策。</w:t>
      </w:r>
    </w:p>
    <w:p w14:paraId="5926FF56">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特征：</w:t>
      </w:r>
      <w:r>
        <w:rPr>
          <w:rFonts w:hint="eastAsia" w:ascii="宋体" w:hAnsi="宋体" w:eastAsia="宋体"/>
          <w:bCs/>
          <w:sz w:val="24"/>
          <w:szCs w:val="24"/>
          <w:lang w:eastAsia="zh-CN"/>
        </w:rPr>
        <w:t>概述禁止内容类别（例如，仇恨言论、欺凌、骚扰）的结构化数据，以及具体示例和定义。数据规模取决于平台，通常从数万字到数十万字不等。</w:t>
      </w:r>
    </w:p>
    <w:p w14:paraId="481E7ECD">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数据手册2：文化细微差别和上下文</w:t>
      </w:r>
    </w:p>
    <w:p w14:paraId="54F36247">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日期：</w:t>
      </w:r>
      <w:r>
        <w:rPr>
          <w:rFonts w:hint="eastAsia" w:ascii="宋体" w:hAnsi="宋体" w:eastAsia="宋体"/>
          <w:bCs/>
          <w:sz w:val="24"/>
          <w:szCs w:val="24"/>
          <w:lang w:eastAsia="zh-CN"/>
        </w:rPr>
        <w:t>此文档中的信息截至2024年4月1日是最新的，除非下面另有说明。</w:t>
      </w:r>
    </w:p>
    <w:p w14:paraId="180E1589">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描述：</w:t>
      </w:r>
      <w:r>
        <w:rPr>
          <w:rFonts w:hint="eastAsia" w:ascii="宋体" w:hAnsi="宋体" w:eastAsia="宋体"/>
          <w:bCs/>
          <w:sz w:val="24"/>
          <w:szCs w:val="24"/>
          <w:lang w:eastAsia="zh-CN"/>
        </w:rPr>
        <w:t>这张数据手册包括特定于不同文化和地区的语言示例，以帮助LLM区分真正的仇恨言论、讽刺和文化表达。</w:t>
      </w:r>
    </w:p>
    <w:p w14:paraId="6F5CF724">
      <w:pPr>
        <w:pageBreakBefore w:val="0"/>
        <w:kinsoku/>
        <w:wordWrap/>
        <w:overflowPunct/>
        <w:topLinePunct w:val="0"/>
        <w:bidi w:val="0"/>
        <w:adjustRightInd/>
        <w:snapToGrid/>
        <w:spacing w:after="200" w:line="360" w:lineRule="auto"/>
        <w:textAlignment w:val="auto"/>
        <w:rPr>
          <w:rFonts w:ascii="宋体" w:hAnsi="宋体" w:eastAsia="宋体"/>
          <w:b/>
          <w:sz w:val="24"/>
          <w:szCs w:val="24"/>
          <w:lang w:eastAsia="zh-CN"/>
        </w:rPr>
      </w:pPr>
      <w:r>
        <w:rPr>
          <w:rFonts w:hint="eastAsia" w:ascii="宋体" w:hAnsi="宋体" w:eastAsia="宋体"/>
          <w:b/>
          <w:sz w:val="24"/>
          <w:szCs w:val="24"/>
          <w:lang w:eastAsia="zh-CN"/>
        </w:rPr>
        <w:t>用例：</w:t>
      </w:r>
      <w:r>
        <w:rPr>
          <w:rFonts w:hint="eastAsia" w:ascii="宋体" w:hAnsi="宋体" w:eastAsia="宋体"/>
          <w:bCs/>
          <w:sz w:val="24"/>
          <w:szCs w:val="24"/>
          <w:lang w:eastAsia="zh-CN"/>
        </w:rPr>
        <w:t>这些数据提高了LLM理解上下文并避免基于文化背景的误解的能力。</w:t>
      </w:r>
    </w:p>
    <w:p w14:paraId="5C822021">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来源：</w:t>
      </w:r>
      <w:r>
        <w:rPr>
          <w:rFonts w:hint="eastAsia" w:ascii="宋体" w:hAnsi="宋体" w:eastAsia="宋体"/>
          <w:bCs/>
          <w:sz w:val="24"/>
          <w:szCs w:val="24"/>
          <w:lang w:eastAsia="zh-CN"/>
        </w:rPr>
        <w:t>策划的文本和多媒体内容集合，代表不同的文化和地区。这包括来自当代美国英语语料库（COCA）的文本，可能包括新闻文章、社交媒体对话、文学作品和文化参考。</w:t>
      </w:r>
    </w:p>
    <w:p w14:paraId="07177C2A">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
          <w:sz w:val="24"/>
          <w:szCs w:val="24"/>
          <w:lang w:eastAsia="zh-CN"/>
        </w:rPr>
        <w:t>特征：</w:t>
      </w:r>
      <w:r>
        <w:rPr>
          <w:rFonts w:hint="eastAsia" w:ascii="宋体" w:hAnsi="宋体" w:eastAsia="宋体"/>
          <w:bCs/>
          <w:sz w:val="24"/>
          <w:szCs w:val="24"/>
          <w:lang w:eastAsia="zh-CN"/>
        </w:rPr>
        <w:t>文本数据带有文化背景标记，识别幽默、讽刺、成语和特定于不同地区的表达。规模：10亿词的文本数据，附有文化注释（截至2024年2月1日）。</w:t>
      </w:r>
    </w:p>
    <w:p w14:paraId="2B03197F">
      <w:pPr>
        <w:pageBreakBefore w:val="0"/>
        <w:kinsoku/>
        <w:wordWrap/>
        <w:overflowPunct/>
        <w:topLinePunct w:val="0"/>
        <w:bidi w:val="0"/>
        <w:adjustRightInd/>
        <w:snapToGrid/>
        <w:spacing w:after="200" w:line="360" w:lineRule="auto"/>
        <w:textAlignment w:val="auto"/>
        <w:rPr>
          <w:rFonts w:hint="eastAsia" w:ascii="黑体" w:hAnsi="黑体" w:eastAsia="黑体" w:cs="黑体"/>
          <w:b/>
          <w:bCs w:val="0"/>
          <w:sz w:val="32"/>
          <w:szCs w:val="32"/>
          <w:lang w:eastAsia="zh-CN"/>
        </w:rPr>
      </w:pPr>
      <w:r>
        <w:rPr>
          <w:rFonts w:hint="eastAsia" w:ascii="黑体" w:hAnsi="黑体" w:eastAsia="黑体" w:cs="黑体"/>
          <w:b/>
          <w:bCs w:val="0"/>
          <w:sz w:val="32"/>
          <w:szCs w:val="32"/>
          <w:lang w:eastAsia="zh-CN"/>
        </w:rPr>
        <w:t>风险卡</w:t>
      </w:r>
    </w:p>
    <w:p w14:paraId="30F5E67E">
      <w:pPr>
        <w:pageBreakBefore w:val="0"/>
        <w:kinsoku/>
        <w:wordWrap/>
        <w:overflowPunct/>
        <w:topLinePunct w:val="0"/>
        <w:bidi w:val="0"/>
        <w:adjustRightInd/>
        <w:snapToGrid/>
        <w:spacing w:after="200" w:line="360" w:lineRule="auto"/>
        <w:textAlignment w:val="auto"/>
        <w:rPr>
          <w:rFonts w:ascii="宋体" w:hAnsi="宋体" w:eastAsia="宋体"/>
          <w:bCs/>
          <w:sz w:val="24"/>
          <w:szCs w:val="24"/>
          <w:lang w:eastAsia="zh-CN"/>
        </w:rPr>
      </w:pPr>
      <w:r>
        <w:rPr>
          <w:rFonts w:hint="eastAsia" w:ascii="宋体" w:hAnsi="宋体" w:eastAsia="宋体"/>
          <w:bCs/>
          <w:sz w:val="24"/>
          <w:szCs w:val="24"/>
          <w:lang w:eastAsia="zh-CN"/>
        </w:rPr>
        <w:t>根据“社交达人”模型卡片和概述其训练数据的数据手册，已经开发了一套风险卡片，以主动识别潜在问题。这些风险卡片深入探讨了“社交达人”的输出可能被误解或滥用的场景。</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1234"/>
        <w:gridCol w:w="1766"/>
        <w:gridCol w:w="1200"/>
        <w:gridCol w:w="1200"/>
        <w:gridCol w:w="1667"/>
        <w:gridCol w:w="1650"/>
      </w:tblGrid>
      <w:tr w14:paraId="7435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shd w:val="clear" w:color="auto" w:fill="00549F"/>
            <w:vAlign w:val="center"/>
          </w:tcPr>
          <w:p w14:paraId="649842F1">
            <w:pPr>
              <w:pStyle w:val="13"/>
              <w:pageBreakBefore w:val="0"/>
              <w:kinsoku/>
              <w:wordWrap/>
              <w:overflowPunct/>
              <w:topLinePunct w:val="0"/>
              <w:bidi w:val="0"/>
              <w:adjustRightInd/>
              <w:snapToGrid/>
              <w:spacing w:after="200" w:line="360" w:lineRule="auto"/>
              <w:ind w:firstLine="0" w:firstLineChars="0"/>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风险#</w:t>
            </w:r>
          </w:p>
        </w:tc>
        <w:tc>
          <w:tcPr>
            <w:tcW w:w="1234" w:type="dxa"/>
            <w:shd w:val="clear" w:color="auto" w:fill="00549F"/>
            <w:vAlign w:val="center"/>
          </w:tcPr>
          <w:p w14:paraId="404D0938">
            <w:pPr>
              <w:pStyle w:val="13"/>
              <w:pageBreakBefore w:val="0"/>
              <w:kinsoku/>
              <w:wordWrap/>
              <w:overflowPunct/>
              <w:topLinePunct w:val="0"/>
              <w:bidi w:val="0"/>
              <w:adjustRightInd/>
              <w:snapToGrid/>
              <w:spacing w:after="200" w:line="360" w:lineRule="auto"/>
              <w:ind w:firstLine="198" w:firstLineChars="76"/>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名称</w:t>
            </w:r>
          </w:p>
        </w:tc>
        <w:tc>
          <w:tcPr>
            <w:tcW w:w="1766" w:type="dxa"/>
            <w:shd w:val="clear" w:color="auto" w:fill="00549F"/>
            <w:vAlign w:val="center"/>
          </w:tcPr>
          <w:p w14:paraId="666771DF">
            <w:pPr>
              <w:pStyle w:val="13"/>
              <w:pageBreakBefore w:val="0"/>
              <w:kinsoku/>
              <w:wordWrap/>
              <w:overflowPunct/>
              <w:topLinePunct w:val="0"/>
              <w:bidi w:val="0"/>
              <w:adjustRightInd/>
              <w:snapToGrid/>
              <w:spacing w:after="200" w:line="360" w:lineRule="auto"/>
              <w:ind w:firstLine="198" w:firstLineChars="76"/>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描述</w:t>
            </w:r>
          </w:p>
        </w:tc>
        <w:tc>
          <w:tcPr>
            <w:tcW w:w="1200" w:type="dxa"/>
            <w:shd w:val="clear" w:color="auto" w:fill="00549F"/>
            <w:vAlign w:val="center"/>
          </w:tcPr>
          <w:p w14:paraId="2988719F">
            <w:pPr>
              <w:pStyle w:val="13"/>
              <w:pageBreakBefore w:val="0"/>
              <w:kinsoku/>
              <w:wordWrap/>
              <w:overflowPunct/>
              <w:topLinePunct w:val="0"/>
              <w:bidi w:val="0"/>
              <w:adjustRightInd/>
              <w:snapToGrid/>
              <w:spacing w:after="200" w:line="360" w:lineRule="auto"/>
              <w:ind w:firstLine="198" w:firstLineChars="76"/>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影响</w:t>
            </w:r>
          </w:p>
        </w:tc>
        <w:tc>
          <w:tcPr>
            <w:tcW w:w="1200" w:type="dxa"/>
            <w:shd w:val="clear" w:color="auto" w:fill="00549F"/>
            <w:vAlign w:val="center"/>
          </w:tcPr>
          <w:p w14:paraId="727BB308">
            <w:pPr>
              <w:pStyle w:val="13"/>
              <w:pageBreakBefore w:val="0"/>
              <w:kinsoku/>
              <w:wordWrap/>
              <w:overflowPunct/>
              <w:topLinePunct w:val="0"/>
              <w:bidi w:val="0"/>
              <w:adjustRightInd/>
              <w:snapToGrid/>
              <w:spacing w:after="200" w:line="360" w:lineRule="auto"/>
              <w:ind w:firstLine="0" w:firstLineChars="0"/>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可能性</w:t>
            </w:r>
          </w:p>
        </w:tc>
        <w:tc>
          <w:tcPr>
            <w:tcW w:w="1667" w:type="dxa"/>
            <w:shd w:val="clear" w:color="auto" w:fill="00549F"/>
            <w:vAlign w:val="center"/>
          </w:tcPr>
          <w:p w14:paraId="0E9024AF">
            <w:pPr>
              <w:pStyle w:val="13"/>
              <w:pageBreakBefore w:val="0"/>
              <w:kinsoku/>
              <w:wordWrap/>
              <w:overflowPunct/>
              <w:topLinePunct w:val="0"/>
              <w:bidi w:val="0"/>
              <w:adjustRightInd/>
              <w:snapToGrid/>
              <w:spacing w:after="200" w:line="360" w:lineRule="auto"/>
              <w:ind w:firstLine="0" w:firstLineChars="0"/>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潜在影响</w:t>
            </w:r>
          </w:p>
        </w:tc>
        <w:tc>
          <w:tcPr>
            <w:tcW w:w="1650" w:type="dxa"/>
            <w:shd w:val="clear" w:color="auto" w:fill="00549F"/>
            <w:vAlign w:val="center"/>
          </w:tcPr>
          <w:p w14:paraId="4ADBFAE8">
            <w:pPr>
              <w:pStyle w:val="13"/>
              <w:pageBreakBefore w:val="0"/>
              <w:kinsoku/>
              <w:wordWrap/>
              <w:overflowPunct/>
              <w:topLinePunct w:val="0"/>
              <w:bidi w:val="0"/>
              <w:adjustRightInd/>
              <w:snapToGrid/>
              <w:spacing w:after="200" w:line="360" w:lineRule="auto"/>
              <w:ind w:firstLine="0" w:firstLineChars="0"/>
              <w:textAlignment w:val="auto"/>
              <w:rPr>
                <w:rFonts w:ascii="宋体" w:hAnsi="宋体"/>
                <w:b/>
                <w:bCs/>
                <w:color w:val="FFFFFF" w:themeColor="background1"/>
                <w:sz w:val="26"/>
                <w:lang w:eastAsia="zh-CN"/>
                <w14:textFill>
                  <w14:solidFill>
                    <w14:schemeClr w14:val="bg1"/>
                  </w14:solidFill>
                </w14:textFill>
              </w:rPr>
            </w:pPr>
            <w:r>
              <w:rPr>
                <w:rFonts w:hint="eastAsia" w:ascii="宋体" w:hAnsi="宋体"/>
                <w:b/>
                <w:bCs/>
                <w:color w:val="FFFFFF" w:themeColor="background1"/>
                <w:sz w:val="26"/>
                <w:lang w:eastAsia="zh-CN"/>
                <w14:textFill>
                  <w14:solidFill>
                    <w14:schemeClr w14:val="bg1"/>
                  </w14:solidFill>
                </w14:textFill>
              </w:rPr>
              <w:t>缓解措施</w:t>
            </w:r>
          </w:p>
        </w:tc>
      </w:tr>
      <w:tr w14:paraId="41DE3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vAlign w:val="center"/>
          </w:tcPr>
          <w:p w14:paraId="407D0E0C">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1</w:t>
            </w:r>
          </w:p>
        </w:tc>
        <w:tc>
          <w:tcPr>
            <w:tcW w:w="1234" w:type="dxa"/>
            <w:vAlign w:val="center"/>
          </w:tcPr>
          <w:p w14:paraId="1890B84E">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rPr>
            </w:pPr>
            <w:r>
              <w:rPr>
                <w:rFonts w:hint="eastAsia" w:ascii="宋体" w:hAnsi="宋体"/>
                <w:sz w:val="21"/>
                <w:szCs w:val="21"/>
              </w:rPr>
              <w:t>训练数据中的偏见</w:t>
            </w:r>
          </w:p>
        </w:tc>
        <w:tc>
          <w:tcPr>
            <w:tcW w:w="1766" w:type="dxa"/>
            <w:vAlign w:val="center"/>
          </w:tcPr>
          <w:p w14:paraId="02FB48EE">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训练数据中的偏见可能导致LLM过度标记来自某些群体或观点的内容。</w:t>
            </w:r>
          </w:p>
        </w:tc>
        <w:tc>
          <w:tcPr>
            <w:tcW w:w="1200" w:type="dxa"/>
            <w:vAlign w:val="center"/>
          </w:tcPr>
          <w:p w14:paraId="7D297599">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高</w:t>
            </w:r>
          </w:p>
        </w:tc>
        <w:tc>
          <w:tcPr>
            <w:tcW w:w="1200" w:type="dxa"/>
            <w:vAlign w:val="center"/>
          </w:tcPr>
          <w:p w14:paraId="3A91760E">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中</w:t>
            </w:r>
          </w:p>
        </w:tc>
        <w:tc>
          <w:tcPr>
            <w:tcW w:w="1667" w:type="dxa"/>
            <w:vAlign w:val="center"/>
          </w:tcPr>
          <w:p w14:paraId="796AD139">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不公平的审查、用户信任的侵蚀以及潜在的法律问题。</w:t>
            </w:r>
          </w:p>
        </w:tc>
        <w:tc>
          <w:tcPr>
            <w:tcW w:w="1650" w:type="dxa"/>
            <w:vAlign w:val="center"/>
          </w:tcPr>
          <w:p w14:paraId="11E96541">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使用多样化的数据源进行训练，实施偏见检测算法，并在审核过程中引入人工监督。</w:t>
            </w:r>
          </w:p>
        </w:tc>
      </w:tr>
      <w:tr w14:paraId="53060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2" w:hRule="atLeast"/>
          <w:jc w:val="center"/>
        </w:trPr>
        <w:tc>
          <w:tcPr>
            <w:tcW w:w="1099" w:type="dxa"/>
            <w:vAlign w:val="center"/>
          </w:tcPr>
          <w:p w14:paraId="050A78C9">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2</w:t>
            </w:r>
          </w:p>
        </w:tc>
        <w:tc>
          <w:tcPr>
            <w:tcW w:w="1234" w:type="dxa"/>
            <w:vAlign w:val="center"/>
          </w:tcPr>
          <w:p w14:paraId="7DC86C71">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rPr>
            </w:pPr>
            <w:r>
              <w:rPr>
                <w:rFonts w:hint="eastAsia" w:ascii="宋体" w:hAnsi="宋体"/>
                <w:sz w:val="21"/>
                <w:szCs w:val="21"/>
              </w:rPr>
              <w:t>错误信息和细微差别</w:t>
            </w:r>
          </w:p>
        </w:tc>
        <w:tc>
          <w:tcPr>
            <w:tcW w:w="1766" w:type="dxa"/>
            <w:vAlign w:val="center"/>
          </w:tcPr>
          <w:p w14:paraId="0CF51873">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LLM可能难以区分讽刺、挖苦和真正的错误信息，导致标记不准确。</w:t>
            </w:r>
          </w:p>
        </w:tc>
        <w:tc>
          <w:tcPr>
            <w:tcW w:w="1200" w:type="dxa"/>
            <w:vAlign w:val="center"/>
          </w:tcPr>
          <w:p w14:paraId="31B7AEBF">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高</w:t>
            </w:r>
          </w:p>
        </w:tc>
        <w:tc>
          <w:tcPr>
            <w:tcW w:w="1200" w:type="dxa"/>
            <w:vAlign w:val="center"/>
          </w:tcPr>
          <w:p w14:paraId="6EB7AD5A">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高</w:t>
            </w:r>
          </w:p>
        </w:tc>
        <w:tc>
          <w:tcPr>
            <w:tcW w:w="1667" w:type="dxa"/>
            <w:vAlign w:val="center"/>
          </w:tcPr>
          <w:p w14:paraId="178238FA">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对合法内容的审查和阻碍健康的在线讨论。</w:t>
            </w:r>
          </w:p>
        </w:tc>
        <w:tc>
          <w:tcPr>
            <w:tcW w:w="1650" w:type="dxa"/>
            <w:vAlign w:val="center"/>
          </w:tcPr>
          <w:p w14:paraId="79D09C38">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训练LLM以识别上下文和风格线索，开发机制以便人工复审具有细微差别的标记内容，并公开LLM的局限性。</w:t>
            </w:r>
          </w:p>
        </w:tc>
      </w:tr>
      <w:tr w14:paraId="19E7D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vAlign w:val="center"/>
          </w:tcPr>
          <w:p w14:paraId="289C14B8">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3</w:t>
            </w:r>
          </w:p>
        </w:tc>
        <w:tc>
          <w:tcPr>
            <w:tcW w:w="1234" w:type="dxa"/>
            <w:vAlign w:val="center"/>
          </w:tcPr>
          <w:p w14:paraId="06D38D3F">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不断演变的语言和仇恨言论</w:t>
            </w:r>
          </w:p>
        </w:tc>
        <w:tc>
          <w:tcPr>
            <w:tcW w:w="1766" w:type="dxa"/>
            <w:vAlign w:val="center"/>
          </w:tcPr>
          <w:p w14:paraId="7CDE586A">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LLM可能无法跟上在线语言不断演变的特性，包括新形式的仇恨言论或编码语言。</w:t>
            </w:r>
          </w:p>
        </w:tc>
        <w:tc>
          <w:tcPr>
            <w:tcW w:w="1200" w:type="dxa"/>
            <w:vAlign w:val="center"/>
          </w:tcPr>
          <w:p w14:paraId="78F2D2FD">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高</w:t>
            </w:r>
          </w:p>
        </w:tc>
        <w:tc>
          <w:tcPr>
            <w:tcW w:w="1200" w:type="dxa"/>
            <w:vAlign w:val="center"/>
          </w:tcPr>
          <w:p w14:paraId="1695371D">
            <w:pPr>
              <w:pStyle w:val="13"/>
              <w:pageBreakBefore w:val="0"/>
              <w:kinsoku/>
              <w:wordWrap/>
              <w:overflowPunct/>
              <w:topLinePunct w:val="0"/>
              <w:bidi w:val="0"/>
              <w:adjustRightInd/>
              <w:snapToGrid/>
              <w:spacing w:after="200" w:line="360" w:lineRule="auto"/>
              <w:ind w:firstLine="420"/>
              <w:jc w:val="left"/>
              <w:textAlignment w:val="auto"/>
              <w:rPr>
                <w:rFonts w:ascii="宋体" w:hAnsi="宋体"/>
                <w:sz w:val="21"/>
                <w:szCs w:val="21"/>
                <w:lang w:eastAsia="zh-CN"/>
              </w:rPr>
            </w:pPr>
            <w:r>
              <w:rPr>
                <w:rFonts w:hint="eastAsia" w:ascii="宋体" w:hAnsi="宋体"/>
                <w:sz w:val="21"/>
                <w:szCs w:val="21"/>
                <w:lang w:eastAsia="zh-CN"/>
              </w:rPr>
              <w:t>高</w:t>
            </w:r>
          </w:p>
        </w:tc>
        <w:tc>
          <w:tcPr>
            <w:tcW w:w="1667" w:type="dxa"/>
            <w:vAlign w:val="center"/>
          </w:tcPr>
          <w:p w14:paraId="7570091B">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遗漏违规行为和平台上仇恨内容的增加。</w:t>
            </w:r>
          </w:p>
        </w:tc>
        <w:tc>
          <w:tcPr>
            <w:tcW w:w="1650" w:type="dxa"/>
            <w:vAlign w:val="center"/>
          </w:tcPr>
          <w:p w14:paraId="661A4C23">
            <w:pPr>
              <w:pStyle w:val="13"/>
              <w:pageBreakBefore w:val="0"/>
              <w:kinsoku/>
              <w:wordWrap/>
              <w:overflowPunct/>
              <w:topLinePunct w:val="0"/>
              <w:bidi w:val="0"/>
              <w:adjustRightInd/>
              <w:snapToGrid/>
              <w:spacing w:after="200" w:line="360" w:lineRule="auto"/>
              <w:ind w:left="0" w:leftChars="0" w:firstLine="0" w:firstLineChars="0"/>
              <w:jc w:val="left"/>
              <w:textAlignment w:val="auto"/>
              <w:rPr>
                <w:rFonts w:ascii="宋体" w:hAnsi="宋体"/>
                <w:sz w:val="21"/>
                <w:szCs w:val="21"/>
                <w:lang w:eastAsia="zh-CN"/>
              </w:rPr>
            </w:pPr>
            <w:r>
              <w:rPr>
                <w:rFonts w:hint="eastAsia" w:ascii="宋体" w:hAnsi="宋体"/>
                <w:sz w:val="21"/>
                <w:szCs w:val="21"/>
                <w:lang w:eastAsia="zh-CN"/>
              </w:rPr>
              <w:t>通过新示例不断更新训练数据，开发算法以检测新出现的语言模式，并利用人类专业知识来识别新形式的仇恨言论。</w:t>
            </w:r>
          </w:p>
        </w:tc>
      </w:tr>
    </w:tbl>
    <w:p w14:paraId="2CDAE7F5">
      <w:pPr>
        <w:pageBreakBefore w:val="0"/>
        <w:kinsoku/>
        <w:wordWrap/>
        <w:overflowPunct/>
        <w:topLinePunct w:val="0"/>
        <w:bidi w:val="0"/>
        <w:adjustRightInd/>
        <w:snapToGrid/>
        <w:spacing w:after="200" w:line="360" w:lineRule="auto"/>
        <w:textAlignment w:val="auto"/>
        <w:rPr>
          <w:rFonts w:ascii="宋体" w:hAnsi="宋体" w:eastAsia="宋体"/>
          <w:b/>
          <w:sz w:val="28"/>
          <w:szCs w:val="28"/>
          <w:lang w:eastAsia="zh-CN"/>
        </w:rPr>
      </w:pPr>
    </w:p>
    <w:p w14:paraId="6EAF3C13">
      <w:pPr>
        <w:pageBreakBefore w:val="0"/>
        <w:kinsoku/>
        <w:wordWrap/>
        <w:overflowPunct/>
        <w:topLinePunct w:val="0"/>
        <w:bidi w:val="0"/>
        <w:adjustRightInd/>
        <w:snapToGrid/>
        <w:spacing w:after="200" w:line="360" w:lineRule="auto"/>
        <w:textAlignment w:val="auto"/>
        <w:rPr>
          <w:rFonts w:hint="eastAsia" w:ascii="黑体" w:hAnsi="黑体" w:eastAsia="黑体" w:cs="黑体"/>
          <w:b/>
          <w:bCs w:val="0"/>
          <w:sz w:val="32"/>
          <w:szCs w:val="32"/>
          <w:lang w:eastAsia="zh-CN"/>
        </w:rPr>
      </w:pPr>
      <w:r>
        <w:rPr>
          <w:rFonts w:hint="eastAsia" w:ascii="黑体" w:hAnsi="黑体" w:eastAsia="黑体" w:cs="黑体"/>
          <w:b/>
          <w:bCs w:val="0"/>
          <w:sz w:val="32"/>
          <w:szCs w:val="32"/>
          <w:lang w:eastAsia="zh-CN"/>
        </w:rPr>
        <w:t>场景规划</w:t>
      </w:r>
    </w:p>
    <w:p w14:paraId="53A09F42">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sz w:val="24"/>
          <w:szCs w:val="24"/>
          <w:lang w:eastAsia="zh-CN"/>
        </w:rPr>
        <w:t>设想“社交达人”在现实世界情境中的互动。这一部分探索了一些场景，以观察模型可能的反应。</w:t>
      </w:r>
    </w:p>
    <w:p w14:paraId="540A98A4">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b/>
          <w:bCs/>
          <w:sz w:val="24"/>
          <w:szCs w:val="24"/>
          <w:lang w:eastAsia="zh-CN"/>
        </w:rPr>
      </w:pPr>
      <w:r>
        <w:rPr>
          <w:rFonts w:hint="eastAsia" w:ascii="宋体" w:hAnsi="宋体" w:cs="宋体"/>
          <w:b/>
          <w:bCs/>
          <w:sz w:val="24"/>
          <w:szCs w:val="24"/>
          <w:lang w:eastAsia="zh-CN"/>
        </w:rPr>
        <w:t>场景1：有效审核（广泛采用 + 降低风险）</w:t>
      </w:r>
    </w:p>
    <w:p w14:paraId="358EBA79">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描述：</w:t>
      </w:r>
      <w:r>
        <w:rPr>
          <w:rFonts w:hint="eastAsia" w:ascii="宋体" w:hAnsi="宋体" w:cs="宋体"/>
          <w:sz w:val="24"/>
          <w:szCs w:val="24"/>
          <w:lang w:eastAsia="zh-CN"/>
        </w:rPr>
        <w:t>“社交达人”有效地协助人类审核员识别和移除有害内容，从而营造一个更安全、更具包容性的在线环境。实施的保障措施最小化了偏见，并确保了LLM的负责任使用。</w:t>
      </w:r>
    </w:p>
    <w:p w14:paraId="3F948734">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好处：</w:t>
      </w:r>
      <w:r>
        <w:rPr>
          <w:rFonts w:hint="eastAsia" w:ascii="宋体" w:hAnsi="宋体" w:cs="宋体"/>
          <w:sz w:val="24"/>
          <w:szCs w:val="24"/>
          <w:lang w:eastAsia="zh-CN"/>
        </w:rPr>
        <w:t>提高内容审核效率，减少用户接触有害内容的机会，以及更积极地在线体验。</w:t>
      </w:r>
    </w:p>
    <w:p w14:paraId="4013A82A">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挑战：</w:t>
      </w:r>
      <w:r>
        <w:rPr>
          <w:rFonts w:hint="eastAsia" w:ascii="宋体" w:hAnsi="宋体" w:cs="宋体"/>
          <w:sz w:val="24"/>
          <w:szCs w:val="24"/>
          <w:lang w:eastAsia="zh-CN"/>
        </w:rPr>
        <w:t>不断适应LLM以应对不断演变的语言模式和在线趋势。确保能够获取足够的高质量训练数据，以保持模型的有效性。</w:t>
      </w:r>
    </w:p>
    <w:p w14:paraId="4D2717AB">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总结：</w:t>
      </w:r>
      <w:r>
        <w:rPr>
          <w:rFonts w:hint="eastAsia" w:ascii="宋体" w:hAnsi="宋体" w:cs="宋体"/>
          <w:sz w:val="24"/>
          <w:szCs w:val="24"/>
          <w:lang w:eastAsia="zh-CN"/>
        </w:rPr>
        <w:t>“社交达人”，作为一个大型语言模型（LLM），可以协助人类审核员进行内容审核。然而，训练数据中存在偏见的风险，可能导致不公平的内容标记。为了减轻这一风险，将使用多样化的数据源和偏见检测算法来训练LLM。此外，将在审核过程中保持人工监督。虽然“社交达人”有潜力提高在线安全，但解决偏见并确保负责任地使用对于其成功至关重要。</w:t>
      </w:r>
    </w:p>
    <w:p w14:paraId="5ECA39CB">
      <w:pPr>
        <w:pStyle w:val="13"/>
        <w:rPr>
          <w:rFonts w:hint="eastAsia"/>
          <w:lang w:eastAsia="zh-CN"/>
        </w:rPr>
      </w:pPr>
    </w:p>
    <w:p w14:paraId="6FC3CEBD">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b/>
          <w:bCs/>
          <w:sz w:val="24"/>
          <w:szCs w:val="24"/>
          <w:lang w:eastAsia="zh-CN"/>
        </w:rPr>
      </w:pPr>
      <w:r>
        <w:rPr>
          <w:rFonts w:hint="eastAsia" w:ascii="宋体" w:hAnsi="宋体" w:cs="宋体"/>
          <w:b/>
          <w:bCs/>
          <w:sz w:val="24"/>
          <w:szCs w:val="24"/>
          <w:lang w:eastAsia="zh-CN"/>
        </w:rPr>
        <w:t>场景2：放大偏见（训练数据中的偏见 + 有限的监督）</w:t>
      </w:r>
    </w:p>
    <w:p w14:paraId="45DF1DC6">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描述：</w:t>
      </w:r>
      <w:r>
        <w:rPr>
          <w:rFonts w:hint="eastAsia" w:ascii="宋体" w:hAnsi="宋体" w:cs="宋体"/>
          <w:sz w:val="24"/>
          <w:szCs w:val="24"/>
          <w:lang w:eastAsia="zh-CN"/>
        </w:rPr>
        <w:t>训练数据中的偏见导致不公平的内容审核，不成比例地针对特定群体。有限的人工监督使得带有偏见的标记得以放任。</w:t>
      </w:r>
    </w:p>
    <w:p w14:paraId="1B860B2D">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hint="eastAsia" w:ascii="宋体" w:hAnsi="宋体" w:cs="宋体"/>
          <w:sz w:val="24"/>
          <w:szCs w:val="24"/>
          <w:lang w:eastAsia="zh-CN"/>
        </w:rPr>
      </w:pPr>
      <w:r>
        <w:rPr>
          <w:rFonts w:hint="eastAsia" w:ascii="宋体" w:hAnsi="宋体" w:cs="宋体"/>
          <w:b/>
          <w:bCs/>
          <w:sz w:val="24"/>
          <w:szCs w:val="24"/>
          <w:lang w:eastAsia="zh-CN"/>
        </w:rPr>
        <w:t>潜在后果：</w:t>
      </w:r>
      <w:r>
        <w:rPr>
          <w:rFonts w:hint="eastAsia" w:ascii="宋体" w:hAnsi="宋体" w:cs="宋体"/>
          <w:sz w:val="24"/>
          <w:szCs w:val="24"/>
          <w:lang w:eastAsia="zh-CN"/>
        </w:rPr>
        <w:t>侵蚀用户信任，引发审查制度的指责，声誉损害，以及潜在的法律后果。</w:t>
      </w:r>
    </w:p>
    <w:p w14:paraId="01C883E0">
      <w:pPr>
        <w:pStyle w:val="50"/>
        <w:keepNext w:val="0"/>
        <w:keepLines w:val="0"/>
        <w:pageBreakBefore w:val="0"/>
        <w:widowControl w:val="0"/>
        <w:kinsoku/>
        <w:wordWrap/>
        <w:overflowPunct/>
        <w:topLinePunct w:val="0"/>
        <w:autoSpaceDE w:val="0"/>
        <w:autoSpaceDN w:val="0"/>
        <w:bidi w:val="0"/>
        <w:adjustRightInd/>
        <w:snapToGrid/>
        <w:spacing w:after="200" w:line="360" w:lineRule="auto"/>
        <w:ind w:firstLine="0" w:firstLineChars="0"/>
        <w:jc w:val="left"/>
        <w:textAlignment w:val="auto"/>
        <w:rPr>
          <w:rFonts w:ascii="宋体" w:hAnsi="宋体" w:eastAsia="宋体"/>
          <w:b/>
          <w:sz w:val="28"/>
          <w:szCs w:val="28"/>
          <w:lang w:eastAsia="zh-CN"/>
        </w:rPr>
      </w:pPr>
      <w:r>
        <w:rPr>
          <w:rFonts w:hint="eastAsia" w:ascii="宋体" w:hAnsi="宋体" w:cs="宋体"/>
          <w:b/>
          <w:bCs/>
          <w:sz w:val="24"/>
          <w:szCs w:val="24"/>
          <w:lang w:eastAsia="zh-CN"/>
        </w:rPr>
        <w:t>缓解策略：</w:t>
      </w:r>
      <w:r>
        <w:rPr>
          <w:rFonts w:hint="eastAsia" w:ascii="宋体" w:hAnsi="宋体" w:cs="宋体"/>
          <w:sz w:val="24"/>
          <w:szCs w:val="24"/>
          <w:lang w:eastAsia="zh-CN"/>
        </w:rPr>
        <w:t>彻底审计训练数据以查找偏见，增加关于LLM局限性的透明度，以及对所有标记内容进行强制性人工复审。</w:t>
      </w:r>
    </w:p>
    <w:p w14:paraId="112EED3B">
      <w:pPr>
        <w:pStyle w:val="50"/>
        <w:keepNext w:val="0"/>
        <w:keepLines w:val="0"/>
        <w:pageBreakBefore w:val="0"/>
        <w:widowControl w:val="0"/>
        <w:kinsoku/>
        <w:wordWrap/>
        <w:overflowPunct/>
        <w:topLinePunct w:val="0"/>
        <w:autoSpaceDE w:val="0"/>
        <w:autoSpaceDN w:val="0"/>
        <w:bidi w:val="0"/>
        <w:adjustRightInd/>
        <w:snapToGrid/>
        <w:spacing w:after="200" w:line="360" w:lineRule="auto"/>
        <w:ind w:left="0" w:leftChars="0" w:firstLine="0" w:firstLineChars="0"/>
        <w:textAlignment w:val="auto"/>
        <w:rPr>
          <w:rFonts w:hint="eastAsia" w:ascii="宋体" w:hAnsi="宋体" w:cs="宋体"/>
          <w:sz w:val="24"/>
          <w:szCs w:val="24"/>
          <w:lang w:eastAsia="zh-CN"/>
        </w:rPr>
      </w:pPr>
      <w:r>
        <w:rPr>
          <w:rFonts w:hint="eastAsia" w:ascii="宋体" w:hAnsi="宋体" w:cs="宋体"/>
          <w:b/>
          <w:bCs/>
          <w:sz w:val="24"/>
          <w:szCs w:val="24"/>
          <w:lang w:eastAsia="zh-CN"/>
        </w:rPr>
        <w:t>总结：</w:t>
      </w:r>
      <w:r>
        <w:rPr>
          <w:rFonts w:hint="eastAsia" w:ascii="宋体" w:hAnsi="宋体" w:cs="宋体"/>
          <w:sz w:val="24"/>
          <w:szCs w:val="24"/>
          <w:lang w:eastAsia="zh-CN"/>
        </w:rPr>
        <w:t>“</w:t>
      </w:r>
      <w:r>
        <w:rPr>
          <w:rFonts w:hint="eastAsia" w:ascii="宋体" w:hAnsi="宋体" w:cs="宋体"/>
          <w:sz w:val="24"/>
          <w:szCs w:val="24"/>
          <w:lang w:eastAsia="zh-CN"/>
        </w:rPr>
        <w:t>社交达人”在内容审核方面虽然有价值，但面临放大偏见的风险。有限的人工监督可能导致训练数据中的偏见未被检查，从而导致对某些群体的不公平内容标记。需要对训练数据进行彻底的偏见审查，透明公开LLM的局限性，并对所有标记内容进行强制性人工复审，以解决这一问题。</w:t>
      </w:r>
    </w:p>
    <w:p w14:paraId="28494276">
      <w:pPr>
        <w:pStyle w:val="13"/>
        <w:rPr>
          <w:rFonts w:hint="eastAsia"/>
          <w:lang w:eastAsia="zh-CN"/>
        </w:rPr>
      </w:pPr>
    </w:p>
    <w:p w14:paraId="504FA8EE">
      <w:pPr>
        <w:pStyle w:val="2"/>
        <w:keepNext/>
        <w:keepLines/>
        <w:pageBreakBefore w:val="0"/>
        <w:widowControl w:val="0"/>
        <w:kinsoku/>
        <w:wordWrap/>
        <w:overflowPunct/>
        <w:topLinePunct w:val="0"/>
        <w:autoSpaceDE/>
        <w:autoSpaceDN/>
        <w:bidi w:val="0"/>
        <w:adjustRightInd/>
        <w:snapToGrid/>
        <w:spacing w:before="0" w:after="200" w:line="360" w:lineRule="auto"/>
        <w:jc w:val="both"/>
        <w:textAlignment w:val="auto"/>
        <w:rPr>
          <w:rFonts w:hint="eastAsia" w:ascii="黑体" w:hAnsi="黑体" w:cs="黑体"/>
          <w:b/>
          <w:color w:val="auto"/>
          <w:kern w:val="44"/>
          <w:szCs w:val="36"/>
          <w:lang w:eastAsia="zh-CN"/>
        </w:rPr>
      </w:pPr>
      <w:bookmarkStart w:id="69" w:name="_Toc195018729"/>
      <w:r>
        <w:rPr>
          <w:rFonts w:hint="eastAsia" w:ascii="黑体" w:hAnsi="黑体" w:cs="黑体"/>
          <w:b/>
          <w:color w:val="auto"/>
          <w:kern w:val="44"/>
          <w:szCs w:val="36"/>
          <w:lang w:eastAsia="zh-CN"/>
        </w:rPr>
        <w:t>五、结论与展望</w:t>
      </w:r>
      <w:bookmarkEnd w:id="69"/>
    </w:p>
    <w:p w14:paraId="1B108AA7">
      <w:pPr>
        <w:pStyle w:val="13"/>
        <w:pageBreakBefore w:val="0"/>
        <w:kinsoku/>
        <w:wordWrap/>
        <w:overflowPunct/>
        <w:topLinePunct w:val="0"/>
        <w:bidi w:val="0"/>
        <w:adjustRightInd/>
        <w:snapToGrid/>
        <w:spacing w:after="200" w:line="360" w:lineRule="auto"/>
        <w:ind w:firstLine="480"/>
        <w:textAlignment w:val="auto"/>
        <w:rPr>
          <w:rFonts w:hint="eastAsia"/>
          <w:lang w:eastAsia="zh-CN"/>
        </w:rPr>
      </w:pPr>
      <w:r>
        <w:rPr>
          <w:rFonts w:hint="eastAsia"/>
          <w:lang w:eastAsia="zh-CN"/>
        </w:rPr>
        <w:t>通过结合模型卡片、数据手册、风险卡片和场景规划，我们可以建立一个全面的模型风险管理（MRM）框架。该框架确保负责任的开发，减轻了偏见和数据质量问题等风险，并实现模型的安全和有益使用。优先考虑自动化和标准化工作将提高框架的效率，实现无缝集成，并提供汇总性能报告。这种积极主动的方法有效地管理了模型风险，并与人工智能/机器学习创新保持同步。</w:t>
      </w:r>
    </w:p>
    <w:p w14:paraId="64A3FA7D">
      <w:pPr>
        <w:pStyle w:val="3"/>
        <w:keepNext/>
        <w:keepLines/>
        <w:pageBreakBefore w:val="0"/>
        <w:widowControl w:val="0"/>
        <w:numPr>
          <w:ilvl w:val="0"/>
          <w:numId w:val="0"/>
        </w:numPr>
        <w:kinsoku/>
        <w:wordWrap/>
        <w:overflowPunct/>
        <w:topLinePunct w:val="0"/>
        <w:autoSpaceDE w:val="0"/>
        <w:autoSpaceDN w:val="0"/>
        <w:bidi w:val="0"/>
        <w:adjustRightInd/>
        <w:snapToGrid/>
        <w:spacing w:before="0" w:after="200" w:line="360" w:lineRule="auto"/>
        <w:ind w:leftChars="0" w:firstLine="420" w:firstLineChars="0"/>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lang w:eastAsia="zh-CN"/>
        </w:rPr>
        <w:t>展望未来：模型风险管理（MRM）的演变趋势</w:t>
      </w:r>
    </w:p>
    <w:p w14:paraId="01CD74BE">
      <w:pPr>
        <w:pStyle w:val="13"/>
        <w:pageBreakBefore w:val="0"/>
        <w:kinsoku/>
        <w:wordWrap/>
        <w:overflowPunct/>
        <w:topLinePunct w:val="0"/>
        <w:bidi w:val="0"/>
        <w:adjustRightInd/>
        <w:snapToGrid/>
        <w:spacing w:after="200" w:line="360" w:lineRule="auto"/>
        <w:ind w:firstLine="480"/>
        <w:textAlignment w:val="auto"/>
        <w:rPr>
          <w:rFonts w:hint="eastAsia"/>
          <w:lang w:eastAsia="zh-CN"/>
        </w:rPr>
      </w:pPr>
      <w:r>
        <w:rPr>
          <w:rFonts w:hint="eastAsia"/>
          <w:lang w:eastAsia="zh-CN"/>
        </w:rPr>
        <w:t>人工智能和机器学习领域不断演进，要求我们对模型风险管理（MRM）最佳实践进行适应和完善。为此，我们将扩展本文的内容，提供实践经验、见解，并帮助有效实施这些实践。我们还将探讨以下新的关键领域，旨在扩大我们对全面模型风险管理（MRM）的理解：</w:t>
      </w:r>
    </w:p>
    <w:p w14:paraId="42043CA5">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标准化文档：</w:t>
      </w:r>
      <w:r>
        <w:rPr>
          <w:rFonts w:hint="eastAsia" w:ascii="Calibri" w:hAnsi="Calibri" w:eastAsia="宋体" w:cs="Calibri"/>
          <w:b w:val="0"/>
          <w:bCs w:val="0"/>
          <w:sz w:val="24"/>
          <w:szCs w:val="24"/>
          <w:lang w:eastAsia="zh-CN"/>
        </w:rPr>
        <w:t>为模型卡片、数据手册和风险卡片开发一致的格式将简化不同模型之间的比较，便于进行风险评估，并使我们能够更全面地了解模型的功能和局限性。</w:t>
      </w:r>
    </w:p>
    <w:p w14:paraId="37975272">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机器学习运维（MLOps）和自动化的兴起：</w:t>
      </w:r>
      <w:r>
        <w:rPr>
          <w:rFonts w:hint="eastAsia" w:ascii="Calibri" w:hAnsi="Calibri" w:eastAsia="宋体" w:cs="Calibri"/>
          <w:b w:val="0"/>
          <w:bCs w:val="0"/>
          <w:sz w:val="24"/>
          <w:szCs w:val="24"/>
          <w:lang w:eastAsia="zh-CN"/>
        </w:rPr>
        <w:t>机器学习运维（MLOps）领域正日益受到关注，该领域专注于机器学习（ML）的开发和运维（DevOps）实践。自动化工具被纳入模型开发生命周期中，实现了持续监控和风险评估。这一转变有助于在模型部署到生产环境之前识别和应对风险。</w:t>
      </w:r>
    </w:p>
    <w:p w14:paraId="4342BB5A">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 xml:space="preserve"> 集成可解释性人工智能(XAI)技术：</w:t>
      </w:r>
      <w:r>
        <w:rPr>
          <w:rFonts w:hint="eastAsia" w:ascii="Calibri" w:hAnsi="Calibri" w:eastAsia="宋体" w:cs="Calibri"/>
          <w:b w:val="0"/>
          <w:bCs w:val="0"/>
          <w:sz w:val="24"/>
          <w:szCs w:val="24"/>
          <w:lang w:eastAsia="zh-CN"/>
        </w:rPr>
        <w:t>可解释性人工智能(XAI)技术能够更深入地洞察模型的决策过程，从而进一步加强风险识别和缓解工作。</w:t>
      </w:r>
    </w:p>
    <w:p w14:paraId="721A40A9">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监管环境的发展：</w:t>
      </w:r>
      <w:r>
        <w:rPr>
          <w:rFonts w:hint="eastAsia" w:ascii="Calibri" w:hAnsi="Calibri" w:eastAsia="宋体" w:cs="Calibri"/>
          <w:b w:val="0"/>
          <w:bCs w:val="0"/>
          <w:sz w:val="24"/>
          <w:szCs w:val="24"/>
          <w:lang w:eastAsia="zh-CN"/>
        </w:rPr>
        <w:t>围绕人工智能（AI）/机器学习（ML）模型的监管框架仍在制定中。行业、监管机构和决策者之间的持续合作对于建立既促进创新又降低风险的明确有效监管至关重要。</w:t>
      </w:r>
    </w:p>
    <w:p w14:paraId="742F92D8">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解决社会和伦理问题：</w:t>
      </w:r>
      <w:r>
        <w:rPr>
          <w:rFonts w:hint="eastAsia" w:ascii="Calibri" w:hAnsi="Calibri" w:eastAsia="宋体" w:cs="Calibri"/>
          <w:b w:val="0"/>
          <w:bCs w:val="0"/>
          <w:sz w:val="24"/>
          <w:szCs w:val="24"/>
          <w:lang w:eastAsia="zh-CN"/>
        </w:rPr>
        <w:t>随着人工智能（AI）/机器学习（ML）模型的日益普及，持续解决围绕偏见、公平和问责制的潜在社会和伦理问题非常关键。将这些考虑因素集成到MRM框架中尤为重要。</w:t>
      </w:r>
    </w:p>
    <w:p w14:paraId="6021679F">
      <w:pPr>
        <w:pageBreakBefore w:val="0"/>
        <w:numPr>
          <w:ilvl w:val="0"/>
          <w:numId w:val="4"/>
        </w:numPr>
        <w:tabs>
          <w:tab w:val="left" w:pos="819"/>
          <w:tab w:val="left" w:pos="820"/>
        </w:tabs>
        <w:kinsoku/>
        <w:wordWrap/>
        <w:overflowPunct/>
        <w:topLinePunct w:val="0"/>
        <w:bidi w:val="0"/>
        <w:adjustRightInd/>
        <w:snapToGrid/>
        <w:spacing w:after="200" w:line="360" w:lineRule="auto"/>
        <w:ind w:right="205" w:firstLine="20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bCs/>
          <w:sz w:val="24"/>
          <w:szCs w:val="24"/>
          <w:lang w:eastAsia="zh-CN"/>
        </w:rPr>
        <w:t xml:space="preserve"> 注重人机协作：</w:t>
      </w:r>
      <w:r>
        <w:rPr>
          <w:rFonts w:hint="eastAsia" w:ascii="Calibri" w:hAnsi="Calibri" w:eastAsia="宋体" w:cs="Calibri"/>
          <w:b w:val="0"/>
          <w:bCs w:val="0"/>
          <w:sz w:val="24"/>
          <w:szCs w:val="24"/>
          <w:lang w:eastAsia="zh-CN"/>
        </w:rPr>
        <w:t>随着人工智能（AI）模型越来越多地融入决策过程中，重点将转向人机协作。风险管理策略必须不断发展，以考虑可能影响模型输出的人为错误或偏见。</w:t>
      </w:r>
    </w:p>
    <w:p w14:paraId="7C91220A">
      <w:pPr>
        <w:pageBreakBefore w:val="0"/>
        <w:numPr>
          <w:numId w:val="0"/>
        </w:numPr>
        <w:tabs>
          <w:tab w:val="left" w:pos="819"/>
          <w:tab w:val="left" w:pos="820"/>
        </w:tabs>
        <w:kinsoku/>
        <w:wordWrap/>
        <w:overflowPunct/>
        <w:topLinePunct w:val="0"/>
        <w:bidi w:val="0"/>
        <w:adjustRightInd/>
        <w:snapToGrid/>
        <w:spacing w:after="200" w:line="360" w:lineRule="auto"/>
        <w:ind w:right="205" w:rightChars="0"/>
        <w:jc w:val="both"/>
        <w:textAlignment w:val="auto"/>
        <w:rPr>
          <w:rFonts w:hint="eastAsia" w:ascii="Calibri" w:hAnsi="Calibri" w:eastAsia="宋体" w:cs="Calibri"/>
          <w:b w:val="0"/>
          <w:bCs w:val="0"/>
          <w:sz w:val="24"/>
          <w:szCs w:val="24"/>
          <w:lang w:eastAsia="zh-CN"/>
        </w:rPr>
      </w:pPr>
      <w:r>
        <w:rPr>
          <w:rFonts w:hint="eastAsia" w:ascii="Calibri" w:hAnsi="Calibri" w:eastAsia="宋体" w:cs="Calibri"/>
          <w:b w:val="0"/>
          <w:bCs w:val="0"/>
          <w:sz w:val="24"/>
          <w:szCs w:val="24"/>
          <w:lang w:val="en-US" w:eastAsia="zh-CN"/>
        </w:rPr>
        <w:tab/>
      </w:r>
      <w:r>
        <w:rPr>
          <w:rFonts w:hint="eastAsia" w:ascii="Calibri" w:hAnsi="Calibri" w:eastAsia="宋体" w:cs="Calibri"/>
          <w:b w:val="0"/>
          <w:bCs w:val="0"/>
          <w:sz w:val="24"/>
          <w:szCs w:val="24"/>
          <w:lang w:eastAsia="zh-CN"/>
        </w:rPr>
        <w:t>通过积极采用框架的方法来管理模型风险，我们可以充分发挥人工智能（AI）/机器学习（ML）模型的潜力，并确保它们安全、负责地融入未来的创新中。</w:t>
      </w:r>
    </w:p>
    <w:p w14:paraId="66D3CD52">
      <w:pPr>
        <w:spacing w:line="360" w:lineRule="auto"/>
        <w:rPr>
          <w:rFonts w:ascii="宋体" w:hAnsi="宋体" w:eastAsia="宋体"/>
          <w:lang w:eastAsia="zh-CN"/>
        </w:rPr>
      </w:pPr>
    </w:p>
    <w:p w14:paraId="6678AE02">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70" w:name="_Toc195018730"/>
      <w:r>
        <w:rPr>
          <w:rFonts w:hint="eastAsia" w:ascii="黑体" w:hAnsi="黑体" w:cs="黑体"/>
          <w:b/>
          <w:color w:val="auto"/>
          <w:kern w:val="44"/>
          <w:szCs w:val="36"/>
          <w:lang w:eastAsia="zh-CN"/>
        </w:rPr>
        <w:t>参考文献</w:t>
      </w:r>
      <w:bookmarkEnd w:id="70"/>
    </w:p>
    <w:p w14:paraId="47195AEB">
      <w:pPr>
        <w:pStyle w:val="42"/>
        <w:numPr>
          <w:ilvl w:val="0"/>
          <w:numId w:val="7"/>
        </w:numPr>
        <w:tabs>
          <w:tab w:val="left" w:pos="819"/>
          <w:tab w:val="left" w:pos="820"/>
        </w:tabs>
        <w:spacing w:before="168" w:line="360" w:lineRule="auto"/>
        <w:ind w:right="268"/>
        <w:rPr>
          <w:rFonts w:ascii="Arial" w:hAnsi="Arial" w:eastAsia="Arial" w:cs="Arial"/>
          <w:color w:val="1154CC"/>
          <w:sz w:val="20"/>
          <w:szCs w:val="22"/>
          <w:u w:val="single" w:color="1154CC"/>
          <w:lang w:val="en-US" w:eastAsia="en-US" w:bidi="ar-SA"/>
        </w:rPr>
      </w:pPr>
      <w:r>
        <w:rPr>
          <w:color w:val="1F1F1F"/>
          <w:sz w:val="20"/>
        </w:rPr>
        <w:t>McKinsey</w:t>
      </w:r>
      <w:r>
        <w:rPr>
          <w:color w:val="1F1F1F"/>
          <w:spacing w:val="-14"/>
          <w:sz w:val="20"/>
        </w:rPr>
        <w:t xml:space="preserve"> </w:t>
      </w:r>
      <w:r>
        <w:rPr>
          <w:color w:val="1F1F1F"/>
          <w:sz w:val="20"/>
        </w:rPr>
        <w:t>&amp;</w:t>
      </w:r>
      <w:r>
        <w:rPr>
          <w:color w:val="1F1F1F"/>
          <w:spacing w:val="-14"/>
          <w:sz w:val="20"/>
        </w:rPr>
        <w:t xml:space="preserve"> </w:t>
      </w:r>
      <w:r>
        <w:rPr>
          <w:color w:val="1F1F1F"/>
          <w:sz w:val="20"/>
        </w:rPr>
        <w:t>Company.</w:t>
      </w:r>
      <w:r>
        <w:rPr>
          <w:color w:val="1F1F1F"/>
          <w:spacing w:val="-14"/>
          <w:sz w:val="20"/>
        </w:rPr>
        <w:t xml:space="preserve"> </w:t>
      </w:r>
      <w:r>
        <w:rPr>
          <w:color w:val="1F1F1F"/>
          <w:sz w:val="20"/>
        </w:rPr>
        <w:t>(2023).</w:t>
      </w:r>
      <w:r>
        <w:rPr>
          <w:color w:val="1F1F1F"/>
          <w:spacing w:val="-14"/>
          <w:sz w:val="20"/>
        </w:rPr>
        <w:t xml:space="preserve"> </w:t>
      </w:r>
      <w:r>
        <w:rPr>
          <w:i/>
          <w:color w:val="1F1F1F"/>
          <w:sz w:val="20"/>
        </w:rPr>
        <w:t>The</w:t>
      </w:r>
      <w:r>
        <w:rPr>
          <w:i/>
          <w:color w:val="1F1F1F"/>
          <w:spacing w:val="-14"/>
          <w:sz w:val="20"/>
        </w:rPr>
        <w:t xml:space="preserve"> </w:t>
      </w:r>
      <w:r>
        <w:rPr>
          <w:i/>
          <w:color w:val="1F1F1F"/>
          <w:sz w:val="20"/>
        </w:rPr>
        <w:t>state</w:t>
      </w:r>
      <w:r>
        <w:rPr>
          <w:i/>
          <w:color w:val="1F1F1F"/>
          <w:spacing w:val="-14"/>
          <w:sz w:val="20"/>
        </w:rPr>
        <w:t xml:space="preserve"> </w:t>
      </w:r>
      <w:r>
        <w:rPr>
          <w:i/>
          <w:color w:val="1F1F1F"/>
          <w:sz w:val="20"/>
        </w:rPr>
        <w:t>of</w:t>
      </w:r>
      <w:r>
        <w:rPr>
          <w:i/>
          <w:color w:val="1F1F1F"/>
          <w:spacing w:val="-14"/>
          <w:sz w:val="20"/>
        </w:rPr>
        <w:t xml:space="preserve"> </w:t>
      </w:r>
      <w:r>
        <w:rPr>
          <w:i/>
          <w:color w:val="1F1F1F"/>
          <w:sz w:val="20"/>
        </w:rPr>
        <w:t>AI</w:t>
      </w:r>
      <w:r>
        <w:rPr>
          <w:i/>
          <w:color w:val="1F1F1F"/>
          <w:spacing w:val="-14"/>
          <w:sz w:val="20"/>
        </w:rPr>
        <w:t xml:space="preserve"> </w:t>
      </w:r>
      <w:r>
        <w:rPr>
          <w:i/>
          <w:color w:val="1F1F1F"/>
          <w:sz w:val="20"/>
        </w:rPr>
        <w:t>in</w:t>
      </w:r>
      <w:r>
        <w:rPr>
          <w:i/>
          <w:color w:val="1F1F1F"/>
          <w:spacing w:val="-14"/>
          <w:sz w:val="20"/>
        </w:rPr>
        <w:t xml:space="preserve"> </w:t>
      </w:r>
      <w:r>
        <w:rPr>
          <w:i/>
          <w:color w:val="1F1F1F"/>
          <w:sz w:val="20"/>
        </w:rPr>
        <w:t>2023:</w:t>
      </w:r>
      <w:r>
        <w:rPr>
          <w:i/>
          <w:color w:val="1F1F1F"/>
          <w:spacing w:val="-13"/>
          <w:sz w:val="20"/>
        </w:rPr>
        <w:t xml:space="preserve"> </w:t>
      </w:r>
      <w:r>
        <w:rPr>
          <w:i/>
          <w:color w:val="1F1F1F"/>
          <w:sz w:val="20"/>
        </w:rPr>
        <w:t>Generative</w:t>
      </w:r>
      <w:r>
        <w:rPr>
          <w:i/>
          <w:color w:val="1F1F1F"/>
          <w:spacing w:val="-14"/>
          <w:sz w:val="20"/>
        </w:rPr>
        <w:t xml:space="preserve"> </w:t>
      </w:r>
      <w:r>
        <w:rPr>
          <w:i/>
          <w:color w:val="1F1F1F"/>
          <w:sz w:val="20"/>
        </w:rPr>
        <w:t>AI’s</w:t>
      </w:r>
      <w:r>
        <w:rPr>
          <w:i/>
          <w:color w:val="1F1F1F"/>
          <w:spacing w:val="-14"/>
          <w:sz w:val="20"/>
        </w:rPr>
        <w:t xml:space="preserve"> </w:t>
      </w:r>
      <w:r>
        <w:rPr>
          <w:i/>
          <w:color w:val="1F1F1F"/>
          <w:sz w:val="20"/>
        </w:rPr>
        <w:t>breakout</w:t>
      </w:r>
      <w:r>
        <w:rPr>
          <w:i/>
          <w:color w:val="1F1F1F"/>
          <w:spacing w:val="-14"/>
          <w:sz w:val="20"/>
        </w:rPr>
        <w:t xml:space="preserve"> </w:t>
      </w:r>
      <w:r>
        <w:rPr>
          <w:i/>
          <w:color w:val="1F1F1F"/>
          <w:sz w:val="20"/>
        </w:rPr>
        <w:t>year.</w:t>
      </w:r>
      <w:r>
        <w:rPr>
          <w:i/>
          <w:color w:val="1F1F1F"/>
          <w:spacing w:val="-14"/>
          <w:sz w:val="20"/>
        </w:rPr>
        <w:t xml:space="preserve"> </w:t>
      </w:r>
      <w:r>
        <w:rPr>
          <w:color w:val="1F1F1F"/>
          <w:sz w:val="20"/>
        </w:rPr>
        <w:t>McKinsey</w:t>
      </w:r>
      <w:r>
        <w:rPr>
          <w:color w:val="1F1F1F"/>
          <w:spacing w:val="-14"/>
          <w:sz w:val="20"/>
        </w:rPr>
        <w:t xml:space="preserve"> </w:t>
      </w:r>
      <w:r>
        <w:rPr>
          <w:color w:val="1F1F1F"/>
          <w:sz w:val="20"/>
        </w:rPr>
        <w:t xml:space="preserve">&amp; </w:t>
      </w:r>
      <w:r>
        <w:rPr>
          <w:color w:val="1F1F1F"/>
          <w:spacing w:val="-2"/>
          <w:sz w:val="20"/>
        </w:rPr>
        <w:t>Company.</w:t>
      </w:r>
      <w:r>
        <w:rPr>
          <w:rFonts w:ascii="Arial" w:hAnsi="Arial" w:eastAsia="Arial" w:cs="Arial"/>
          <w:color w:val="1154CC"/>
          <w:sz w:val="20"/>
          <w:szCs w:val="22"/>
          <w:u w:val="single" w:color="1154CC"/>
          <w:lang w:val="en-US" w:eastAsia="en-US" w:bidi="ar-SA"/>
        </w:rPr>
        <w:fldChar w:fldCharType="begin"/>
      </w:r>
      <w:r>
        <w:rPr>
          <w:rFonts w:ascii="Arial" w:hAnsi="Arial" w:eastAsia="Arial" w:cs="Arial"/>
          <w:color w:val="1154CC"/>
          <w:sz w:val="20"/>
          <w:szCs w:val="22"/>
          <w:u w:val="single" w:color="1154CC"/>
          <w:lang w:val="en-US" w:eastAsia="en-US" w:bidi="ar-SA"/>
        </w:rPr>
        <w:instrText xml:space="preserve"> HYPERLINK "https://www.mckinsey.com/capabilities/quantumblack/our-insights/the-state-of-ai-in-2023-generative-AIs-breakout-year" \h </w:instrText>
      </w:r>
      <w:r>
        <w:rPr>
          <w:rFonts w:ascii="Arial" w:hAnsi="Arial" w:eastAsia="Arial" w:cs="Arial"/>
          <w:color w:val="1154CC"/>
          <w:sz w:val="20"/>
          <w:szCs w:val="22"/>
          <w:u w:val="single" w:color="1154CC"/>
          <w:lang w:val="en-US" w:eastAsia="en-US" w:bidi="ar-SA"/>
        </w:rPr>
        <w:fldChar w:fldCharType="separate"/>
      </w:r>
      <w:r>
        <w:rPr>
          <w:rFonts w:ascii="Arial" w:hAnsi="Arial" w:eastAsia="Arial" w:cs="Arial"/>
          <w:color w:val="1154CC"/>
          <w:sz w:val="20"/>
          <w:szCs w:val="22"/>
          <w:u w:val="single" w:color="1154CC"/>
          <w:lang w:val="en-US" w:eastAsia="en-US" w:bidi="ar-SA"/>
        </w:rPr>
        <w:t>https://www.mckinsey.com/capabilities/quantumblack/our-insights/the-state-of-ai-in-2023-gen</w:t>
      </w:r>
      <w:r>
        <w:rPr>
          <w:rFonts w:ascii="Arial" w:hAnsi="Arial" w:eastAsia="Arial" w:cs="Arial"/>
          <w:color w:val="1154CC"/>
          <w:sz w:val="20"/>
          <w:szCs w:val="22"/>
          <w:u w:val="single" w:color="1154CC"/>
          <w:lang w:val="en-US" w:eastAsia="en-US" w:bidi="ar-SA"/>
        </w:rPr>
        <w:fldChar w:fldCharType="end"/>
      </w:r>
      <w:r>
        <w:rPr>
          <w:rFonts w:ascii="Arial" w:hAnsi="Arial" w:eastAsia="Arial" w:cs="Arial"/>
          <w:color w:val="1154CC"/>
          <w:sz w:val="20"/>
          <w:szCs w:val="22"/>
          <w:u w:val="single" w:color="1154CC"/>
          <w:lang w:val="en-US" w:eastAsia="en-US" w:bidi="ar-SA"/>
        </w:rPr>
        <w:t xml:space="preserve"> </w:t>
      </w:r>
      <w:r>
        <w:rPr>
          <w:rFonts w:ascii="Arial" w:hAnsi="Arial" w:eastAsia="Arial" w:cs="Arial"/>
          <w:color w:val="1154CC"/>
          <w:sz w:val="20"/>
          <w:szCs w:val="22"/>
          <w:u w:val="single" w:color="1154CC"/>
          <w:lang w:val="en-US" w:eastAsia="en-US" w:bidi="ar-SA"/>
        </w:rPr>
        <w:fldChar w:fldCharType="begin"/>
      </w:r>
      <w:r>
        <w:rPr>
          <w:rFonts w:ascii="Arial" w:hAnsi="Arial" w:eastAsia="Arial" w:cs="Arial"/>
          <w:color w:val="1154CC"/>
          <w:sz w:val="20"/>
          <w:szCs w:val="22"/>
          <w:u w:val="single" w:color="1154CC"/>
          <w:lang w:val="en-US" w:eastAsia="en-US" w:bidi="ar-SA"/>
        </w:rPr>
        <w:instrText xml:space="preserve"> HYPERLINK "https://www.mckinsey.com/capabilities/quantumblack/our-insights/the-state-of-ai-in-2023-generative-AIs-breakout-year" \h </w:instrText>
      </w:r>
      <w:r>
        <w:rPr>
          <w:rFonts w:ascii="Arial" w:hAnsi="Arial" w:eastAsia="Arial" w:cs="Arial"/>
          <w:color w:val="1154CC"/>
          <w:sz w:val="20"/>
          <w:szCs w:val="22"/>
          <w:u w:val="single" w:color="1154CC"/>
          <w:lang w:val="en-US" w:eastAsia="en-US" w:bidi="ar-SA"/>
        </w:rPr>
        <w:fldChar w:fldCharType="separate"/>
      </w:r>
      <w:r>
        <w:rPr>
          <w:rFonts w:ascii="Arial" w:hAnsi="Arial" w:eastAsia="Arial" w:cs="Arial"/>
          <w:color w:val="1154CC"/>
          <w:sz w:val="20"/>
          <w:szCs w:val="22"/>
          <w:u w:val="single" w:color="1154CC"/>
          <w:lang w:val="en-US" w:eastAsia="en-US" w:bidi="ar-SA"/>
        </w:rPr>
        <w:t>erative-AIs-breakout-year</w:t>
      </w:r>
      <w:r>
        <w:rPr>
          <w:rFonts w:ascii="Arial" w:hAnsi="Arial" w:eastAsia="Arial" w:cs="Arial"/>
          <w:color w:val="1154CC"/>
          <w:sz w:val="20"/>
          <w:szCs w:val="22"/>
          <w:u w:val="single" w:color="1154CC"/>
          <w:lang w:val="en-US" w:eastAsia="en-US" w:bidi="ar-SA"/>
        </w:rPr>
        <w:fldChar w:fldCharType="end"/>
      </w:r>
    </w:p>
    <w:p w14:paraId="32C1C1CA">
      <w:pPr>
        <w:pStyle w:val="42"/>
        <w:numPr>
          <w:ilvl w:val="0"/>
          <w:numId w:val="7"/>
        </w:numPr>
        <w:tabs>
          <w:tab w:val="left" w:pos="819"/>
          <w:tab w:val="left" w:pos="820"/>
        </w:tabs>
        <w:spacing w:before="2" w:line="360" w:lineRule="auto"/>
        <w:rPr>
          <w:color w:val="111A25"/>
          <w:sz w:val="20"/>
        </w:rPr>
      </w:pPr>
      <w:r>
        <w:rPr>
          <w:color w:val="111A25"/>
          <w:sz w:val="20"/>
        </w:rPr>
        <w:t>IBM.</w:t>
      </w:r>
      <w:r>
        <w:rPr>
          <w:color w:val="111A25"/>
          <w:spacing w:val="-6"/>
          <w:sz w:val="20"/>
        </w:rPr>
        <w:t xml:space="preserve"> </w:t>
      </w:r>
      <w:r>
        <w:rPr>
          <w:color w:val="111A25"/>
          <w:sz w:val="20"/>
        </w:rPr>
        <w:t>(n.d.).</w:t>
      </w:r>
      <w:r>
        <w:rPr>
          <w:color w:val="111A25"/>
          <w:spacing w:val="-5"/>
          <w:sz w:val="20"/>
        </w:rPr>
        <w:t xml:space="preserve"> </w:t>
      </w:r>
      <w:r>
        <w:rPr>
          <w:i/>
          <w:color w:val="111A25"/>
          <w:sz w:val="20"/>
        </w:rPr>
        <w:t>Watsonx</w:t>
      </w:r>
      <w:r>
        <w:rPr>
          <w:i/>
          <w:color w:val="111A25"/>
          <w:spacing w:val="-7"/>
          <w:sz w:val="20"/>
        </w:rPr>
        <w:t xml:space="preserve"> </w:t>
      </w:r>
      <w:r>
        <w:rPr>
          <w:i/>
          <w:color w:val="111A25"/>
          <w:sz w:val="20"/>
        </w:rPr>
        <w:t>AI.</w:t>
      </w:r>
      <w:r>
        <w:rPr>
          <w:i/>
          <w:color w:val="111A25"/>
          <w:spacing w:val="-5"/>
          <w:sz w:val="20"/>
        </w:rPr>
        <w:t xml:space="preserve"> </w:t>
      </w:r>
      <w:r>
        <w:rPr>
          <w:color w:val="111A25"/>
          <w:sz w:val="20"/>
        </w:rPr>
        <w:t>IBM.</w:t>
      </w:r>
      <w:r>
        <w:rPr>
          <w:color w:val="111A25"/>
          <w:spacing w:val="-6"/>
          <w:sz w:val="20"/>
        </w:rPr>
        <w:t xml:space="preserve"> </w:t>
      </w:r>
      <w:r>
        <w:fldChar w:fldCharType="begin"/>
      </w:r>
      <w:r>
        <w:instrText xml:space="preserve"> HYPERLINK "https://www.ibm.com/products/watsonx-ai" \h </w:instrText>
      </w:r>
      <w:r>
        <w:fldChar w:fldCharType="separate"/>
      </w:r>
      <w:r>
        <w:rPr>
          <w:color w:val="1154CC"/>
          <w:sz w:val="20"/>
          <w:u w:val="single" w:color="1154CC"/>
        </w:rPr>
        <w:t>https://www.ibm.com/products/watsonx-</w:t>
      </w:r>
      <w:r>
        <w:rPr>
          <w:color w:val="1154CC"/>
          <w:spacing w:val="-5"/>
          <w:sz w:val="20"/>
          <w:u w:val="single" w:color="1154CC"/>
        </w:rPr>
        <w:t>ai</w:t>
      </w:r>
      <w:r>
        <w:rPr>
          <w:color w:val="1154CC"/>
          <w:spacing w:val="-5"/>
          <w:sz w:val="20"/>
          <w:u w:val="single" w:color="1154CC"/>
        </w:rPr>
        <w:fldChar w:fldCharType="end"/>
      </w:r>
    </w:p>
    <w:p w14:paraId="4E3422BF">
      <w:pPr>
        <w:pStyle w:val="42"/>
        <w:numPr>
          <w:ilvl w:val="0"/>
          <w:numId w:val="7"/>
        </w:numPr>
        <w:tabs>
          <w:tab w:val="left" w:pos="819"/>
          <w:tab w:val="left" w:pos="820"/>
        </w:tabs>
        <w:spacing w:before="74" w:line="360" w:lineRule="auto"/>
        <w:ind w:right="892"/>
        <w:rPr>
          <w:color w:val="111A25"/>
          <w:sz w:val="20"/>
        </w:rPr>
      </w:pPr>
      <w:r>
        <w:rPr>
          <w:color w:val="111A25"/>
          <w:spacing w:val="-2"/>
          <w:sz w:val="20"/>
        </w:rPr>
        <w:t xml:space="preserve">CVEdetails.com. (2024). </w:t>
      </w:r>
      <w:r>
        <w:rPr>
          <w:i/>
          <w:color w:val="111A25"/>
          <w:spacing w:val="-2"/>
          <w:sz w:val="20"/>
        </w:rPr>
        <w:t xml:space="preserve">Microsoft Exchange Server Remote Code Execution Vulnerability </w:t>
      </w:r>
      <w:r>
        <w:rPr>
          <w:i/>
          <w:color w:val="111A25"/>
          <w:spacing w:val="-2"/>
          <w:w w:val="105"/>
          <w:sz w:val="20"/>
        </w:rPr>
        <w:t>(CVE-2024-</w:t>
      </w:r>
      <w:r>
        <w:rPr>
          <w:i/>
          <w:color w:val="111A25"/>
          <w:spacing w:val="-2"/>
          <w:w w:val="103"/>
          <w:sz w:val="20"/>
        </w:rPr>
        <w:t>2</w:t>
      </w:r>
      <w:r>
        <w:rPr>
          <w:i/>
          <w:color w:val="111A25"/>
          <w:spacing w:val="-5"/>
          <w:w w:val="116"/>
          <w:sz w:val="20"/>
        </w:rPr>
        <w:t>6</w:t>
      </w:r>
      <w:r>
        <w:rPr>
          <w:i/>
          <w:color w:val="111A25"/>
          <w:spacing w:val="-2"/>
          <w:w w:val="61"/>
          <w:sz w:val="20"/>
        </w:rPr>
        <w:t>1</w:t>
      </w:r>
      <w:r>
        <w:rPr>
          <w:i/>
          <w:color w:val="111A25"/>
          <w:spacing w:val="-2"/>
          <w:w w:val="116"/>
          <w:sz w:val="20"/>
        </w:rPr>
        <w:t>9</w:t>
      </w:r>
      <w:r>
        <w:rPr>
          <w:i/>
          <w:color w:val="111A25"/>
          <w:spacing w:val="-2"/>
          <w:w w:val="115"/>
          <w:sz w:val="20"/>
        </w:rPr>
        <w:t>8</w:t>
      </w:r>
      <w:r>
        <w:rPr>
          <w:i/>
          <w:color w:val="111A25"/>
          <w:spacing w:val="-2"/>
          <w:w w:val="125"/>
          <w:sz w:val="20"/>
        </w:rPr>
        <w:t>)</w:t>
      </w:r>
      <w:r>
        <w:rPr>
          <w:i/>
          <w:color w:val="111A25"/>
          <w:spacing w:val="-1"/>
          <w:w w:val="96"/>
          <w:sz w:val="20"/>
        </w:rPr>
        <w:t>.</w:t>
      </w:r>
      <w:r>
        <w:rPr>
          <w:i/>
          <w:color w:val="111A25"/>
          <w:spacing w:val="-3"/>
          <w:w w:val="104"/>
          <w:sz w:val="20"/>
        </w:rPr>
        <w:t xml:space="preserve"> </w:t>
      </w:r>
      <w:r>
        <w:rPr>
          <w:color w:val="111A25"/>
          <w:spacing w:val="-2"/>
          <w:w w:val="105"/>
          <w:sz w:val="20"/>
        </w:rPr>
        <w:t xml:space="preserve">CVE details. </w:t>
      </w:r>
      <w:r>
        <w:fldChar w:fldCharType="begin"/>
      </w:r>
      <w:r>
        <w:instrText xml:space="preserve"> HYPERLINK "https://www.cvedetails.com/cve/CVE-2024-26198/" \h </w:instrText>
      </w:r>
      <w:r>
        <w:fldChar w:fldCharType="separate"/>
      </w:r>
      <w:r>
        <w:rPr>
          <w:color w:val="1154CC"/>
          <w:spacing w:val="-2"/>
          <w:w w:val="105"/>
          <w:sz w:val="20"/>
          <w:u w:val="single" w:color="1154CC"/>
        </w:rPr>
        <w:t>https://www.cvedetails.com/cve/CVE-2024-</w:t>
      </w:r>
      <w:r>
        <w:rPr>
          <w:color w:val="1154CC"/>
          <w:spacing w:val="-2"/>
          <w:w w:val="94"/>
          <w:sz w:val="20"/>
          <w:u w:val="single" w:color="1154CC"/>
        </w:rPr>
        <w:t>2</w:t>
      </w:r>
      <w:r>
        <w:rPr>
          <w:color w:val="1154CC"/>
          <w:spacing w:val="-5"/>
          <w:w w:val="107"/>
          <w:sz w:val="20"/>
          <w:u w:val="single" w:color="1154CC"/>
        </w:rPr>
        <w:t>6</w:t>
      </w:r>
      <w:r>
        <w:rPr>
          <w:color w:val="1154CC"/>
          <w:spacing w:val="-2"/>
          <w:w w:val="51"/>
          <w:sz w:val="20"/>
          <w:u w:val="single" w:color="1154CC"/>
        </w:rPr>
        <w:t>1</w:t>
      </w:r>
      <w:r>
        <w:rPr>
          <w:color w:val="1154CC"/>
          <w:spacing w:val="-2"/>
          <w:w w:val="107"/>
          <w:sz w:val="20"/>
          <w:u w:val="single" w:color="1154CC"/>
        </w:rPr>
        <w:t>9</w:t>
      </w:r>
      <w:r>
        <w:rPr>
          <w:color w:val="1154CC"/>
          <w:spacing w:val="-5"/>
          <w:w w:val="106"/>
          <w:sz w:val="20"/>
          <w:u w:val="single" w:color="1154CC"/>
        </w:rPr>
        <w:t>8</w:t>
      </w:r>
      <w:r>
        <w:rPr>
          <w:color w:val="1154CC"/>
          <w:spacing w:val="-1"/>
          <w:w w:val="163"/>
          <w:sz w:val="20"/>
          <w:u w:val="single" w:color="1154CC"/>
        </w:rPr>
        <w:t>/</w:t>
      </w:r>
      <w:r>
        <w:rPr>
          <w:color w:val="1154CC"/>
          <w:spacing w:val="-1"/>
          <w:w w:val="163"/>
          <w:sz w:val="20"/>
          <w:u w:val="single" w:color="1154CC"/>
        </w:rPr>
        <w:fldChar w:fldCharType="end"/>
      </w:r>
    </w:p>
    <w:p w14:paraId="4125D45A">
      <w:pPr>
        <w:pStyle w:val="42"/>
        <w:numPr>
          <w:ilvl w:val="0"/>
          <w:numId w:val="7"/>
        </w:numPr>
        <w:tabs>
          <w:tab w:val="left" w:pos="819"/>
          <w:tab w:val="left" w:pos="820"/>
        </w:tabs>
        <w:spacing w:before="1" w:line="360" w:lineRule="auto"/>
        <w:ind w:right="211"/>
        <w:rPr>
          <w:color w:val="1F1F1F"/>
          <w:sz w:val="20"/>
        </w:rPr>
      </w:pPr>
      <w:r>
        <w:rPr>
          <w:color w:val="1F1F1F"/>
          <w:w w:val="95"/>
          <w:sz w:val="20"/>
        </w:rPr>
        <w:t>Derczynski,</w:t>
      </w:r>
      <w:r>
        <w:rPr>
          <w:color w:val="1F1F1F"/>
          <w:spacing w:val="-4"/>
          <w:w w:val="95"/>
          <w:sz w:val="20"/>
        </w:rPr>
        <w:t xml:space="preserve"> </w:t>
      </w:r>
      <w:r>
        <w:rPr>
          <w:color w:val="1F1F1F"/>
          <w:w w:val="95"/>
          <w:sz w:val="20"/>
        </w:rPr>
        <w:t>L.,</w:t>
      </w:r>
      <w:r>
        <w:rPr>
          <w:color w:val="1F1F1F"/>
          <w:spacing w:val="-4"/>
          <w:w w:val="95"/>
          <w:sz w:val="20"/>
        </w:rPr>
        <w:t xml:space="preserve"> </w:t>
      </w:r>
      <w:r>
        <w:rPr>
          <w:color w:val="1F1F1F"/>
          <w:w w:val="95"/>
          <w:sz w:val="20"/>
        </w:rPr>
        <w:t>Kirk,</w:t>
      </w:r>
      <w:r>
        <w:rPr>
          <w:color w:val="1F1F1F"/>
          <w:spacing w:val="-4"/>
          <w:w w:val="95"/>
          <w:sz w:val="20"/>
        </w:rPr>
        <w:t xml:space="preserve"> </w:t>
      </w:r>
      <w:r>
        <w:rPr>
          <w:color w:val="1F1F1F"/>
          <w:w w:val="95"/>
          <w:sz w:val="20"/>
        </w:rPr>
        <w:t>H.</w:t>
      </w:r>
      <w:r>
        <w:rPr>
          <w:color w:val="1F1F1F"/>
          <w:spacing w:val="-4"/>
          <w:w w:val="95"/>
          <w:sz w:val="20"/>
        </w:rPr>
        <w:t xml:space="preserve"> </w:t>
      </w:r>
      <w:r>
        <w:rPr>
          <w:color w:val="1F1F1F"/>
          <w:w w:val="95"/>
          <w:sz w:val="20"/>
        </w:rPr>
        <w:t>R.,</w:t>
      </w:r>
      <w:r>
        <w:rPr>
          <w:color w:val="1F1F1F"/>
          <w:spacing w:val="-4"/>
          <w:w w:val="95"/>
          <w:sz w:val="20"/>
        </w:rPr>
        <w:t xml:space="preserve"> </w:t>
      </w:r>
      <w:r>
        <w:rPr>
          <w:color w:val="1F1F1F"/>
          <w:w w:val="95"/>
          <w:sz w:val="20"/>
        </w:rPr>
        <w:t>Balachandran,</w:t>
      </w:r>
      <w:r>
        <w:rPr>
          <w:color w:val="1F1F1F"/>
          <w:spacing w:val="-4"/>
          <w:w w:val="95"/>
          <w:sz w:val="20"/>
        </w:rPr>
        <w:t xml:space="preserve"> </w:t>
      </w:r>
      <w:r>
        <w:rPr>
          <w:color w:val="1F1F1F"/>
          <w:w w:val="95"/>
          <w:sz w:val="20"/>
        </w:rPr>
        <w:t>V.,</w:t>
      </w:r>
      <w:r>
        <w:rPr>
          <w:color w:val="1F1F1F"/>
          <w:spacing w:val="-4"/>
          <w:w w:val="95"/>
          <w:sz w:val="20"/>
        </w:rPr>
        <w:t xml:space="preserve"> </w:t>
      </w:r>
      <w:r>
        <w:rPr>
          <w:color w:val="1F1F1F"/>
          <w:w w:val="95"/>
          <w:sz w:val="20"/>
        </w:rPr>
        <w:t>Kumar,</w:t>
      </w:r>
      <w:r>
        <w:rPr>
          <w:color w:val="1F1F1F"/>
          <w:spacing w:val="-4"/>
          <w:w w:val="95"/>
          <w:sz w:val="20"/>
        </w:rPr>
        <w:t xml:space="preserve"> </w:t>
      </w:r>
      <w:r>
        <w:rPr>
          <w:color w:val="1F1F1F"/>
          <w:w w:val="95"/>
          <w:sz w:val="20"/>
        </w:rPr>
        <w:t>S.,</w:t>
      </w:r>
      <w:r>
        <w:rPr>
          <w:color w:val="1F1F1F"/>
          <w:spacing w:val="-4"/>
          <w:w w:val="95"/>
          <w:sz w:val="20"/>
        </w:rPr>
        <w:t xml:space="preserve"> </w:t>
      </w:r>
      <w:r>
        <w:rPr>
          <w:color w:val="1F1F1F"/>
          <w:w w:val="95"/>
          <w:sz w:val="20"/>
        </w:rPr>
        <w:t>Tsvetkov,</w:t>
      </w:r>
      <w:r>
        <w:rPr>
          <w:color w:val="1F1F1F"/>
          <w:spacing w:val="-4"/>
          <w:w w:val="95"/>
          <w:sz w:val="20"/>
        </w:rPr>
        <w:t xml:space="preserve"> </w:t>
      </w:r>
      <w:r>
        <w:rPr>
          <w:color w:val="1F1F1F"/>
          <w:w w:val="95"/>
          <w:sz w:val="20"/>
        </w:rPr>
        <w:t>Y.,</w:t>
      </w:r>
      <w:r>
        <w:rPr>
          <w:color w:val="1F1F1F"/>
          <w:spacing w:val="-4"/>
          <w:w w:val="95"/>
          <w:sz w:val="20"/>
        </w:rPr>
        <w:t xml:space="preserve"> </w:t>
      </w:r>
      <w:r>
        <w:rPr>
          <w:color w:val="1F1F1F"/>
          <w:w w:val="95"/>
          <w:sz w:val="20"/>
        </w:rPr>
        <w:t>Leiser,</w:t>
      </w:r>
      <w:r>
        <w:rPr>
          <w:color w:val="1F1F1F"/>
          <w:spacing w:val="-4"/>
          <w:w w:val="95"/>
          <w:sz w:val="20"/>
        </w:rPr>
        <w:t xml:space="preserve"> </w:t>
      </w:r>
      <w:r>
        <w:rPr>
          <w:color w:val="1F1F1F"/>
          <w:w w:val="95"/>
          <w:sz w:val="20"/>
        </w:rPr>
        <w:t>M.</w:t>
      </w:r>
      <w:r>
        <w:rPr>
          <w:color w:val="1F1F1F"/>
          <w:spacing w:val="-4"/>
          <w:w w:val="95"/>
          <w:sz w:val="20"/>
        </w:rPr>
        <w:t xml:space="preserve"> </w:t>
      </w:r>
      <w:r>
        <w:rPr>
          <w:color w:val="1F1F1F"/>
          <w:w w:val="95"/>
          <w:sz w:val="20"/>
        </w:rPr>
        <w:t>R.,</w:t>
      </w:r>
      <w:r>
        <w:rPr>
          <w:color w:val="1F1F1F"/>
          <w:spacing w:val="-4"/>
          <w:w w:val="95"/>
          <w:sz w:val="20"/>
        </w:rPr>
        <w:t xml:space="preserve"> </w:t>
      </w:r>
      <w:r>
        <w:rPr>
          <w:color w:val="1F1F1F"/>
          <w:w w:val="95"/>
          <w:sz w:val="20"/>
        </w:rPr>
        <w:t>&amp;</w:t>
      </w:r>
      <w:r>
        <w:rPr>
          <w:color w:val="1F1F1F"/>
          <w:spacing w:val="-5"/>
          <w:w w:val="95"/>
          <w:sz w:val="20"/>
        </w:rPr>
        <w:t xml:space="preserve"> </w:t>
      </w:r>
      <w:r>
        <w:rPr>
          <w:color w:val="1F1F1F"/>
          <w:w w:val="95"/>
          <w:sz w:val="20"/>
        </w:rPr>
        <w:t>Mohammad,</w:t>
      </w:r>
      <w:r>
        <w:rPr>
          <w:color w:val="1F1F1F"/>
          <w:spacing w:val="-4"/>
          <w:w w:val="95"/>
          <w:sz w:val="20"/>
        </w:rPr>
        <w:t xml:space="preserve"> </w:t>
      </w:r>
      <w:r>
        <w:rPr>
          <w:color w:val="1F1F1F"/>
          <w:w w:val="95"/>
          <w:sz w:val="20"/>
        </w:rPr>
        <w:t xml:space="preserve">S. </w:t>
      </w:r>
      <w:r>
        <w:rPr>
          <w:color w:val="1F1F1F"/>
          <w:sz w:val="20"/>
        </w:rPr>
        <w:t>(2023).</w:t>
      </w:r>
      <w:r>
        <w:rPr>
          <w:color w:val="1F1F1F"/>
          <w:spacing w:val="-5"/>
          <w:sz w:val="20"/>
        </w:rPr>
        <w:t xml:space="preserve"> </w:t>
      </w:r>
      <w:r>
        <w:rPr>
          <w:i/>
          <w:color w:val="1F1F1F"/>
          <w:sz w:val="20"/>
        </w:rPr>
        <w:t>Assessing</w:t>
      </w:r>
      <w:r>
        <w:rPr>
          <w:i/>
          <w:color w:val="1F1F1F"/>
          <w:spacing w:val="-6"/>
          <w:sz w:val="20"/>
        </w:rPr>
        <w:t xml:space="preserve"> </w:t>
      </w:r>
      <w:r>
        <w:rPr>
          <w:i/>
          <w:color w:val="1F1F1F"/>
          <w:sz w:val="20"/>
        </w:rPr>
        <w:t>language</w:t>
      </w:r>
      <w:r>
        <w:rPr>
          <w:i/>
          <w:color w:val="1F1F1F"/>
          <w:spacing w:val="-6"/>
          <w:sz w:val="20"/>
        </w:rPr>
        <w:t xml:space="preserve"> </w:t>
      </w:r>
      <w:r>
        <w:rPr>
          <w:i/>
          <w:color w:val="1F1F1F"/>
          <w:sz w:val="20"/>
        </w:rPr>
        <w:t>model</w:t>
      </w:r>
      <w:r>
        <w:rPr>
          <w:i/>
          <w:color w:val="1F1F1F"/>
          <w:spacing w:val="-5"/>
          <w:sz w:val="20"/>
        </w:rPr>
        <w:t xml:space="preserve"> </w:t>
      </w:r>
      <w:r>
        <w:rPr>
          <w:i/>
          <w:color w:val="1F1F1F"/>
          <w:sz w:val="20"/>
        </w:rPr>
        <w:t>deployment</w:t>
      </w:r>
      <w:r>
        <w:rPr>
          <w:i/>
          <w:color w:val="1F1F1F"/>
          <w:spacing w:val="-6"/>
          <w:sz w:val="20"/>
        </w:rPr>
        <w:t xml:space="preserve"> </w:t>
      </w:r>
      <w:r>
        <w:rPr>
          <w:i/>
          <w:color w:val="1F1F1F"/>
          <w:sz w:val="20"/>
        </w:rPr>
        <w:t>with</w:t>
      </w:r>
      <w:r>
        <w:rPr>
          <w:i/>
          <w:color w:val="1F1F1F"/>
          <w:spacing w:val="-6"/>
          <w:sz w:val="20"/>
        </w:rPr>
        <w:t xml:space="preserve"> </w:t>
      </w:r>
      <w:r>
        <w:rPr>
          <w:i/>
          <w:color w:val="1F1F1F"/>
          <w:sz w:val="20"/>
        </w:rPr>
        <w:t>risk</w:t>
      </w:r>
      <w:r>
        <w:rPr>
          <w:i/>
          <w:color w:val="1F1F1F"/>
          <w:spacing w:val="-6"/>
          <w:sz w:val="20"/>
        </w:rPr>
        <w:t xml:space="preserve"> </w:t>
      </w:r>
      <w:r>
        <w:rPr>
          <w:i/>
          <w:color w:val="1F1F1F"/>
          <w:sz w:val="20"/>
        </w:rPr>
        <w:t>cards.</w:t>
      </w:r>
      <w:r>
        <w:rPr>
          <w:i/>
          <w:color w:val="1F1F1F"/>
          <w:spacing w:val="-5"/>
          <w:sz w:val="20"/>
        </w:rPr>
        <w:t xml:space="preserve"> </w:t>
      </w:r>
      <w:r>
        <w:rPr>
          <w:color w:val="1F1F1F"/>
          <w:sz w:val="20"/>
        </w:rPr>
        <w:t xml:space="preserve">arXiv. </w:t>
      </w:r>
      <w:r>
        <w:fldChar w:fldCharType="begin"/>
      </w:r>
      <w:r>
        <w:instrText xml:space="preserve"> HYPERLINK "https://doi.org/10.48550/arXiv.2303.18190" \h </w:instrText>
      </w:r>
      <w:r>
        <w:fldChar w:fldCharType="separate"/>
      </w:r>
      <w:r>
        <w:rPr>
          <w:color w:val="1154CC"/>
          <w:spacing w:val="-2"/>
          <w:w w:val="92"/>
          <w:sz w:val="20"/>
          <w:u w:val="single" w:color="1154CC"/>
        </w:rPr>
        <w:t>h</w:t>
      </w:r>
      <w:r>
        <w:rPr>
          <w:color w:val="1154CC"/>
          <w:spacing w:val="3"/>
          <w:w w:val="129"/>
          <w:sz w:val="20"/>
          <w:u w:val="single" w:color="1154CC"/>
        </w:rPr>
        <w:t>t</w:t>
      </w:r>
      <w:r>
        <w:rPr>
          <w:color w:val="1154CC"/>
          <w:spacing w:val="1"/>
          <w:w w:val="129"/>
          <w:sz w:val="20"/>
          <w:u w:val="single" w:color="1154CC"/>
        </w:rPr>
        <w:t>t</w:t>
      </w:r>
      <w:r>
        <w:rPr>
          <w:color w:val="1154CC"/>
          <w:spacing w:val="1"/>
          <w:w w:val="97"/>
          <w:sz w:val="20"/>
          <w:u w:val="single" w:color="1154CC"/>
        </w:rPr>
        <w:t>p</w:t>
      </w:r>
      <w:r>
        <w:rPr>
          <w:color w:val="1154CC"/>
          <w:spacing w:val="1"/>
          <w:w w:val="83"/>
          <w:sz w:val="20"/>
          <w:u w:val="single" w:color="1154CC"/>
        </w:rPr>
        <w:t>s</w:t>
      </w:r>
      <w:r>
        <w:rPr>
          <w:color w:val="1154CC"/>
          <w:spacing w:val="1"/>
          <w:w w:val="82"/>
          <w:sz w:val="20"/>
          <w:u w:val="single" w:color="1154CC"/>
        </w:rPr>
        <w:t>:</w:t>
      </w:r>
      <w:r>
        <w:rPr>
          <w:color w:val="1154CC"/>
          <w:spacing w:val="-32"/>
          <w:w w:val="160"/>
          <w:sz w:val="20"/>
          <w:u w:val="single" w:color="1154CC"/>
        </w:rPr>
        <w:t>/</w:t>
      </w:r>
      <w:r>
        <w:rPr>
          <w:color w:val="1154CC"/>
          <w:spacing w:val="-16"/>
          <w:w w:val="160"/>
          <w:sz w:val="20"/>
          <w:u w:val="single" w:color="1154CC"/>
        </w:rPr>
        <w:t>/</w:t>
      </w:r>
      <w:r>
        <w:rPr>
          <w:color w:val="1154CC"/>
          <w:spacing w:val="1"/>
          <w:w w:val="97"/>
          <w:sz w:val="20"/>
          <w:u w:val="single" w:color="1154CC"/>
        </w:rPr>
        <w:t>do</w:t>
      </w:r>
      <w:r>
        <w:rPr>
          <w:color w:val="1154CC"/>
          <w:spacing w:val="1"/>
          <w:w w:val="92"/>
          <w:sz w:val="20"/>
          <w:u w:val="single" w:color="1154CC"/>
        </w:rPr>
        <w:t>i</w:t>
      </w:r>
      <w:r>
        <w:rPr>
          <w:color w:val="1154CC"/>
          <w:spacing w:val="-4"/>
          <w:w w:val="82"/>
          <w:sz w:val="20"/>
          <w:u w:val="single" w:color="1154CC"/>
        </w:rPr>
        <w:t>.</w:t>
      </w:r>
      <w:r>
        <w:rPr>
          <w:color w:val="1154CC"/>
          <w:spacing w:val="1"/>
          <w:w w:val="97"/>
          <w:sz w:val="20"/>
          <w:u w:val="single" w:color="1154CC"/>
        </w:rPr>
        <w:t>o</w:t>
      </w:r>
      <w:r>
        <w:rPr>
          <w:color w:val="1154CC"/>
          <w:spacing w:val="-5"/>
          <w:w w:val="98"/>
          <w:sz w:val="20"/>
          <w:u w:val="single" w:color="1154CC"/>
        </w:rPr>
        <w:t>r</w:t>
      </w:r>
      <w:r>
        <w:rPr>
          <w:color w:val="1154CC"/>
          <w:spacing w:val="5"/>
          <w:w w:val="97"/>
          <w:sz w:val="20"/>
          <w:u w:val="single" w:color="1154CC"/>
        </w:rPr>
        <w:t>g</w:t>
      </w:r>
      <w:r>
        <w:rPr>
          <w:color w:val="1154CC"/>
          <w:spacing w:val="1"/>
          <w:w w:val="160"/>
          <w:sz w:val="20"/>
          <w:u w:val="single" w:color="1154CC"/>
        </w:rPr>
        <w:t>/</w:t>
      </w:r>
      <w:r>
        <w:rPr>
          <w:color w:val="1154CC"/>
          <w:spacing w:val="1"/>
          <w:w w:val="48"/>
          <w:sz w:val="20"/>
          <w:u w:val="single" w:color="1154CC"/>
        </w:rPr>
        <w:t>1</w:t>
      </w:r>
      <w:r>
        <w:rPr>
          <w:color w:val="1154CC"/>
          <w:spacing w:val="-4"/>
          <w:w w:val="111"/>
          <w:sz w:val="20"/>
          <w:u w:val="single" w:color="1154CC"/>
        </w:rPr>
        <w:t>0</w:t>
      </w:r>
      <w:r>
        <w:rPr>
          <w:color w:val="1154CC"/>
          <w:spacing w:val="-3"/>
          <w:w w:val="82"/>
          <w:sz w:val="20"/>
          <w:u w:val="single" w:color="1154CC"/>
        </w:rPr>
        <w:t>.</w:t>
      </w:r>
      <w:r>
        <w:rPr>
          <w:color w:val="1154CC"/>
          <w:spacing w:val="-1"/>
          <w:w w:val="104"/>
          <w:sz w:val="20"/>
          <w:u w:val="single" w:color="1154CC"/>
        </w:rPr>
        <w:t>4</w:t>
      </w:r>
      <w:r>
        <w:rPr>
          <w:color w:val="1154CC"/>
          <w:spacing w:val="-1"/>
          <w:w w:val="103"/>
          <w:sz w:val="20"/>
          <w:u w:val="single" w:color="1154CC"/>
        </w:rPr>
        <w:t>8</w:t>
      </w:r>
      <w:r>
        <w:rPr>
          <w:color w:val="1154CC"/>
          <w:spacing w:val="-2"/>
          <w:w w:val="95"/>
          <w:sz w:val="20"/>
          <w:u w:val="single" w:color="1154CC"/>
        </w:rPr>
        <w:t>5</w:t>
      </w:r>
      <w:r>
        <w:rPr>
          <w:color w:val="1154CC"/>
          <w:spacing w:val="1"/>
          <w:w w:val="95"/>
          <w:sz w:val="20"/>
          <w:u w:val="single" w:color="1154CC"/>
        </w:rPr>
        <w:t>5</w:t>
      </w:r>
      <w:r>
        <w:rPr>
          <w:color w:val="1154CC"/>
          <w:spacing w:val="-6"/>
          <w:w w:val="111"/>
          <w:sz w:val="20"/>
          <w:u w:val="single" w:color="1154CC"/>
        </w:rPr>
        <w:t>0</w:t>
      </w:r>
      <w:r>
        <w:rPr>
          <w:color w:val="1154CC"/>
          <w:spacing w:val="-15"/>
          <w:w w:val="160"/>
          <w:sz w:val="20"/>
          <w:u w:val="single" w:color="1154CC"/>
        </w:rPr>
        <w:t>/</w:t>
      </w:r>
      <w:r>
        <w:rPr>
          <w:color w:val="1154CC"/>
          <w:spacing w:val="1"/>
          <w:w w:val="87"/>
          <w:sz w:val="20"/>
          <w:u w:val="single" w:color="1154CC"/>
        </w:rPr>
        <w:t>a</w:t>
      </w:r>
      <w:r>
        <w:rPr>
          <w:color w:val="1154CC"/>
          <w:spacing w:val="1"/>
          <w:w w:val="98"/>
          <w:sz w:val="20"/>
          <w:u w:val="single" w:color="1154CC"/>
        </w:rPr>
        <w:t>r</w:t>
      </w:r>
      <w:r>
        <w:rPr>
          <w:color w:val="1154CC"/>
          <w:spacing w:val="1"/>
          <w:w w:val="91"/>
          <w:sz w:val="20"/>
          <w:u w:val="single" w:color="1154CC"/>
        </w:rPr>
        <w:t>X</w:t>
      </w:r>
      <w:r>
        <w:rPr>
          <w:color w:val="1154CC"/>
          <w:spacing w:val="1"/>
          <w:w w:val="92"/>
          <w:sz w:val="20"/>
          <w:u w:val="single" w:color="1154CC"/>
        </w:rPr>
        <w:t>i</w:t>
      </w:r>
      <w:r>
        <w:rPr>
          <w:color w:val="1154CC"/>
          <w:spacing w:val="-12"/>
          <w:w w:val="93"/>
          <w:sz w:val="20"/>
          <w:u w:val="single" w:color="1154CC"/>
        </w:rPr>
        <w:t>v</w:t>
      </w:r>
      <w:r>
        <w:rPr>
          <w:color w:val="1154CC"/>
          <w:spacing w:val="1"/>
          <w:w w:val="82"/>
          <w:sz w:val="20"/>
          <w:u w:val="single" w:color="1154CC"/>
        </w:rPr>
        <w:t>.</w:t>
      </w:r>
      <w:r>
        <w:rPr>
          <w:color w:val="1154CC"/>
          <w:spacing w:val="1"/>
          <w:w w:val="91"/>
          <w:sz w:val="20"/>
          <w:u w:val="single" w:color="1154CC"/>
        </w:rPr>
        <w:t>2</w:t>
      </w:r>
      <w:r>
        <w:rPr>
          <w:color w:val="1154CC"/>
          <w:spacing w:val="-1"/>
          <w:w w:val="98"/>
          <w:sz w:val="20"/>
          <w:u w:val="single" w:color="1154CC"/>
        </w:rPr>
        <w:t>3</w:t>
      </w:r>
      <w:r>
        <w:rPr>
          <w:color w:val="1154CC"/>
          <w:spacing w:val="1"/>
          <w:w w:val="111"/>
          <w:sz w:val="20"/>
          <w:u w:val="single" w:color="1154CC"/>
        </w:rPr>
        <w:t>0</w:t>
      </w:r>
      <w:r>
        <w:rPr>
          <w:color w:val="1154CC"/>
          <w:spacing w:val="-3"/>
          <w:w w:val="98"/>
          <w:sz w:val="20"/>
          <w:u w:val="single" w:color="1154CC"/>
        </w:rPr>
        <w:t>3</w:t>
      </w:r>
      <w:r>
        <w:rPr>
          <w:color w:val="1154CC"/>
          <w:spacing w:val="-8"/>
          <w:w w:val="82"/>
          <w:sz w:val="20"/>
          <w:u w:val="single" w:color="1154CC"/>
        </w:rPr>
        <w:t>.</w:t>
      </w:r>
      <w:r>
        <w:rPr>
          <w:color w:val="1154CC"/>
          <w:spacing w:val="1"/>
          <w:w w:val="48"/>
          <w:sz w:val="20"/>
          <w:u w:val="single" w:color="1154CC"/>
        </w:rPr>
        <w:t>1</w:t>
      </w:r>
      <w:r>
        <w:rPr>
          <w:color w:val="1154CC"/>
          <w:spacing w:val="-1"/>
          <w:w w:val="103"/>
          <w:sz w:val="20"/>
          <w:u w:val="single" w:color="1154CC"/>
        </w:rPr>
        <w:t>8</w:t>
      </w:r>
      <w:r>
        <w:rPr>
          <w:color w:val="1154CC"/>
          <w:spacing w:val="1"/>
          <w:w w:val="48"/>
          <w:sz w:val="20"/>
          <w:u w:val="single" w:color="1154CC"/>
        </w:rPr>
        <w:t>1</w:t>
      </w:r>
      <w:r>
        <w:rPr>
          <w:color w:val="1154CC"/>
          <w:spacing w:val="1"/>
          <w:w w:val="104"/>
          <w:sz w:val="20"/>
          <w:u w:val="single" w:color="1154CC"/>
        </w:rPr>
        <w:t>9</w:t>
      </w:r>
      <w:r>
        <w:rPr>
          <w:color w:val="1154CC"/>
          <w:spacing w:val="2"/>
          <w:w w:val="111"/>
          <w:sz w:val="20"/>
          <w:u w:val="single" w:color="1154CC"/>
        </w:rPr>
        <w:t>0</w:t>
      </w:r>
      <w:r>
        <w:rPr>
          <w:color w:val="1154CC"/>
          <w:spacing w:val="2"/>
          <w:w w:val="111"/>
          <w:sz w:val="20"/>
          <w:u w:val="single" w:color="1154CC"/>
        </w:rPr>
        <w:fldChar w:fldCharType="end"/>
      </w:r>
    </w:p>
    <w:p w14:paraId="635047CD">
      <w:pPr>
        <w:pStyle w:val="42"/>
        <w:numPr>
          <w:ilvl w:val="0"/>
          <w:numId w:val="7"/>
        </w:numPr>
        <w:tabs>
          <w:tab w:val="left" w:pos="819"/>
          <w:tab w:val="left" w:pos="820"/>
        </w:tabs>
        <w:spacing w:before="3" w:line="360" w:lineRule="auto"/>
        <w:ind w:right="2778"/>
        <w:rPr>
          <w:color w:val="111A25"/>
          <w:sz w:val="20"/>
        </w:rPr>
      </w:pPr>
      <w:r>
        <w:rPr>
          <w:color w:val="1F1F1F"/>
          <w:sz w:val="20"/>
        </w:rPr>
        <w:t>Derczynski,</w:t>
      </w:r>
      <w:r>
        <w:rPr>
          <w:color w:val="1F1F1F"/>
          <w:spacing w:val="-14"/>
          <w:sz w:val="20"/>
        </w:rPr>
        <w:t xml:space="preserve"> </w:t>
      </w:r>
      <w:r>
        <w:rPr>
          <w:color w:val="1F1F1F"/>
          <w:sz w:val="20"/>
        </w:rPr>
        <w:t>L.</w:t>
      </w:r>
      <w:r>
        <w:rPr>
          <w:color w:val="1F1F1F"/>
          <w:spacing w:val="-14"/>
          <w:sz w:val="20"/>
        </w:rPr>
        <w:t xml:space="preserve"> </w:t>
      </w:r>
      <w:r>
        <w:rPr>
          <w:color w:val="1F1F1F"/>
          <w:sz w:val="20"/>
        </w:rPr>
        <w:t>(n.d.).</w:t>
      </w:r>
      <w:r>
        <w:rPr>
          <w:color w:val="1F1F1F"/>
          <w:spacing w:val="-14"/>
          <w:sz w:val="20"/>
        </w:rPr>
        <w:t xml:space="preserve"> </w:t>
      </w:r>
      <w:r>
        <w:rPr>
          <w:i/>
          <w:color w:val="1F1F1F"/>
          <w:sz w:val="20"/>
        </w:rPr>
        <w:t>Language</w:t>
      </w:r>
      <w:r>
        <w:rPr>
          <w:i/>
          <w:color w:val="1F1F1F"/>
          <w:spacing w:val="-14"/>
          <w:sz w:val="20"/>
        </w:rPr>
        <w:t xml:space="preserve"> </w:t>
      </w:r>
      <w:r>
        <w:rPr>
          <w:i/>
          <w:color w:val="1F1F1F"/>
          <w:sz w:val="20"/>
        </w:rPr>
        <w:t>model</w:t>
      </w:r>
      <w:r>
        <w:rPr>
          <w:i/>
          <w:color w:val="1F1F1F"/>
          <w:spacing w:val="-14"/>
          <w:sz w:val="20"/>
        </w:rPr>
        <w:t xml:space="preserve"> </w:t>
      </w:r>
      <w:r>
        <w:rPr>
          <w:i/>
          <w:color w:val="1F1F1F"/>
          <w:sz w:val="20"/>
        </w:rPr>
        <w:t>risk</w:t>
      </w:r>
      <w:r>
        <w:rPr>
          <w:i/>
          <w:color w:val="1F1F1F"/>
          <w:spacing w:val="-14"/>
          <w:sz w:val="20"/>
        </w:rPr>
        <w:t xml:space="preserve"> </w:t>
      </w:r>
      <w:r>
        <w:rPr>
          <w:i/>
          <w:color w:val="1F1F1F"/>
          <w:sz w:val="20"/>
        </w:rPr>
        <w:t>cards:</w:t>
      </w:r>
      <w:r>
        <w:rPr>
          <w:i/>
          <w:color w:val="1F1F1F"/>
          <w:spacing w:val="-14"/>
          <w:sz w:val="20"/>
        </w:rPr>
        <w:t xml:space="preserve"> </w:t>
      </w:r>
      <w:r>
        <w:rPr>
          <w:i/>
          <w:color w:val="1F1F1F"/>
          <w:sz w:val="20"/>
        </w:rPr>
        <w:t>Starter</w:t>
      </w:r>
      <w:r>
        <w:rPr>
          <w:i/>
          <w:color w:val="1F1F1F"/>
          <w:spacing w:val="-14"/>
          <w:sz w:val="20"/>
        </w:rPr>
        <w:t xml:space="preserve"> </w:t>
      </w:r>
      <w:r>
        <w:rPr>
          <w:i/>
          <w:color w:val="1F1F1F"/>
          <w:sz w:val="20"/>
        </w:rPr>
        <w:t>set.</w:t>
      </w:r>
      <w:r>
        <w:rPr>
          <w:i/>
          <w:color w:val="1F1F1F"/>
          <w:spacing w:val="-14"/>
          <w:sz w:val="20"/>
        </w:rPr>
        <w:t xml:space="preserve"> </w:t>
      </w:r>
      <w:r>
        <w:rPr>
          <w:color w:val="1F1F1F"/>
          <w:sz w:val="20"/>
        </w:rPr>
        <w:t xml:space="preserve">GitHub. </w:t>
      </w:r>
      <w:r>
        <w:fldChar w:fldCharType="begin"/>
      </w:r>
      <w:r>
        <w:instrText xml:space="preserve"> HYPERLINK "https://github.com/leondz/lm_risk_cards" \h </w:instrText>
      </w:r>
      <w:r>
        <w:fldChar w:fldCharType="separate"/>
      </w:r>
      <w:r>
        <w:rPr>
          <w:color w:val="1154CC"/>
          <w:spacing w:val="-4"/>
          <w:w w:val="96"/>
          <w:sz w:val="20"/>
          <w:u w:val="single" w:color="1154CC"/>
        </w:rPr>
        <w:t>h</w:t>
      </w:r>
      <w:r>
        <w:rPr>
          <w:color w:val="1154CC"/>
          <w:spacing w:val="1"/>
          <w:w w:val="133"/>
          <w:sz w:val="20"/>
          <w:u w:val="single" w:color="1154CC"/>
        </w:rPr>
        <w:t>t</w:t>
      </w:r>
      <w:r>
        <w:rPr>
          <w:color w:val="1154CC"/>
          <w:spacing w:val="-1"/>
          <w:w w:val="133"/>
          <w:sz w:val="20"/>
          <w:u w:val="single" w:color="1154CC"/>
        </w:rPr>
        <w:t>t</w:t>
      </w:r>
      <w:r>
        <w:rPr>
          <w:color w:val="1154CC"/>
          <w:spacing w:val="-1"/>
          <w:w w:val="101"/>
          <w:sz w:val="20"/>
          <w:u w:val="single" w:color="1154CC"/>
        </w:rPr>
        <w:t>p</w:t>
      </w:r>
      <w:r>
        <w:rPr>
          <w:color w:val="1154CC"/>
          <w:spacing w:val="-1"/>
          <w:w w:val="87"/>
          <w:sz w:val="20"/>
          <w:u w:val="single" w:color="1154CC"/>
        </w:rPr>
        <w:t>s</w:t>
      </w:r>
      <w:r>
        <w:rPr>
          <w:color w:val="1154CC"/>
          <w:spacing w:val="-1"/>
          <w:w w:val="86"/>
          <w:sz w:val="20"/>
          <w:u w:val="single" w:color="1154CC"/>
        </w:rPr>
        <w:t>:</w:t>
      </w:r>
      <w:r>
        <w:rPr>
          <w:color w:val="1154CC"/>
          <w:spacing w:val="-34"/>
          <w:w w:val="164"/>
          <w:sz w:val="20"/>
          <w:u w:val="single" w:color="1154CC"/>
        </w:rPr>
        <w:t>/</w:t>
      </w:r>
      <w:r>
        <w:rPr>
          <w:color w:val="1154CC"/>
          <w:spacing w:val="-18"/>
          <w:w w:val="164"/>
          <w:sz w:val="20"/>
          <w:u w:val="single" w:color="1154CC"/>
        </w:rPr>
        <w:t>/</w:t>
      </w:r>
      <w:r>
        <w:rPr>
          <w:color w:val="1154CC"/>
          <w:spacing w:val="-1"/>
          <w:w w:val="101"/>
          <w:sz w:val="20"/>
          <w:u w:val="single" w:color="1154CC"/>
        </w:rPr>
        <w:t>g</w:t>
      </w:r>
      <w:r>
        <w:rPr>
          <w:color w:val="1154CC"/>
          <w:spacing w:val="-1"/>
          <w:w w:val="96"/>
          <w:sz w:val="20"/>
          <w:u w:val="single" w:color="1154CC"/>
        </w:rPr>
        <w:t>i</w:t>
      </w:r>
      <w:r>
        <w:rPr>
          <w:color w:val="1154CC"/>
          <w:spacing w:val="-1"/>
          <w:w w:val="133"/>
          <w:sz w:val="20"/>
          <w:u w:val="single" w:color="1154CC"/>
        </w:rPr>
        <w:t>t</w:t>
      </w:r>
      <w:r>
        <w:rPr>
          <w:color w:val="1154CC"/>
          <w:spacing w:val="-2"/>
          <w:w w:val="96"/>
          <w:sz w:val="20"/>
          <w:u w:val="single" w:color="1154CC"/>
        </w:rPr>
        <w:t>h</w:t>
      </w:r>
      <w:r>
        <w:rPr>
          <w:color w:val="1154CC"/>
          <w:spacing w:val="-1"/>
          <w:w w:val="96"/>
          <w:sz w:val="20"/>
          <w:u w:val="single" w:color="1154CC"/>
        </w:rPr>
        <w:t>u</w:t>
      </w:r>
      <w:r>
        <w:rPr>
          <w:color w:val="1154CC"/>
          <w:spacing w:val="-6"/>
          <w:w w:val="101"/>
          <w:sz w:val="20"/>
          <w:u w:val="single" w:color="1154CC"/>
        </w:rPr>
        <w:t>b</w:t>
      </w:r>
      <w:r>
        <w:rPr>
          <w:color w:val="1154CC"/>
          <w:spacing w:val="-6"/>
          <w:w w:val="86"/>
          <w:sz w:val="20"/>
          <w:u w:val="single" w:color="1154CC"/>
        </w:rPr>
        <w:t>.</w:t>
      </w:r>
      <w:r>
        <w:rPr>
          <w:color w:val="1154CC"/>
          <w:spacing w:val="-4"/>
          <w:w w:val="98"/>
          <w:sz w:val="20"/>
          <w:u w:val="single" w:color="1154CC"/>
        </w:rPr>
        <w:t>c</w:t>
      </w:r>
      <w:r>
        <w:rPr>
          <w:color w:val="1154CC"/>
          <w:spacing w:val="-1"/>
          <w:w w:val="101"/>
          <w:sz w:val="20"/>
          <w:u w:val="single" w:color="1154CC"/>
        </w:rPr>
        <w:t>o</w:t>
      </w:r>
      <w:r>
        <w:rPr>
          <w:color w:val="1154CC"/>
          <w:spacing w:val="-1"/>
          <w:w w:val="98"/>
          <w:sz w:val="20"/>
          <w:u w:val="single" w:color="1154CC"/>
        </w:rPr>
        <w:t>m</w:t>
      </w:r>
      <w:r>
        <w:rPr>
          <w:color w:val="1154CC"/>
          <w:spacing w:val="-1"/>
          <w:w w:val="164"/>
          <w:sz w:val="20"/>
          <w:u w:val="single" w:color="1154CC"/>
        </w:rPr>
        <w:t>/</w:t>
      </w:r>
      <w:r>
        <w:rPr>
          <w:color w:val="1154CC"/>
          <w:spacing w:val="-1"/>
          <w:w w:val="97"/>
          <w:sz w:val="20"/>
          <w:u w:val="single" w:color="1154CC"/>
        </w:rPr>
        <w:t>le</w:t>
      </w:r>
      <w:r>
        <w:rPr>
          <w:color w:val="1154CC"/>
          <w:spacing w:val="-1"/>
          <w:w w:val="101"/>
          <w:sz w:val="20"/>
          <w:u w:val="single" w:color="1154CC"/>
        </w:rPr>
        <w:t>o</w:t>
      </w:r>
      <w:r>
        <w:rPr>
          <w:color w:val="1154CC"/>
          <w:spacing w:val="-1"/>
          <w:w w:val="96"/>
          <w:sz w:val="20"/>
          <w:u w:val="single" w:color="1154CC"/>
        </w:rPr>
        <w:t>n</w:t>
      </w:r>
      <w:r>
        <w:rPr>
          <w:color w:val="1154CC"/>
          <w:spacing w:val="-1"/>
          <w:w w:val="101"/>
          <w:sz w:val="20"/>
          <w:u w:val="single" w:color="1154CC"/>
        </w:rPr>
        <w:t>d</w:t>
      </w:r>
      <w:r>
        <w:rPr>
          <w:color w:val="1154CC"/>
          <w:spacing w:val="-1"/>
          <w:w w:val="88"/>
          <w:sz w:val="20"/>
          <w:u w:val="single" w:color="1154CC"/>
        </w:rPr>
        <w:t>z</w:t>
      </w:r>
      <w:r>
        <w:rPr>
          <w:color w:val="1154CC"/>
          <w:spacing w:val="-1"/>
          <w:w w:val="164"/>
          <w:sz w:val="20"/>
          <w:u w:val="single" w:color="1154CC"/>
        </w:rPr>
        <w:t>/</w:t>
      </w:r>
      <w:r>
        <w:rPr>
          <w:color w:val="1154CC"/>
          <w:spacing w:val="-1"/>
          <w:w w:val="97"/>
          <w:sz w:val="20"/>
          <w:u w:val="single" w:color="1154CC"/>
        </w:rPr>
        <w:t>l</w:t>
      </w:r>
      <w:r>
        <w:rPr>
          <w:color w:val="1154CC"/>
          <w:spacing w:val="-1"/>
          <w:w w:val="98"/>
          <w:sz w:val="20"/>
          <w:u w:val="single" w:color="1154CC"/>
        </w:rPr>
        <w:t>m</w:t>
      </w:r>
      <w:r>
        <w:rPr>
          <w:color w:val="1154CC"/>
          <w:spacing w:val="-1"/>
          <w:w w:val="79"/>
          <w:sz w:val="20"/>
          <w:u w:val="single" w:color="1154CC"/>
        </w:rPr>
        <w:t>_</w:t>
      </w:r>
      <w:r>
        <w:rPr>
          <w:color w:val="1154CC"/>
          <w:spacing w:val="-1"/>
          <w:w w:val="102"/>
          <w:sz w:val="20"/>
          <w:u w:val="single" w:color="1154CC"/>
        </w:rPr>
        <w:t>r</w:t>
      </w:r>
      <w:r>
        <w:rPr>
          <w:color w:val="1154CC"/>
          <w:spacing w:val="-1"/>
          <w:w w:val="96"/>
          <w:sz w:val="20"/>
          <w:u w:val="single" w:color="1154CC"/>
        </w:rPr>
        <w:t>i</w:t>
      </w:r>
      <w:r>
        <w:rPr>
          <w:color w:val="1154CC"/>
          <w:spacing w:val="-1"/>
          <w:w w:val="87"/>
          <w:sz w:val="20"/>
          <w:u w:val="single" w:color="1154CC"/>
        </w:rPr>
        <w:t>s</w:t>
      </w:r>
      <w:r>
        <w:rPr>
          <w:color w:val="1154CC"/>
          <w:spacing w:val="-1"/>
          <w:w w:val="94"/>
          <w:sz w:val="20"/>
          <w:u w:val="single" w:color="1154CC"/>
        </w:rPr>
        <w:t>k</w:t>
      </w:r>
      <w:r>
        <w:rPr>
          <w:color w:val="1154CC"/>
          <w:spacing w:val="-3"/>
          <w:w w:val="79"/>
          <w:sz w:val="20"/>
          <w:u w:val="single" w:color="1154CC"/>
        </w:rPr>
        <w:t>_</w:t>
      </w:r>
      <w:r>
        <w:rPr>
          <w:color w:val="1154CC"/>
          <w:spacing w:val="-1"/>
          <w:w w:val="98"/>
          <w:sz w:val="20"/>
          <w:u w:val="single" w:color="1154CC"/>
        </w:rPr>
        <w:t>c</w:t>
      </w:r>
      <w:r>
        <w:rPr>
          <w:color w:val="1154CC"/>
          <w:spacing w:val="-1"/>
          <w:w w:val="91"/>
          <w:sz w:val="20"/>
          <w:u w:val="single" w:color="1154CC"/>
        </w:rPr>
        <w:t>a</w:t>
      </w:r>
      <w:r>
        <w:rPr>
          <w:color w:val="1154CC"/>
          <w:spacing w:val="-7"/>
          <w:w w:val="102"/>
          <w:sz w:val="20"/>
          <w:u w:val="single" w:color="1154CC"/>
        </w:rPr>
        <w:t>r</w:t>
      </w:r>
      <w:r>
        <w:rPr>
          <w:color w:val="1154CC"/>
          <w:spacing w:val="-1"/>
          <w:w w:val="101"/>
          <w:sz w:val="20"/>
          <w:u w:val="single" w:color="1154CC"/>
        </w:rPr>
        <w:t>d</w:t>
      </w:r>
      <w:r>
        <w:rPr>
          <w:color w:val="1154CC"/>
          <w:w w:val="87"/>
          <w:sz w:val="20"/>
          <w:u w:val="single" w:color="1154CC"/>
        </w:rPr>
        <w:t>s</w:t>
      </w:r>
      <w:r>
        <w:rPr>
          <w:color w:val="1154CC"/>
          <w:w w:val="87"/>
          <w:sz w:val="20"/>
          <w:u w:val="single" w:color="1154CC"/>
        </w:rPr>
        <w:fldChar w:fldCharType="end"/>
      </w:r>
    </w:p>
    <w:p w14:paraId="19DF6BC7">
      <w:pPr>
        <w:pStyle w:val="42"/>
        <w:numPr>
          <w:ilvl w:val="0"/>
          <w:numId w:val="7"/>
        </w:numPr>
        <w:tabs>
          <w:tab w:val="left" w:pos="819"/>
          <w:tab w:val="left" w:pos="820"/>
        </w:tabs>
        <w:spacing w:before="1" w:line="360" w:lineRule="auto"/>
        <w:rPr>
          <w:color w:val="111A25"/>
          <w:sz w:val="20"/>
        </w:rPr>
      </w:pPr>
      <w:r>
        <w:rPr>
          <w:color w:val="111A25"/>
          <w:spacing w:val="-2"/>
          <w:sz w:val="20"/>
        </w:rPr>
        <w:t>AI</w:t>
      </w:r>
      <w:r>
        <w:rPr>
          <w:color w:val="111A25"/>
          <w:spacing w:val="-6"/>
          <w:sz w:val="20"/>
        </w:rPr>
        <w:t xml:space="preserve"> </w:t>
      </w:r>
      <w:r>
        <w:rPr>
          <w:color w:val="111A25"/>
          <w:spacing w:val="-2"/>
          <w:sz w:val="20"/>
        </w:rPr>
        <w:t>Model</w:t>
      </w:r>
      <w:r>
        <w:rPr>
          <w:color w:val="111A25"/>
          <w:spacing w:val="-7"/>
          <w:sz w:val="20"/>
        </w:rPr>
        <w:t xml:space="preserve"> </w:t>
      </w:r>
      <w:r>
        <w:rPr>
          <w:color w:val="111A25"/>
          <w:spacing w:val="-2"/>
          <w:sz w:val="20"/>
        </w:rPr>
        <w:t>Cards</w:t>
      </w:r>
      <w:r>
        <w:rPr>
          <w:color w:val="111A25"/>
          <w:spacing w:val="-7"/>
          <w:sz w:val="20"/>
        </w:rPr>
        <w:t xml:space="preserve"> </w:t>
      </w:r>
      <w:r>
        <w:rPr>
          <w:color w:val="111A25"/>
          <w:spacing w:val="-2"/>
          <w:w w:val="75"/>
          <w:sz w:val="20"/>
        </w:rPr>
        <w:t>1</w:t>
      </w:r>
      <w:r>
        <w:rPr>
          <w:color w:val="111A25"/>
          <w:spacing w:val="-2"/>
          <w:w w:val="138"/>
          <w:sz w:val="20"/>
        </w:rPr>
        <w:t>0</w:t>
      </w:r>
      <w:r>
        <w:rPr>
          <w:color w:val="111A25"/>
          <w:spacing w:val="-2"/>
          <w:w w:val="75"/>
          <w:sz w:val="20"/>
        </w:rPr>
        <w:t>1</w:t>
      </w:r>
      <w:r>
        <w:rPr>
          <w:color w:val="111A25"/>
          <w:spacing w:val="-2"/>
          <w:w w:val="109"/>
          <w:sz w:val="20"/>
        </w:rPr>
        <w:t>:</w:t>
      </w:r>
      <w:r>
        <w:rPr>
          <w:color w:val="111A25"/>
          <w:spacing w:val="-5"/>
          <w:w w:val="99"/>
          <w:sz w:val="20"/>
        </w:rPr>
        <w:t xml:space="preserve"> </w:t>
      </w:r>
      <w:r>
        <w:rPr>
          <w:color w:val="111A25"/>
          <w:spacing w:val="-2"/>
          <w:sz w:val="20"/>
        </w:rPr>
        <w:t>An</w:t>
      </w:r>
      <w:r>
        <w:rPr>
          <w:color w:val="111A25"/>
          <w:spacing w:val="-7"/>
          <w:sz w:val="20"/>
        </w:rPr>
        <w:t xml:space="preserve"> </w:t>
      </w:r>
      <w:r>
        <w:rPr>
          <w:color w:val="111A25"/>
          <w:spacing w:val="-2"/>
          <w:sz w:val="20"/>
        </w:rPr>
        <w:t>Introduction</w:t>
      </w:r>
      <w:r>
        <w:rPr>
          <w:color w:val="111A25"/>
          <w:spacing w:val="-7"/>
          <w:sz w:val="20"/>
        </w:rPr>
        <w:t xml:space="preserve"> </w:t>
      </w:r>
      <w:r>
        <w:rPr>
          <w:color w:val="111A25"/>
          <w:spacing w:val="-2"/>
          <w:sz w:val="20"/>
        </w:rPr>
        <w:t>to</w:t>
      </w:r>
      <w:r>
        <w:rPr>
          <w:color w:val="111A25"/>
          <w:spacing w:val="-7"/>
          <w:sz w:val="20"/>
        </w:rPr>
        <w:t xml:space="preserve"> </w:t>
      </w:r>
      <w:r>
        <w:rPr>
          <w:color w:val="111A25"/>
          <w:spacing w:val="-2"/>
          <w:sz w:val="20"/>
        </w:rPr>
        <w:t>the</w:t>
      </w:r>
      <w:r>
        <w:rPr>
          <w:color w:val="111A25"/>
          <w:spacing w:val="-7"/>
          <w:sz w:val="20"/>
        </w:rPr>
        <w:t xml:space="preserve"> </w:t>
      </w:r>
      <w:r>
        <w:rPr>
          <w:color w:val="111A25"/>
          <w:spacing w:val="-2"/>
          <w:sz w:val="20"/>
        </w:rPr>
        <w:t>Key</w:t>
      </w:r>
      <w:r>
        <w:rPr>
          <w:color w:val="111A25"/>
          <w:spacing w:val="-7"/>
          <w:sz w:val="20"/>
        </w:rPr>
        <w:t xml:space="preserve"> </w:t>
      </w:r>
      <w:r>
        <w:rPr>
          <w:color w:val="111A25"/>
          <w:spacing w:val="-2"/>
          <w:sz w:val="20"/>
        </w:rPr>
        <w:t>Concepts</w:t>
      </w:r>
      <w:r>
        <w:rPr>
          <w:color w:val="111A25"/>
          <w:spacing w:val="-7"/>
          <w:sz w:val="20"/>
        </w:rPr>
        <w:t xml:space="preserve"> </w:t>
      </w:r>
      <w:r>
        <w:rPr>
          <w:color w:val="111A25"/>
          <w:spacing w:val="-2"/>
          <w:sz w:val="20"/>
        </w:rPr>
        <w:t>and</w:t>
      </w:r>
      <w:r>
        <w:rPr>
          <w:color w:val="111A25"/>
          <w:spacing w:val="-8"/>
          <w:sz w:val="20"/>
        </w:rPr>
        <w:t xml:space="preserve"> </w:t>
      </w:r>
      <w:r>
        <w:rPr>
          <w:color w:val="111A25"/>
          <w:spacing w:val="-2"/>
          <w:sz w:val="20"/>
        </w:rPr>
        <w:t>Terminology:</w:t>
      </w:r>
    </w:p>
    <w:p w14:paraId="2B365EC7">
      <w:pPr>
        <w:spacing w:before="74" w:line="360" w:lineRule="auto"/>
        <w:ind w:left="820"/>
        <w:rPr>
          <w:sz w:val="19"/>
        </w:rPr>
      </w:pPr>
      <w:r>
        <w:fldChar w:fldCharType="begin"/>
      </w:r>
      <w:r>
        <w:instrText xml:space="preserve"> HYPERLINK "https://www.nocode.ai/ai-model-cards-101-an-introduction-to-the-key-concepts-and-terminology/" \h </w:instrText>
      </w:r>
      <w:r>
        <w:fldChar w:fldCharType="separate"/>
      </w:r>
      <w:r>
        <w:rPr>
          <w:color w:val="1154CC"/>
          <w:spacing w:val="-2"/>
          <w:w w:val="105"/>
          <w:sz w:val="19"/>
          <w:u w:val="single" w:color="1154CC"/>
        </w:rPr>
        <w:t>https://www.nocode.ai/ai-model-cards-</w:t>
      </w:r>
      <w:r>
        <w:rPr>
          <w:color w:val="1154CC"/>
          <w:spacing w:val="-2"/>
          <w:w w:val="69"/>
          <w:sz w:val="19"/>
          <w:u w:val="single" w:color="1154CC"/>
        </w:rPr>
        <w:t>1</w:t>
      </w:r>
      <w:r>
        <w:rPr>
          <w:color w:val="1154CC"/>
          <w:spacing w:val="-3"/>
          <w:w w:val="132"/>
          <w:sz w:val="19"/>
          <w:u w:val="single" w:color="1154CC"/>
        </w:rPr>
        <w:t>0</w:t>
      </w:r>
      <w:r>
        <w:rPr>
          <w:color w:val="1154CC"/>
          <w:spacing w:val="-2"/>
          <w:w w:val="69"/>
          <w:sz w:val="19"/>
          <w:u w:val="single" w:color="1154CC"/>
        </w:rPr>
        <w:t>1</w:t>
      </w:r>
      <w:r>
        <w:rPr>
          <w:color w:val="1154CC"/>
          <w:spacing w:val="-2"/>
          <w:w w:val="150"/>
          <w:sz w:val="19"/>
          <w:u w:val="single" w:color="1154CC"/>
        </w:rPr>
        <w:t>-</w:t>
      </w:r>
      <w:r>
        <w:rPr>
          <w:color w:val="1154CC"/>
          <w:spacing w:val="-2"/>
          <w:w w:val="105"/>
          <w:sz w:val="19"/>
          <w:u w:val="single" w:color="1154CC"/>
        </w:rPr>
        <w:t>an-introduction-to-the-key-concepts-and-terminology/</w:t>
      </w:r>
      <w:r>
        <w:rPr>
          <w:color w:val="1154CC"/>
          <w:spacing w:val="-2"/>
          <w:w w:val="105"/>
          <w:sz w:val="19"/>
          <w:u w:val="single" w:color="1154CC"/>
        </w:rPr>
        <w:fldChar w:fldCharType="end"/>
      </w:r>
    </w:p>
    <w:p w14:paraId="5FDEB595">
      <w:pPr>
        <w:pStyle w:val="42"/>
        <w:numPr>
          <w:ilvl w:val="0"/>
          <w:numId w:val="7"/>
        </w:numPr>
        <w:tabs>
          <w:tab w:val="left" w:pos="819"/>
          <w:tab w:val="left" w:pos="820"/>
        </w:tabs>
        <w:spacing w:before="71" w:line="360" w:lineRule="auto"/>
        <w:rPr>
          <w:color w:val="111A25"/>
          <w:sz w:val="20"/>
        </w:rPr>
      </w:pPr>
      <w:r>
        <w:rPr>
          <w:color w:val="111A25"/>
          <w:sz w:val="20"/>
        </w:rPr>
        <w:t>Template</w:t>
      </w:r>
      <w:r>
        <w:rPr>
          <w:color w:val="111A25"/>
          <w:spacing w:val="-4"/>
          <w:sz w:val="20"/>
        </w:rPr>
        <w:t xml:space="preserve"> </w:t>
      </w:r>
      <w:r>
        <w:rPr>
          <w:color w:val="111A25"/>
          <w:sz w:val="20"/>
        </w:rPr>
        <w:t>for</w:t>
      </w:r>
      <w:r>
        <w:rPr>
          <w:color w:val="111A25"/>
          <w:spacing w:val="-4"/>
          <w:sz w:val="20"/>
        </w:rPr>
        <w:t xml:space="preserve"> </w:t>
      </w:r>
      <w:r>
        <w:rPr>
          <w:color w:val="111A25"/>
          <w:sz w:val="20"/>
        </w:rPr>
        <w:t>Model</w:t>
      </w:r>
      <w:r>
        <w:rPr>
          <w:color w:val="111A25"/>
          <w:spacing w:val="-3"/>
          <w:sz w:val="20"/>
        </w:rPr>
        <w:t xml:space="preserve"> </w:t>
      </w:r>
      <w:r>
        <w:rPr>
          <w:color w:val="111A25"/>
          <w:spacing w:val="-2"/>
          <w:sz w:val="20"/>
        </w:rPr>
        <w:t>Cards:</w:t>
      </w:r>
    </w:p>
    <w:p w14:paraId="7DE9054B">
      <w:pPr>
        <w:spacing w:before="74" w:line="360" w:lineRule="auto"/>
        <w:ind w:left="820"/>
        <w:rPr>
          <w:sz w:val="19"/>
        </w:rPr>
      </w:pPr>
      <w:r>
        <w:fldChar w:fldCharType="begin"/>
      </w:r>
      <w:r>
        <w:instrText xml:space="preserve"> HYPERLINK "https://github.com/fau-masters-collected-works-cgarbin/model-card-template?tab=readme-ov-file" \h </w:instrText>
      </w:r>
      <w:r>
        <w:fldChar w:fldCharType="separate"/>
      </w:r>
      <w:r>
        <w:rPr>
          <w:color w:val="1154CC"/>
          <w:spacing w:val="-2"/>
          <w:w w:val="105"/>
          <w:sz w:val="19"/>
          <w:u w:val="single" w:color="1154CC"/>
        </w:rPr>
        <w:t>https://github.com/fau-masters-collected-works-cgarbin/model-card-template?tab=readme-ov-</w:t>
      </w:r>
      <w:r>
        <w:rPr>
          <w:color w:val="1154CC"/>
          <w:spacing w:val="-4"/>
          <w:w w:val="105"/>
          <w:sz w:val="19"/>
          <w:u w:val="single" w:color="1154CC"/>
        </w:rPr>
        <w:t>file</w:t>
      </w:r>
      <w:r>
        <w:rPr>
          <w:color w:val="1154CC"/>
          <w:spacing w:val="-4"/>
          <w:w w:val="105"/>
          <w:sz w:val="19"/>
          <w:u w:val="single" w:color="1154CC"/>
        </w:rPr>
        <w:fldChar w:fldCharType="end"/>
      </w:r>
    </w:p>
    <w:p w14:paraId="6F7D0B39">
      <w:pPr>
        <w:pStyle w:val="42"/>
        <w:numPr>
          <w:ilvl w:val="0"/>
          <w:numId w:val="7"/>
        </w:numPr>
        <w:tabs>
          <w:tab w:val="left" w:pos="819"/>
          <w:tab w:val="left" w:pos="820"/>
        </w:tabs>
        <w:spacing w:before="71" w:line="360" w:lineRule="auto"/>
        <w:rPr>
          <w:color w:val="111A25"/>
          <w:sz w:val="20"/>
        </w:rPr>
      </w:pPr>
      <w:r>
        <w:rPr>
          <w:color w:val="111A25"/>
          <w:sz w:val="20"/>
        </w:rPr>
        <w:t>Model</w:t>
      </w:r>
      <w:r>
        <w:rPr>
          <w:color w:val="111A25"/>
          <w:spacing w:val="-1"/>
          <w:sz w:val="20"/>
        </w:rPr>
        <w:t xml:space="preserve"> </w:t>
      </w:r>
      <w:r>
        <w:rPr>
          <w:color w:val="111A25"/>
          <w:sz w:val="20"/>
        </w:rPr>
        <w:t>Cards</w:t>
      </w:r>
      <w:r>
        <w:rPr>
          <w:color w:val="111A25"/>
          <w:spacing w:val="-3"/>
          <w:sz w:val="20"/>
        </w:rPr>
        <w:t xml:space="preserve"> </w:t>
      </w:r>
      <w:r>
        <w:rPr>
          <w:color w:val="111A25"/>
          <w:sz w:val="20"/>
        </w:rPr>
        <w:t>for</w:t>
      </w:r>
      <w:r>
        <w:rPr>
          <w:color w:val="111A25"/>
          <w:spacing w:val="-2"/>
          <w:sz w:val="20"/>
        </w:rPr>
        <w:t xml:space="preserve"> </w:t>
      </w:r>
      <w:r>
        <w:rPr>
          <w:color w:val="111A25"/>
          <w:sz w:val="20"/>
        </w:rPr>
        <w:t>Model</w:t>
      </w:r>
      <w:r>
        <w:rPr>
          <w:color w:val="111A25"/>
          <w:spacing w:val="-1"/>
          <w:sz w:val="20"/>
        </w:rPr>
        <w:t xml:space="preserve"> </w:t>
      </w:r>
      <w:r>
        <w:rPr>
          <w:color w:val="111A25"/>
          <w:sz w:val="20"/>
        </w:rPr>
        <w:t>Reporting:</w:t>
      </w:r>
      <w:r>
        <w:rPr>
          <w:color w:val="111A25"/>
          <w:spacing w:val="-1"/>
          <w:sz w:val="20"/>
        </w:rPr>
        <w:t xml:space="preserve"> </w:t>
      </w:r>
      <w:r>
        <w:fldChar w:fldCharType="begin"/>
      </w:r>
      <w:r>
        <w:instrText xml:space="preserve"> HYPERLINK "https://arxiv.org/abs/1810.03993" \h </w:instrText>
      </w:r>
      <w:r>
        <w:fldChar w:fldCharType="separate"/>
      </w:r>
      <w:r>
        <w:rPr>
          <w:color w:val="1154CC"/>
          <w:spacing w:val="-2"/>
          <w:w w:val="90"/>
          <w:sz w:val="20"/>
          <w:u w:val="single" w:color="1154CC"/>
        </w:rPr>
        <w:t>h</w:t>
      </w:r>
      <w:r>
        <w:rPr>
          <w:color w:val="1154CC"/>
          <w:spacing w:val="3"/>
          <w:w w:val="127"/>
          <w:sz w:val="20"/>
          <w:u w:val="single" w:color="1154CC"/>
        </w:rPr>
        <w:t>t</w:t>
      </w:r>
      <w:r>
        <w:rPr>
          <w:color w:val="1154CC"/>
          <w:spacing w:val="1"/>
          <w:w w:val="127"/>
          <w:sz w:val="20"/>
          <w:u w:val="single" w:color="1154CC"/>
        </w:rPr>
        <w:t>t</w:t>
      </w:r>
      <w:r>
        <w:rPr>
          <w:color w:val="1154CC"/>
          <w:spacing w:val="1"/>
          <w:w w:val="95"/>
          <w:sz w:val="20"/>
          <w:u w:val="single" w:color="1154CC"/>
        </w:rPr>
        <w:t>p</w:t>
      </w:r>
      <w:r>
        <w:rPr>
          <w:color w:val="1154CC"/>
          <w:spacing w:val="1"/>
          <w:w w:val="81"/>
          <w:sz w:val="20"/>
          <w:u w:val="single" w:color="1154CC"/>
        </w:rPr>
        <w:t>s</w:t>
      </w:r>
      <w:r>
        <w:rPr>
          <w:color w:val="1154CC"/>
          <w:spacing w:val="1"/>
          <w:w w:val="80"/>
          <w:sz w:val="20"/>
          <w:u w:val="single" w:color="1154CC"/>
        </w:rPr>
        <w:t>:</w:t>
      </w:r>
      <w:r>
        <w:rPr>
          <w:color w:val="1154CC"/>
          <w:spacing w:val="-32"/>
          <w:w w:val="158"/>
          <w:sz w:val="20"/>
          <w:u w:val="single" w:color="1154CC"/>
        </w:rPr>
        <w:t>/</w:t>
      </w:r>
      <w:r>
        <w:rPr>
          <w:color w:val="1154CC"/>
          <w:spacing w:val="-15"/>
          <w:w w:val="158"/>
          <w:sz w:val="20"/>
          <w:u w:val="single" w:color="1154CC"/>
        </w:rPr>
        <w:t>/</w:t>
      </w:r>
      <w:r>
        <w:rPr>
          <w:color w:val="1154CC"/>
          <w:spacing w:val="1"/>
          <w:w w:val="85"/>
          <w:sz w:val="20"/>
          <w:u w:val="single" w:color="1154CC"/>
        </w:rPr>
        <w:t>a</w:t>
      </w:r>
      <w:r>
        <w:rPr>
          <w:color w:val="1154CC"/>
          <w:spacing w:val="1"/>
          <w:w w:val="96"/>
          <w:sz w:val="20"/>
          <w:u w:val="single" w:color="1154CC"/>
        </w:rPr>
        <w:t>r</w:t>
      </w:r>
      <w:r>
        <w:rPr>
          <w:color w:val="1154CC"/>
          <w:spacing w:val="1"/>
          <w:w w:val="88"/>
          <w:sz w:val="20"/>
          <w:u w:val="single" w:color="1154CC"/>
        </w:rPr>
        <w:t>x</w:t>
      </w:r>
      <w:r>
        <w:rPr>
          <w:color w:val="1154CC"/>
          <w:spacing w:val="1"/>
          <w:w w:val="90"/>
          <w:sz w:val="20"/>
          <w:u w:val="single" w:color="1154CC"/>
        </w:rPr>
        <w:t>i</w:t>
      </w:r>
      <w:r>
        <w:rPr>
          <w:color w:val="1154CC"/>
          <w:spacing w:val="-12"/>
          <w:w w:val="91"/>
          <w:sz w:val="20"/>
          <w:u w:val="single" w:color="1154CC"/>
        </w:rPr>
        <w:t>v</w:t>
      </w:r>
      <w:r>
        <w:rPr>
          <w:color w:val="1154CC"/>
          <w:spacing w:val="-4"/>
          <w:w w:val="80"/>
          <w:sz w:val="20"/>
          <w:u w:val="single" w:color="1154CC"/>
        </w:rPr>
        <w:t>.</w:t>
      </w:r>
      <w:r>
        <w:rPr>
          <w:color w:val="1154CC"/>
          <w:spacing w:val="1"/>
          <w:w w:val="95"/>
          <w:sz w:val="20"/>
          <w:u w:val="single" w:color="1154CC"/>
        </w:rPr>
        <w:t>o</w:t>
      </w:r>
      <w:r>
        <w:rPr>
          <w:color w:val="1154CC"/>
          <w:spacing w:val="-5"/>
          <w:w w:val="96"/>
          <w:sz w:val="20"/>
          <w:u w:val="single" w:color="1154CC"/>
        </w:rPr>
        <w:t>r</w:t>
      </w:r>
      <w:r>
        <w:rPr>
          <w:color w:val="1154CC"/>
          <w:spacing w:val="5"/>
          <w:w w:val="95"/>
          <w:sz w:val="20"/>
          <w:u w:val="single" w:color="1154CC"/>
        </w:rPr>
        <w:t>g</w:t>
      </w:r>
      <w:r>
        <w:rPr>
          <w:color w:val="1154CC"/>
          <w:spacing w:val="-15"/>
          <w:w w:val="158"/>
          <w:sz w:val="20"/>
          <w:u w:val="single" w:color="1154CC"/>
        </w:rPr>
        <w:t>/</w:t>
      </w:r>
      <w:r>
        <w:rPr>
          <w:color w:val="1154CC"/>
          <w:spacing w:val="1"/>
          <w:w w:val="85"/>
          <w:sz w:val="20"/>
          <w:u w:val="single" w:color="1154CC"/>
        </w:rPr>
        <w:t>a</w:t>
      </w:r>
      <w:r>
        <w:rPr>
          <w:color w:val="1154CC"/>
          <w:spacing w:val="1"/>
          <w:w w:val="95"/>
          <w:sz w:val="20"/>
          <w:u w:val="single" w:color="1154CC"/>
        </w:rPr>
        <w:t>b</w:t>
      </w:r>
      <w:r>
        <w:rPr>
          <w:color w:val="1154CC"/>
          <w:spacing w:val="-1"/>
          <w:w w:val="81"/>
          <w:sz w:val="20"/>
          <w:u w:val="single" w:color="1154CC"/>
        </w:rPr>
        <w:t>s</w:t>
      </w:r>
      <w:r>
        <w:rPr>
          <w:color w:val="1154CC"/>
          <w:spacing w:val="1"/>
          <w:w w:val="158"/>
          <w:sz w:val="20"/>
          <w:u w:val="single" w:color="1154CC"/>
        </w:rPr>
        <w:t>/</w:t>
      </w:r>
      <w:r>
        <w:rPr>
          <w:color w:val="1154CC"/>
          <w:spacing w:val="1"/>
          <w:w w:val="46"/>
          <w:sz w:val="20"/>
          <w:u w:val="single" w:color="1154CC"/>
        </w:rPr>
        <w:t>1</w:t>
      </w:r>
      <w:r>
        <w:rPr>
          <w:color w:val="1154CC"/>
          <w:spacing w:val="-1"/>
          <w:w w:val="101"/>
          <w:sz w:val="20"/>
          <w:u w:val="single" w:color="1154CC"/>
        </w:rPr>
        <w:t>8</w:t>
      </w:r>
      <w:r>
        <w:rPr>
          <w:color w:val="1154CC"/>
          <w:spacing w:val="1"/>
          <w:w w:val="46"/>
          <w:sz w:val="20"/>
          <w:u w:val="single" w:color="1154CC"/>
        </w:rPr>
        <w:t>1</w:t>
      </w:r>
      <w:r>
        <w:rPr>
          <w:color w:val="1154CC"/>
          <w:spacing w:val="-4"/>
          <w:w w:val="109"/>
          <w:sz w:val="20"/>
          <w:u w:val="single" w:color="1154CC"/>
        </w:rPr>
        <w:t>0</w:t>
      </w:r>
      <w:r>
        <w:rPr>
          <w:color w:val="1154CC"/>
          <w:spacing w:val="-4"/>
          <w:w w:val="80"/>
          <w:sz w:val="20"/>
          <w:u w:val="single" w:color="1154CC"/>
        </w:rPr>
        <w:t>.</w:t>
      </w:r>
      <w:r>
        <w:rPr>
          <w:color w:val="1154CC"/>
          <w:spacing w:val="1"/>
          <w:w w:val="109"/>
          <w:sz w:val="20"/>
          <w:u w:val="single" w:color="1154CC"/>
        </w:rPr>
        <w:t>0</w:t>
      </w:r>
      <w:r>
        <w:rPr>
          <w:color w:val="1154CC"/>
          <w:spacing w:val="-3"/>
          <w:w w:val="96"/>
          <w:sz w:val="20"/>
          <w:u w:val="single" w:color="1154CC"/>
        </w:rPr>
        <w:t>3</w:t>
      </w:r>
      <w:r>
        <w:rPr>
          <w:color w:val="1154CC"/>
          <w:spacing w:val="-1"/>
          <w:w w:val="102"/>
          <w:sz w:val="20"/>
          <w:u w:val="single" w:color="1154CC"/>
        </w:rPr>
        <w:t>9</w:t>
      </w:r>
      <w:r>
        <w:rPr>
          <w:color w:val="1154CC"/>
          <w:spacing w:val="1"/>
          <w:w w:val="102"/>
          <w:sz w:val="20"/>
          <w:u w:val="single" w:color="1154CC"/>
        </w:rPr>
        <w:t>9</w:t>
      </w:r>
      <w:r>
        <w:rPr>
          <w:color w:val="1154CC"/>
          <w:spacing w:val="2"/>
          <w:w w:val="96"/>
          <w:sz w:val="20"/>
          <w:u w:val="single" w:color="1154CC"/>
        </w:rPr>
        <w:t>3</w:t>
      </w:r>
      <w:r>
        <w:rPr>
          <w:color w:val="1154CC"/>
          <w:spacing w:val="2"/>
          <w:w w:val="96"/>
          <w:sz w:val="20"/>
          <w:u w:val="single" w:color="1154CC"/>
        </w:rPr>
        <w:fldChar w:fldCharType="end"/>
      </w:r>
    </w:p>
    <w:p w14:paraId="2B248903">
      <w:pPr>
        <w:pStyle w:val="42"/>
        <w:numPr>
          <w:ilvl w:val="0"/>
          <w:numId w:val="7"/>
        </w:numPr>
        <w:tabs>
          <w:tab w:val="left" w:pos="819"/>
          <w:tab w:val="left" w:pos="820"/>
        </w:tabs>
        <w:spacing w:before="74" w:line="360" w:lineRule="auto"/>
        <w:rPr>
          <w:color w:val="111A25"/>
          <w:sz w:val="20"/>
        </w:rPr>
      </w:pPr>
      <w:r>
        <w:rPr>
          <w:color w:val="111A25"/>
          <w:sz w:val="20"/>
        </w:rPr>
        <w:t>Google</w:t>
      </w:r>
      <w:r>
        <w:rPr>
          <w:color w:val="111A25"/>
          <w:spacing w:val="-11"/>
          <w:sz w:val="20"/>
        </w:rPr>
        <w:t xml:space="preserve"> </w:t>
      </w:r>
      <w:r>
        <w:rPr>
          <w:color w:val="111A25"/>
          <w:sz w:val="20"/>
        </w:rPr>
        <w:t>Cloud</w:t>
      </w:r>
      <w:r>
        <w:rPr>
          <w:color w:val="111A25"/>
          <w:spacing w:val="-10"/>
          <w:sz w:val="20"/>
        </w:rPr>
        <w:t xml:space="preserve"> </w:t>
      </w:r>
      <w:r>
        <w:rPr>
          <w:color w:val="111A25"/>
          <w:sz w:val="20"/>
        </w:rPr>
        <w:t>Model</w:t>
      </w:r>
      <w:r>
        <w:rPr>
          <w:color w:val="111A25"/>
          <w:spacing w:val="-9"/>
          <w:sz w:val="20"/>
        </w:rPr>
        <w:t xml:space="preserve"> </w:t>
      </w:r>
      <w:r>
        <w:rPr>
          <w:color w:val="111A25"/>
          <w:sz w:val="20"/>
        </w:rPr>
        <w:t>Cards:</w:t>
      </w:r>
      <w:r>
        <w:rPr>
          <w:color w:val="111A25"/>
          <w:spacing w:val="-9"/>
          <w:sz w:val="20"/>
        </w:rPr>
        <w:t xml:space="preserve"> </w:t>
      </w:r>
      <w:r>
        <w:fldChar w:fldCharType="begin"/>
      </w:r>
      <w:r>
        <w:instrText xml:space="preserve"> HYPERLINK "https://modelcards.withgoogle.com/" \h </w:instrText>
      </w:r>
      <w:r>
        <w:fldChar w:fldCharType="separate"/>
      </w:r>
      <w:r>
        <w:rPr>
          <w:color w:val="1154CC"/>
          <w:spacing w:val="-2"/>
          <w:sz w:val="20"/>
          <w:u w:val="single" w:color="1154CC"/>
        </w:rPr>
        <w:t>modelcards.withgoogle.com</w:t>
      </w:r>
      <w:r>
        <w:rPr>
          <w:color w:val="1154CC"/>
          <w:spacing w:val="-2"/>
          <w:sz w:val="20"/>
          <w:u w:val="single" w:color="1154CC"/>
        </w:rPr>
        <w:fldChar w:fldCharType="end"/>
      </w:r>
    </w:p>
    <w:p w14:paraId="33A902F2">
      <w:pPr>
        <w:pStyle w:val="42"/>
        <w:numPr>
          <w:ilvl w:val="0"/>
          <w:numId w:val="7"/>
        </w:numPr>
        <w:tabs>
          <w:tab w:val="left" w:pos="819"/>
          <w:tab w:val="left" w:pos="820"/>
        </w:tabs>
        <w:spacing w:before="75" w:line="360" w:lineRule="auto"/>
        <w:rPr>
          <w:color w:val="111A25"/>
          <w:sz w:val="20"/>
        </w:rPr>
      </w:pPr>
      <w:r>
        <w:rPr>
          <w:color w:val="111A25"/>
          <w:sz w:val="20"/>
        </w:rPr>
        <w:t>GPT-4</w:t>
      </w:r>
      <w:r>
        <w:rPr>
          <w:color w:val="111A25"/>
          <w:spacing w:val="5"/>
          <w:sz w:val="20"/>
        </w:rPr>
        <w:t xml:space="preserve"> </w:t>
      </w:r>
      <w:r>
        <w:rPr>
          <w:color w:val="111A25"/>
          <w:sz w:val="20"/>
        </w:rPr>
        <w:t>System</w:t>
      </w:r>
      <w:r>
        <w:rPr>
          <w:color w:val="111A25"/>
          <w:spacing w:val="6"/>
          <w:sz w:val="20"/>
        </w:rPr>
        <w:t xml:space="preserve"> </w:t>
      </w:r>
      <w:r>
        <w:rPr>
          <w:color w:val="111A25"/>
          <w:sz w:val="20"/>
        </w:rPr>
        <w:t>Card</w:t>
      </w:r>
      <w:r>
        <w:rPr>
          <w:color w:val="111A25"/>
          <w:spacing w:val="6"/>
          <w:sz w:val="20"/>
        </w:rPr>
        <w:t xml:space="preserve"> </w:t>
      </w:r>
      <w:r>
        <w:rPr>
          <w:color w:val="111A25"/>
          <w:sz w:val="20"/>
        </w:rPr>
        <w:t>by</w:t>
      </w:r>
      <w:r>
        <w:rPr>
          <w:color w:val="111A25"/>
          <w:spacing w:val="5"/>
          <w:sz w:val="20"/>
        </w:rPr>
        <w:t xml:space="preserve"> </w:t>
      </w:r>
      <w:r>
        <w:rPr>
          <w:color w:val="111A25"/>
          <w:sz w:val="20"/>
        </w:rPr>
        <w:t>OpenAI:</w:t>
      </w:r>
      <w:r>
        <w:rPr>
          <w:color w:val="111A25"/>
          <w:spacing w:val="7"/>
          <w:sz w:val="20"/>
        </w:rPr>
        <w:t xml:space="preserve"> </w:t>
      </w:r>
      <w:r>
        <w:fldChar w:fldCharType="begin"/>
      </w:r>
      <w:r>
        <w:instrText xml:space="preserve"> HYPERLINK "https://cdn.openai.com/papers/gpt-4-system-card.pdf" \h </w:instrText>
      </w:r>
      <w:r>
        <w:fldChar w:fldCharType="separate"/>
      </w:r>
      <w:r>
        <w:rPr>
          <w:color w:val="1154CC"/>
          <w:sz w:val="20"/>
          <w:u w:val="single" w:color="1154CC"/>
        </w:rPr>
        <w:t>gpt-4-system-card.pdf</w:t>
      </w:r>
      <w:r>
        <w:rPr>
          <w:color w:val="1154CC"/>
          <w:spacing w:val="6"/>
          <w:sz w:val="20"/>
          <w:u w:val="single" w:color="1154CC"/>
        </w:rPr>
        <w:t xml:space="preserve"> </w:t>
      </w:r>
      <w:r>
        <w:rPr>
          <w:color w:val="1154CC"/>
          <w:spacing w:val="-2"/>
          <w:sz w:val="20"/>
          <w:u w:val="single" w:color="1154CC"/>
        </w:rPr>
        <w:t>(openai.com)</w:t>
      </w:r>
      <w:r>
        <w:rPr>
          <w:color w:val="1154CC"/>
          <w:spacing w:val="-2"/>
          <w:sz w:val="20"/>
          <w:u w:val="single" w:color="1154CC"/>
        </w:rPr>
        <w:fldChar w:fldCharType="end"/>
      </w:r>
    </w:p>
    <w:p w14:paraId="75E2C2FF">
      <w:pPr>
        <w:pStyle w:val="42"/>
        <w:numPr>
          <w:ilvl w:val="0"/>
          <w:numId w:val="7"/>
        </w:numPr>
        <w:tabs>
          <w:tab w:val="left" w:pos="819"/>
          <w:tab w:val="left" w:pos="820"/>
        </w:tabs>
        <w:spacing w:before="74" w:line="360" w:lineRule="auto"/>
        <w:rPr>
          <w:color w:val="111A25"/>
          <w:sz w:val="20"/>
        </w:rPr>
      </w:pPr>
      <w:r>
        <w:rPr>
          <w:color w:val="111A25"/>
          <w:sz w:val="20"/>
        </w:rPr>
        <w:t>Gemma</w:t>
      </w:r>
      <w:r>
        <w:rPr>
          <w:color w:val="111A25"/>
          <w:spacing w:val="-9"/>
          <w:sz w:val="20"/>
        </w:rPr>
        <w:t xml:space="preserve"> </w:t>
      </w:r>
      <w:r>
        <w:rPr>
          <w:color w:val="111A25"/>
          <w:sz w:val="20"/>
        </w:rPr>
        <w:t>Model</w:t>
      </w:r>
      <w:r>
        <w:rPr>
          <w:color w:val="111A25"/>
          <w:spacing w:val="-8"/>
          <w:sz w:val="20"/>
        </w:rPr>
        <w:t xml:space="preserve"> </w:t>
      </w:r>
      <w:r>
        <w:rPr>
          <w:color w:val="111A25"/>
          <w:sz w:val="20"/>
        </w:rPr>
        <w:t>Card:</w:t>
      </w:r>
      <w:r>
        <w:rPr>
          <w:color w:val="111A25"/>
          <w:spacing w:val="-7"/>
          <w:sz w:val="20"/>
        </w:rPr>
        <w:t xml:space="preserve"> </w:t>
      </w:r>
      <w:r>
        <w:fldChar w:fldCharType="begin"/>
      </w:r>
      <w:r>
        <w:instrText xml:space="preserve"> HYPERLINK "https://ai.google.dev/gemma/docs/model_card" \h </w:instrText>
      </w:r>
      <w:r>
        <w:fldChar w:fldCharType="separate"/>
      </w:r>
      <w:r>
        <w:rPr>
          <w:color w:val="1154CC"/>
          <w:sz w:val="20"/>
          <w:u w:val="single" w:color="1154CC"/>
        </w:rPr>
        <w:t>Gemma</w:t>
      </w:r>
      <w:r>
        <w:rPr>
          <w:color w:val="1154CC"/>
          <w:spacing w:val="-9"/>
          <w:sz w:val="20"/>
          <w:u w:val="single" w:color="1154CC"/>
        </w:rPr>
        <w:t xml:space="preserve"> </w:t>
      </w:r>
      <w:r>
        <w:rPr>
          <w:color w:val="1154CC"/>
          <w:sz w:val="20"/>
          <w:u w:val="single" w:color="1154CC"/>
        </w:rPr>
        <w:t>Model</w:t>
      </w:r>
      <w:r>
        <w:rPr>
          <w:color w:val="1154CC"/>
          <w:spacing w:val="-7"/>
          <w:sz w:val="20"/>
          <w:u w:val="single" w:color="1154CC"/>
        </w:rPr>
        <w:t xml:space="preserve"> </w:t>
      </w:r>
      <w:r>
        <w:rPr>
          <w:color w:val="1154CC"/>
          <w:sz w:val="20"/>
          <w:u w:val="single" w:color="1154CC"/>
        </w:rPr>
        <w:t>Card</w:t>
      </w:r>
      <w:r>
        <w:rPr>
          <w:color w:val="1154CC"/>
          <w:spacing w:val="39"/>
          <w:sz w:val="20"/>
          <w:u w:val="single" w:color="1154CC"/>
        </w:rPr>
        <w:t xml:space="preserve"> </w:t>
      </w:r>
      <w:r>
        <w:rPr>
          <w:color w:val="1154CC"/>
          <w:sz w:val="20"/>
          <w:u w:val="single" w:color="1154CC"/>
        </w:rPr>
        <w:t>|</w:t>
      </w:r>
      <w:r>
        <w:rPr>
          <w:color w:val="1154CC"/>
          <w:spacing w:val="40"/>
          <w:sz w:val="20"/>
          <w:u w:val="single" w:color="1154CC"/>
        </w:rPr>
        <w:t xml:space="preserve"> </w:t>
      </w:r>
      <w:r>
        <w:rPr>
          <w:color w:val="1154CC"/>
          <w:sz w:val="20"/>
          <w:u w:val="single" w:color="1154CC"/>
        </w:rPr>
        <w:t>Google</w:t>
      </w:r>
      <w:r>
        <w:rPr>
          <w:color w:val="1154CC"/>
          <w:spacing w:val="-9"/>
          <w:sz w:val="20"/>
          <w:u w:val="single" w:color="1154CC"/>
        </w:rPr>
        <w:t xml:space="preserve"> </w:t>
      </w:r>
      <w:r>
        <w:rPr>
          <w:color w:val="1154CC"/>
          <w:sz w:val="20"/>
          <w:u w:val="single" w:color="1154CC"/>
        </w:rPr>
        <w:t>AI</w:t>
      </w:r>
      <w:r>
        <w:rPr>
          <w:color w:val="1154CC"/>
          <w:spacing w:val="-7"/>
          <w:sz w:val="20"/>
          <w:u w:val="single" w:color="1154CC"/>
        </w:rPr>
        <w:t xml:space="preserve"> </w:t>
      </w:r>
      <w:r>
        <w:rPr>
          <w:color w:val="1154CC"/>
          <w:sz w:val="20"/>
          <w:u w:val="single" w:color="1154CC"/>
        </w:rPr>
        <w:t>for</w:t>
      </w:r>
      <w:r>
        <w:rPr>
          <w:color w:val="1154CC"/>
          <w:spacing w:val="-9"/>
          <w:sz w:val="20"/>
          <w:u w:val="single" w:color="1154CC"/>
        </w:rPr>
        <w:t xml:space="preserve"> </w:t>
      </w:r>
      <w:r>
        <w:rPr>
          <w:color w:val="1154CC"/>
          <w:spacing w:val="-2"/>
          <w:sz w:val="20"/>
          <w:u w:val="single" w:color="1154CC"/>
        </w:rPr>
        <w:t>Developers</w:t>
      </w:r>
      <w:r>
        <w:rPr>
          <w:color w:val="1154CC"/>
          <w:spacing w:val="-2"/>
          <w:sz w:val="20"/>
          <w:u w:val="single" w:color="1154CC"/>
        </w:rPr>
        <w:fldChar w:fldCharType="end"/>
      </w:r>
    </w:p>
    <w:p w14:paraId="175F9C9C">
      <w:pPr>
        <w:pStyle w:val="42"/>
        <w:numPr>
          <w:ilvl w:val="0"/>
          <w:numId w:val="7"/>
        </w:numPr>
        <w:tabs>
          <w:tab w:val="left" w:pos="819"/>
          <w:tab w:val="left" w:pos="820"/>
        </w:tabs>
        <w:spacing w:before="74" w:line="360" w:lineRule="auto"/>
        <w:rPr>
          <w:color w:val="111A25"/>
          <w:sz w:val="20"/>
        </w:rPr>
      </w:pPr>
      <w:r>
        <w:rPr>
          <w:color w:val="111A25"/>
          <w:sz w:val="20"/>
        </w:rPr>
        <w:t>Model</w:t>
      </w:r>
      <w:r>
        <w:rPr>
          <w:color w:val="111A25"/>
          <w:spacing w:val="-11"/>
          <w:sz w:val="20"/>
        </w:rPr>
        <w:t xml:space="preserve"> </w:t>
      </w:r>
      <w:r>
        <w:rPr>
          <w:color w:val="111A25"/>
          <w:sz w:val="20"/>
        </w:rPr>
        <w:t>Card</w:t>
      </w:r>
      <w:r>
        <w:rPr>
          <w:color w:val="111A25"/>
          <w:spacing w:val="-12"/>
          <w:sz w:val="20"/>
        </w:rPr>
        <w:t xml:space="preserve"> </w:t>
      </w:r>
      <w:r>
        <w:rPr>
          <w:color w:val="111A25"/>
          <w:sz w:val="20"/>
        </w:rPr>
        <w:t>for</w:t>
      </w:r>
      <w:r>
        <w:rPr>
          <w:color w:val="111A25"/>
          <w:spacing w:val="-12"/>
          <w:sz w:val="20"/>
        </w:rPr>
        <w:t xml:space="preserve"> </w:t>
      </w:r>
      <w:r>
        <w:rPr>
          <w:color w:val="111A25"/>
          <w:sz w:val="20"/>
        </w:rPr>
        <w:t>Claude</w:t>
      </w:r>
      <w:r>
        <w:rPr>
          <w:color w:val="111A25"/>
          <w:spacing w:val="-12"/>
          <w:sz w:val="20"/>
        </w:rPr>
        <w:t xml:space="preserve"> </w:t>
      </w:r>
      <w:r>
        <w:rPr>
          <w:color w:val="111A25"/>
          <w:sz w:val="20"/>
        </w:rPr>
        <w:t>3</w:t>
      </w:r>
      <w:r>
        <w:rPr>
          <w:color w:val="111A25"/>
          <w:spacing w:val="-12"/>
          <w:sz w:val="20"/>
        </w:rPr>
        <w:t xml:space="preserve"> </w:t>
      </w:r>
      <w:r>
        <w:rPr>
          <w:color w:val="111A25"/>
          <w:sz w:val="20"/>
        </w:rPr>
        <w:t>family</w:t>
      </w:r>
      <w:r>
        <w:rPr>
          <w:color w:val="111A25"/>
          <w:spacing w:val="-11"/>
          <w:sz w:val="20"/>
        </w:rPr>
        <w:t xml:space="preserve"> </w:t>
      </w:r>
      <w:r>
        <w:rPr>
          <w:color w:val="111A25"/>
          <w:sz w:val="20"/>
        </w:rPr>
        <w:t>of</w:t>
      </w:r>
      <w:r>
        <w:rPr>
          <w:color w:val="111A25"/>
          <w:spacing w:val="-12"/>
          <w:sz w:val="20"/>
        </w:rPr>
        <w:t xml:space="preserve"> </w:t>
      </w:r>
      <w:r>
        <w:rPr>
          <w:color w:val="111A25"/>
          <w:sz w:val="20"/>
        </w:rPr>
        <w:t>models:</w:t>
      </w:r>
      <w:r>
        <w:rPr>
          <w:color w:val="111A25"/>
          <w:spacing w:val="-11"/>
          <w:sz w:val="20"/>
        </w:rPr>
        <w:t xml:space="preserve"> </w:t>
      </w:r>
      <w:r>
        <w:fldChar w:fldCharType="begin"/>
      </w:r>
      <w:r>
        <w:instrText xml:space="preserve"> HYPERLINK "https://www-cdn.anthropic.com/de8ba9b01c9ab7cbabf5c33b80b7bbc618857627/Model_Card_Claude_3.pdf" \h </w:instrText>
      </w:r>
      <w:r>
        <w:fldChar w:fldCharType="separate"/>
      </w:r>
      <w:r>
        <w:rPr>
          <w:color w:val="1154CC"/>
          <w:sz w:val="20"/>
          <w:u w:val="single" w:color="1154CC"/>
        </w:rPr>
        <w:t>Model_Card_Claude_3.pdf</w:t>
      </w:r>
      <w:r>
        <w:rPr>
          <w:color w:val="1154CC"/>
          <w:spacing w:val="-12"/>
          <w:sz w:val="20"/>
          <w:u w:val="single" w:color="1154CC"/>
        </w:rPr>
        <w:t xml:space="preserve"> </w:t>
      </w:r>
      <w:r>
        <w:rPr>
          <w:color w:val="1154CC"/>
          <w:spacing w:val="-2"/>
          <w:sz w:val="20"/>
          <w:u w:val="single" w:color="1154CC"/>
        </w:rPr>
        <w:t>(anthropic.com)</w:t>
      </w:r>
      <w:r>
        <w:rPr>
          <w:color w:val="1154CC"/>
          <w:spacing w:val="-2"/>
          <w:sz w:val="20"/>
          <w:u w:val="single" w:color="1154CC"/>
        </w:rPr>
        <w:fldChar w:fldCharType="end"/>
      </w:r>
    </w:p>
    <w:p w14:paraId="4A07DCC5">
      <w:pPr>
        <w:pStyle w:val="42"/>
        <w:numPr>
          <w:ilvl w:val="0"/>
          <w:numId w:val="7"/>
        </w:numPr>
        <w:tabs>
          <w:tab w:val="left" w:pos="819"/>
          <w:tab w:val="left" w:pos="820"/>
        </w:tabs>
        <w:spacing w:before="74" w:line="360" w:lineRule="auto"/>
        <w:ind w:right="3008"/>
        <w:rPr>
          <w:color w:val="111A25"/>
          <w:sz w:val="20"/>
        </w:rPr>
      </w:pPr>
      <w:r>
        <w:rPr>
          <w:color w:val="111A25"/>
          <w:spacing w:val="-2"/>
          <w:w w:val="105"/>
          <w:sz w:val="20"/>
        </w:rPr>
        <w:t>Model</w:t>
      </w:r>
      <w:r>
        <w:rPr>
          <w:color w:val="111A25"/>
          <w:spacing w:val="-11"/>
          <w:w w:val="105"/>
          <w:sz w:val="20"/>
        </w:rPr>
        <w:t xml:space="preserve"> </w:t>
      </w:r>
      <w:r>
        <w:rPr>
          <w:color w:val="111A25"/>
          <w:spacing w:val="-2"/>
          <w:w w:val="105"/>
          <w:sz w:val="20"/>
        </w:rPr>
        <w:t>Card</w:t>
      </w:r>
      <w:r>
        <w:rPr>
          <w:color w:val="111A25"/>
          <w:spacing w:val="-12"/>
          <w:w w:val="105"/>
          <w:sz w:val="20"/>
        </w:rPr>
        <w:t xml:space="preserve"> </w:t>
      </w:r>
      <w:r>
        <w:rPr>
          <w:color w:val="111A25"/>
          <w:spacing w:val="-2"/>
          <w:w w:val="105"/>
          <w:sz w:val="20"/>
        </w:rPr>
        <w:t>for</w:t>
      </w:r>
      <w:r>
        <w:rPr>
          <w:color w:val="111A25"/>
          <w:spacing w:val="-12"/>
          <w:w w:val="105"/>
          <w:sz w:val="20"/>
        </w:rPr>
        <w:t xml:space="preserve"> </w:t>
      </w:r>
      <w:r>
        <w:rPr>
          <w:color w:val="1F2328"/>
          <w:spacing w:val="-2"/>
          <w:w w:val="105"/>
          <w:sz w:val="20"/>
        </w:rPr>
        <w:t>VAE</w:t>
      </w:r>
      <w:r>
        <w:rPr>
          <w:color w:val="1F2328"/>
          <w:spacing w:val="-12"/>
          <w:w w:val="105"/>
          <w:sz w:val="20"/>
        </w:rPr>
        <w:t xml:space="preserve"> </w:t>
      </w:r>
      <w:r>
        <w:rPr>
          <w:color w:val="1F2328"/>
          <w:spacing w:val="-2"/>
          <w:w w:val="105"/>
          <w:sz w:val="20"/>
        </w:rPr>
        <w:t>(dVAE)</w:t>
      </w:r>
      <w:r>
        <w:rPr>
          <w:color w:val="1F2328"/>
          <w:spacing w:val="-12"/>
          <w:w w:val="105"/>
          <w:sz w:val="20"/>
        </w:rPr>
        <w:t xml:space="preserve"> </w:t>
      </w:r>
      <w:r>
        <w:rPr>
          <w:color w:val="1F2328"/>
          <w:spacing w:val="-2"/>
          <w:w w:val="105"/>
          <w:sz w:val="20"/>
        </w:rPr>
        <w:t>that</w:t>
      </w:r>
      <w:r>
        <w:rPr>
          <w:color w:val="1F2328"/>
          <w:spacing w:val="-12"/>
          <w:w w:val="105"/>
          <w:sz w:val="20"/>
        </w:rPr>
        <w:t xml:space="preserve"> </w:t>
      </w:r>
      <w:r>
        <w:rPr>
          <w:color w:val="1F2328"/>
          <w:spacing w:val="-2"/>
          <w:w w:val="105"/>
          <w:sz w:val="20"/>
        </w:rPr>
        <w:t>was</w:t>
      </w:r>
      <w:r>
        <w:rPr>
          <w:color w:val="1F2328"/>
          <w:spacing w:val="-12"/>
          <w:w w:val="105"/>
          <w:sz w:val="20"/>
        </w:rPr>
        <w:t xml:space="preserve"> </w:t>
      </w:r>
      <w:r>
        <w:rPr>
          <w:color w:val="1F2328"/>
          <w:spacing w:val="-2"/>
          <w:w w:val="105"/>
          <w:sz w:val="20"/>
        </w:rPr>
        <w:t>used</w:t>
      </w:r>
      <w:r>
        <w:rPr>
          <w:color w:val="1F2328"/>
          <w:spacing w:val="-12"/>
          <w:w w:val="105"/>
          <w:sz w:val="20"/>
        </w:rPr>
        <w:t xml:space="preserve"> </w:t>
      </w:r>
      <w:r>
        <w:rPr>
          <w:color w:val="1F2328"/>
          <w:spacing w:val="-2"/>
          <w:w w:val="105"/>
          <w:sz w:val="20"/>
        </w:rPr>
        <w:t>to</w:t>
      </w:r>
      <w:r>
        <w:rPr>
          <w:color w:val="1F2328"/>
          <w:spacing w:val="-12"/>
          <w:w w:val="105"/>
          <w:sz w:val="20"/>
        </w:rPr>
        <w:t xml:space="preserve"> </w:t>
      </w:r>
      <w:r>
        <w:rPr>
          <w:color w:val="1F2328"/>
          <w:spacing w:val="-2"/>
          <w:w w:val="105"/>
          <w:sz w:val="20"/>
        </w:rPr>
        <w:t>train</w:t>
      </w:r>
      <w:r>
        <w:rPr>
          <w:color w:val="1F2328"/>
          <w:spacing w:val="-12"/>
          <w:w w:val="105"/>
          <w:sz w:val="20"/>
        </w:rPr>
        <w:t xml:space="preserve"> </w:t>
      </w:r>
      <w:r>
        <w:rPr>
          <w:color w:val="1F2328"/>
          <w:spacing w:val="-2"/>
          <w:w w:val="105"/>
          <w:sz w:val="20"/>
        </w:rPr>
        <w:t xml:space="preserve">DALL·E: </w:t>
      </w:r>
      <w:r>
        <w:fldChar w:fldCharType="begin"/>
      </w:r>
      <w:r>
        <w:instrText xml:space="preserve"> HYPERLINK "https://github.com/openai/DALL-E/blob/master/model_card.md" \h </w:instrText>
      </w:r>
      <w:r>
        <w:fldChar w:fldCharType="separate"/>
      </w:r>
      <w:r>
        <w:rPr>
          <w:color w:val="1154CC"/>
          <w:spacing w:val="-2"/>
          <w:w w:val="105"/>
          <w:sz w:val="20"/>
          <w:u w:val="single" w:color="1154CC"/>
        </w:rPr>
        <w:t>https://github.com/openai/DALL-</w:t>
      </w:r>
      <w:r>
        <w:rPr>
          <w:color w:val="1154CC"/>
          <w:spacing w:val="-1"/>
          <w:w w:val="88"/>
          <w:sz w:val="20"/>
          <w:u w:val="single" w:color="1154CC"/>
        </w:rPr>
        <w:t>E</w:t>
      </w:r>
      <w:r>
        <w:rPr>
          <w:color w:val="1154CC"/>
          <w:spacing w:val="-1"/>
          <w:w w:val="163"/>
          <w:sz w:val="20"/>
          <w:u w:val="single" w:color="1154CC"/>
        </w:rPr>
        <w:t>/</w:t>
      </w:r>
      <w:r>
        <w:rPr>
          <w:color w:val="1154CC"/>
          <w:spacing w:val="-1"/>
          <w:sz w:val="20"/>
          <w:u w:val="single" w:color="1154CC"/>
        </w:rPr>
        <w:t>b</w:t>
      </w:r>
      <w:r>
        <w:rPr>
          <w:color w:val="1154CC"/>
          <w:spacing w:val="-1"/>
          <w:w w:val="96"/>
          <w:sz w:val="20"/>
          <w:u w:val="single" w:color="1154CC"/>
        </w:rPr>
        <w:t>l</w:t>
      </w:r>
      <w:r>
        <w:rPr>
          <w:color w:val="1154CC"/>
          <w:spacing w:val="-1"/>
          <w:sz w:val="20"/>
          <w:u w:val="single" w:color="1154CC"/>
        </w:rPr>
        <w:t>o</w:t>
      </w:r>
      <w:r>
        <w:rPr>
          <w:color w:val="1154CC"/>
          <w:spacing w:val="-6"/>
          <w:sz w:val="20"/>
          <w:u w:val="single" w:color="1154CC"/>
        </w:rPr>
        <w:t>b</w:t>
      </w:r>
      <w:r>
        <w:rPr>
          <w:color w:val="1154CC"/>
          <w:spacing w:val="-12"/>
          <w:w w:val="163"/>
          <w:sz w:val="20"/>
          <w:u w:val="single" w:color="1154CC"/>
        </w:rPr>
        <w:t>/</w:t>
      </w:r>
      <w:r>
        <w:rPr>
          <w:color w:val="1154CC"/>
          <w:spacing w:val="-1"/>
          <w:w w:val="97"/>
          <w:sz w:val="20"/>
          <w:u w:val="single" w:color="1154CC"/>
        </w:rPr>
        <w:t>m</w:t>
      </w:r>
      <w:r>
        <w:rPr>
          <w:color w:val="1154CC"/>
          <w:spacing w:val="-1"/>
          <w:w w:val="90"/>
          <w:sz w:val="20"/>
          <w:u w:val="single" w:color="1154CC"/>
        </w:rPr>
        <w:t>a</w:t>
      </w:r>
      <w:r>
        <w:rPr>
          <w:color w:val="1154CC"/>
          <w:spacing w:val="-3"/>
          <w:w w:val="86"/>
          <w:sz w:val="20"/>
          <w:u w:val="single" w:color="1154CC"/>
        </w:rPr>
        <w:t>s</w:t>
      </w:r>
      <w:r>
        <w:rPr>
          <w:color w:val="1154CC"/>
          <w:spacing w:val="-3"/>
          <w:w w:val="132"/>
          <w:sz w:val="20"/>
          <w:u w:val="single" w:color="1154CC"/>
        </w:rPr>
        <w:t>t</w:t>
      </w:r>
      <w:r>
        <w:rPr>
          <w:color w:val="1154CC"/>
          <w:spacing w:val="-1"/>
          <w:w w:val="96"/>
          <w:sz w:val="20"/>
          <w:u w:val="single" w:color="1154CC"/>
        </w:rPr>
        <w:t>e</w:t>
      </w:r>
      <w:r>
        <w:rPr>
          <w:color w:val="1154CC"/>
          <w:spacing w:val="-17"/>
          <w:w w:val="101"/>
          <w:sz w:val="20"/>
          <w:u w:val="single" w:color="1154CC"/>
        </w:rPr>
        <w:t>r</w:t>
      </w:r>
      <w:r>
        <w:rPr>
          <w:color w:val="1154CC"/>
          <w:spacing w:val="-12"/>
          <w:w w:val="163"/>
          <w:sz w:val="20"/>
          <w:u w:val="single" w:color="1154CC"/>
        </w:rPr>
        <w:t>/</w:t>
      </w:r>
      <w:r>
        <w:rPr>
          <w:color w:val="1154CC"/>
          <w:spacing w:val="-1"/>
          <w:w w:val="97"/>
          <w:sz w:val="20"/>
          <w:u w:val="single" w:color="1154CC"/>
        </w:rPr>
        <w:t>m</w:t>
      </w:r>
      <w:r>
        <w:rPr>
          <w:color w:val="1154CC"/>
          <w:spacing w:val="-1"/>
          <w:sz w:val="20"/>
          <w:u w:val="single" w:color="1154CC"/>
        </w:rPr>
        <w:t>od</w:t>
      </w:r>
      <w:r>
        <w:rPr>
          <w:color w:val="1154CC"/>
          <w:spacing w:val="-1"/>
          <w:w w:val="96"/>
          <w:sz w:val="20"/>
          <w:u w:val="single" w:color="1154CC"/>
        </w:rPr>
        <w:t>e</w:t>
      </w:r>
      <w:r>
        <w:rPr>
          <w:color w:val="1154CC"/>
          <w:spacing w:val="5"/>
          <w:w w:val="96"/>
          <w:sz w:val="20"/>
          <w:u w:val="single" w:color="1154CC"/>
        </w:rPr>
        <w:t>l</w:t>
      </w:r>
      <w:r>
        <w:rPr>
          <w:color w:val="1154CC"/>
          <w:spacing w:val="-3"/>
          <w:w w:val="78"/>
          <w:sz w:val="20"/>
          <w:u w:val="single" w:color="1154CC"/>
        </w:rPr>
        <w:t>_</w:t>
      </w:r>
      <w:r>
        <w:rPr>
          <w:color w:val="1154CC"/>
          <w:spacing w:val="-1"/>
          <w:w w:val="97"/>
          <w:sz w:val="20"/>
          <w:u w:val="single" w:color="1154CC"/>
        </w:rPr>
        <w:t>c</w:t>
      </w:r>
      <w:r>
        <w:rPr>
          <w:color w:val="1154CC"/>
          <w:spacing w:val="-1"/>
          <w:w w:val="90"/>
          <w:sz w:val="20"/>
          <w:u w:val="single" w:color="1154CC"/>
        </w:rPr>
        <w:t>a</w:t>
      </w:r>
      <w:r>
        <w:rPr>
          <w:color w:val="1154CC"/>
          <w:spacing w:val="-7"/>
          <w:w w:val="101"/>
          <w:sz w:val="20"/>
          <w:u w:val="single" w:color="1154CC"/>
        </w:rPr>
        <w:t>r</w:t>
      </w:r>
      <w:r>
        <w:rPr>
          <w:color w:val="1154CC"/>
          <w:spacing w:val="-1"/>
          <w:sz w:val="20"/>
          <w:u w:val="single" w:color="1154CC"/>
        </w:rPr>
        <w:t>d</w:t>
      </w:r>
      <w:r>
        <w:rPr>
          <w:color w:val="1154CC"/>
          <w:spacing w:val="-1"/>
          <w:w w:val="85"/>
          <w:sz w:val="20"/>
          <w:u w:val="single" w:color="1154CC"/>
        </w:rPr>
        <w:t>.</w:t>
      </w:r>
      <w:r>
        <w:rPr>
          <w:color w:val="1154CC"/>
          <w:spacing w:val="-1"/>
          <w:w w:val="97"/>
          <w:sz w:val="20"/>
          <w:u w:val="single" w:color="1154CC"/>
        </w:rPr>
        <w:t>m</w:t>
      </w:r>
      <w:r>
        <w:rPr>
          <w:color w:val="1154CC"/>
          <w:sz w:val="20"/>
          <w:u w:val="single" w:color="1154CC"/>
        </w:rPr>
        <w:t>d</w:t>
      </w:r>
      <w:r>
        <w:rPr>
          <w:color w:val="1154CC"/>
          <w:sz w:val="20"/>
          <w:u w:val="single" w:color="1154CC"/>
        </w:rPr>
        <w:fldChar w:fldCharType="end"/>
      </w:r>
    </w:p>
    <w:p w14:paraId="2AAD5213">
      <w:pPr>
        <w:pStyle w:val="42"/>
        <w:numPr>
          <w:ilvl w:val="0"/>
          <w:numId w:val="7"/>
        </w:numPr>
        <w:tabs>
          <w:tab w:val="left" w:pos="819"/>
          <w:tab w:val="left" w:pos="820"/>
        </w:tabs>
        <w:spacing w:before="2" w:line="360" w:lineRule="auto"/>
        <w:rPr>
          <w:color w:val="111A25"/>
          <w:sz w:val="20"/>
        </w:rPr>
      </w:pPr>
      <w:r>
        <w:rPr>
          <w:color w:val="1F1F1F"/>
          <w:sz w:val="20"/>
        </w:rPr>
        <w:t>Example</w:t>
      </w:r>
      <w:r>
        <w:rPr>
          <w:color w:val="1F1F1F"/>
          <w:spacing w:val="2"/>
          <w:sz w:val="20"/>
        </w:rPr>
        <w:t xml:space="preserve"> </w:t>
      </w:r>
      <w:r>
        <w:rPr>
          <w:color w:val="1F1F1F"/>
          <w:sz w:val="20"/>
        </w:rPr>
        <w:t>Model</w:t>
      </w:r>
      <w:r>
        <w:rPr>
          <w:color w:val="1F1F1F"/>
          <w:spacing w:val="4"/>
          <w:sz w:val="20"/>
        </w:rPr>
        <w:t xml:space="preserve"> </w:t>
      </w:r>
      <w:r>
        <w:rPr>
          <w:color w:val="1F1F1F"/>
          <w:sz w:val="20"/>
        </w:rPr>
        <w:t>Cards:</w:t>
      </w:r>
      <w:r>
        <w:rPr>
          <w:color w:val="1F1F1F"/>
          <w:spacing w:val="4"/>
          <w:sz w:val="20"/>
        </w:rPr>
        <w:t xml:space="preserve"> </w:t>
      </w:r>
      <w:r>
        <w:fldChar w:fldCharType="begin"/>
      </w:r>
      <w:r>
        <w:instrText xml:space="preserve"> HYPERLINK "https://modelcards.withgoogle.com/model-reports" \h </w:instrText>
      </w:r>
      <w:r>
        <w:fldChar w:fldCharType="separate"/>
      </w:r>
      <w:r>
        <w:rPr>
          <w:color w:val="1154CC"/>
          <w:sz w:val="20"/>
          <w:u w:val="single" w:color="1154CC"/>
        </w:rPr>
        <w:t>https://modelcards.withgoogle.com/model-</w:t>
      </w:r>
      <w:r>
        <w:rPr>
          <w:color w:val="1154CC"/>
          <w:spacing w:val="-2"/>
          <w:sz w:val="20"/>
          <w:u w:val="single" w:color="1154CC"/>
        </w:rPr>
        <w:t>reports</w:t>
      </w:r>
      <w:r>
        <w:rPr>
          <w:color w:val="1154CC"/>
          <w:spacing w:val="-2"/>
          <w:sz w:val="20"/>
          <w:u w:val="single" w:color="1154CC"/>
        </w:rPr>
        <w:fldChar w:fldCharType="end"/>
      </w:r>
    </w:p>
    <w:p w14:paraId="56327AF1">
      <w:pPr>
        <w:pStyle w:val="42"/>
        <w:numPr>
          <w:ilvl w:val="0"/>
          <w:numId w:val="7"/>
        </w:numPr>
        <w:tabs>
          <w:tab w:val="left" w:pos="819"/>
          <w:tab w:val="left" w:pos="820"/>
        </w:tabs>
        <w:spacing w:before="74" w:line="360" w:lineRule="auto"/>
        <w:rPr>
          <w:color w:val="111A25"/>
          <w:sz w:val="20"/>
        </w:rPr>
      </w:pPr>
      <w:r>
        <w:rPr>
          <w:color w:val="111A25"/>
          <w:sz w:val="20"/>
        </w:rPr>
        <w:t>Meta,</w:t>
      </w:r>
      <w:r>
        <w:rPr>
          <w:color w:val="111A25"/>
          <w:spacing w:val="-8"/>
          <w:sz w:val="20"/>
        </w:rPr>
        <w:t xml:space="preserve"> </w:t>
      </w:r>
      <w:r>
        <w:rPr>
          <w:color w:val="111A25"/>
          <w:sz w:val="20"/>
        </w:rPr>
        <w:t>Model</w:t>
      </w:r>
      <w:r>
        <w:rPr>
          <w:color w:val="111A25"/>
          <w:spacing w:val="-7"/>
          <w:sz w:val="20"/>
        </w:rPr>
        <w:t xml:space="preserve"> </w:t>
      </w:r>
      <w:r>
        <w:rPr>
          <w:color w:val="111A25"/>
          <w:sz w:val="20"/>
        </w:rPr>
        <w:t>Cards</w:t>
      </w:r>
      <w:r>
        <w:rPr>
          <w:color w:val="111A25"/>
          <w:spacing w:val="-8"/>
          <w:sz w:val="20"/>
        </w:rPr>
        <w:t xml:space="preserve"> </w:t>
      </w:r>
      <w:r>
        <w:rPr>
          <w:color w:val="111A25"/>
          <w:sz w:val="20"/>
        </w:rPr>
        <w:t>&amp;</w:t>
      </w:r>
      <w:r>
        <w:rPr>
          <w:color w:val="111A25"/>
          <w:spacing w:val="-8"/>
          <w:sz w:val="20"/>
        </w:rPr>
        <w:t xml:space="preserve"> </w:t>
      </w:r>
      <w:r>
        <w:rPr>
          <w:color w:val="111A25"/>
          <w:sz w:val="20"/>
        </w:rPr>
        <w:t>Prompt</w:t>
      </w:r>
      <w:r>
        <w:rPr>
          <w:color w:val="111A25"/>
          <w:spacing w:val="-8"/>
          <w:sz w:val="20"/>
        </w:rPr>
        <w:t xml:space="preserve"> </w:t>
      </w:r>
      <w:r>
        <w:rPr>
          <w:color w:val="111A25"/>
          <w:spacing w:val="-2"/>
          <w:sz w:val="20"/>
        </w:rPr>
        <w:t>formats</w:t>
      </w:r>
    </w:p>
    <w:p w14:paraId="69A359CC">
      <w:pPr>
        <w:spacing w:before="74" w:line="360" w:lineRule="auto"/>
        <w:ind w:left="820"/>
        <w:rPr>
          <w:sz w:val="19"/>
        </w:rPr>
      </w:pPr>
      <w:r>
        <w:fldChar w:fldCharType="begin"/>
      </w:r>
      <w:r>
        <w:instrText xml:space="preserve"> HYPERLINK "https://llama.meta.com/docs/model-cards-and-prompt-formats/" \l "model-cards-%26-prompt-formats" \h </w:instrText>
      </w:r>
      <w:r>
        <w:fldChar w:fldCharType="separate"/>
      </w:r>
      <w:r>
        <w:rPr>
          <w:color w:val="1154CC"/>
          <w:spacing w:val="-2"/>
          <w:w w:val="105"/>
          <w:sz w:val="19"/>
          <w:u w:val="single" w:color="1154CC"/>
        </w:rPr>
        <w:t>https://llama.meta.com/docs/model-cards-and-prompt-formats/#model-cards-&amp;-prompt-formats</w:t>
      </w:r>
      <w:r>
        <w:rPr>
          <w:color w:val="1154CC"/>
          <w:spacing w:val="-2"/>
          <w:w w:val="105"/>
          <w:sz w:val="19"/>
          <w:u w:val="single" w:color="1154CC"/>
        </w:rPr>
        <w:fldChar w:fldCharType="end"/>
      </w:r>
    </w:p>
    <w:p w14:paraId="3AB8D6AE">
      <w:pPr>
        <w:pStyle w:val="42"/>
        <w:numPr>
          <w:ilvl w:val="0"/>
          <w:numId w:val="7"/>
        </w:numPr>
        <w:tabs>
          <w:tab w:val="left" w:pos="819"/>
          <w:tab w:val="left" w:pos="820"/>
        </w:tabs>
        <w:spacing w:before="71" w:line="360" w:lineRule="auto"/>
        <w:ind w:right="719"/>
        <w:rPr>
          <w:color w:val="1F1F1F"/>
          <w:sz w:val="20"/>
        </w:rPr>
      </w:pPr>
      <w:r>
        <w:rPr>
          <w:color w:val="1F1F1F"/>
          <w:sz w:val="20"/>
        </w:rPr>
        <w:t>WWT</w:t>
      </w:r>
      <w:r>
        <w:rPr>
          <w:color w:val="1F1F1F"/>
          <w:spacing w:val="-14"/>
          <w:sz w:val="20"/>
        </w:rPr>
        <w:t xml:space="preserve"> </w:t>
      </w:r>
      <w:r>
        <w:rPr>
          <w:color w:val="1F1F1F"/>
          <w:sz w:val="20"/>
        </w:rPr>
        <w:t>CISO</w:t>
      </w:r>
      <w:r>
        <w:rPr>
          <w:color w:val="1F1F1F"/>
          <w:spacing w:val="-14"/>
          <w:sz w:val="20"/>
        </w:rPr>
        <w:t xml:space="preserve"> </w:t>
      </w:r>
      <w:r>
        <w:rPr>
          <w:color w:val="1F1F1F"/>
          <w:sz w:val="20"/>
        </w:rPr>
        <w:t>2024:</w:t>
      </w:r>
      <w:r>
        <w:rPr>
          <w:color w:val="1F1F1F"/>
          <w:spacing w:val="-14"/>
          <w:sz w:val="20"/>
        </w:rPr>
        <w:t xml:space="preserve"> </w:t>
      </w:r>
      <w:r>
        <w:rPr>
          <w:color w:val="1F1F1F"/>
          <w:sz w:val="20"/>
        </w:rPr>
        <w:t>Secure</w:t>
      </w:r>
      <w:r>
        <w:rPr>
          <w:color w:val="1F1F1F"/>
          <w:spacing w:val="-14"/>
          <w:sz w:val="20"/>
        </w:rPr>
        <w:t xml:space="preserve"> </w:t>
      </w:r>
      <w:r>
        <w:rPr>
          <w:color w:val="1F1F1F"/>
          <w:sz w:val="20"/>
        </w:rPr>
        <w:t>Your</w:t>
      </w:r>
      <w:r>
        <w:rPr>
          <w:color w:val="1F1F1F"/>
          <w:spacing w:val="-14"/>
          <w:sz w:val="20"/>
        </w:rPr>
        <w:t xml:space="preserve"> </w:t>
      </w:r>
      <w:r>
        <w:rPr>
          <w:color w:val="1F1F1F"/>
          <w:sz w:val="20"/>
        </w:rPr>
        <w:t>Future:</w:t>
      </w:r>
      <w:r>
        <w:rPr>
          <w:color w:val="1F1F1F"/>
          <w:spacing w:val="-14"/>
          <w:sz w:val="20"/>
        </w:rPr>
        <w:t xml:space="preserve"> </w:t>
      </w:r>
      <w:r>
        <w:rPr>
          <w:color w:val="1F1F1F"/>
          <w:sz w:val="20"/>
        </w:rPr>
        <w:t>A</w:t>
      </w:r>
      <w:r>
        <w:rPr>
          <w:color w:val="1F1F1F"/>
          <w:spacing w:val="-14"/>
          <w:sz w:val="20"/>
        </w:rPr>
        <w:t xml:space="preserve"> </w:t>
      </w:r>
      <w:r>
        <w:rPr>
          <w:color w:val="1F1F1F"/>
          <w:sz w:val="20"/>
        </w:rPr>
        <w:t>CISO's</w:t>
      </w:r>
      <w:r>
        <w:rPr>
          <w:color w:val="1F1F1F"/>
          <w:spacing w:val="-14"/>
          <w:sz w:val="20"/>
        </w:rPr>
        <w:t xml:space="preserve"> </w:t>
      </w:r>
      <w:r>
        <w:rPr>
          <w:color w:val="1F1F1F"/>
          <w:sz w:val="20"/>
        </w:rPr>
        <w:t>Guide</w:t>
      </w:r>
      <w:r>
        <w:rPr>
          <w:color w:val="1F1F1F"/>
          <w:spacing w:val="-14"/>
          <w:sz w:val="20"/>
        </w:rPr>
        <w:t xml:space="preserve"> </w:t>
      </w:r>
      <w:r>
        <w:rPr>
          <w:color w:val="1F1F1F"/>
          <w:sz w:val="20"/>
        </w:rPr>
        <w:t>to</w:t>
      </w:r>
      <w:r>
        <w:rPr>
          <w:color w:val="1F1F1F"/>
          <w:spacing w:val="-13"/>
          <w:sz w:val="20"/>
        </w:rPr>
        <w:t xml:space="preserve"> </w:t>
      </w:r>
      <w:r>
        <w:rPr>
          <w:color w:val="1F1F1F"/>
          <w:sz w:val="20"/>
        </w:rPr>
        <w:t>AI,</w:t>
      </w:r>
      <w:r>
        <w:rPr>
          <w:color w:val="1F1F1F"/>
          <w:spacing w:val="-14"/>
          <w:sz w:val="20"/>
        </w:rPr>
        <w:t xml:space="preserve"> </w:t>
      </w:r>
      <w:r>
        <w:rPr>
          <w:color w:val="1F1F1F"/>
          <w:sz w:val="20"/>
        </w:rPr>
        <w:t>World</w:t>
      </w:r>
      <w:r>
        <w:rPr>
          <w:color w:val="1F1F1F"/>
          <w:spacing w:val="-14"/>
          <w:sz w:val="20"/>
        </w:rPr>
        <w:t xml:space="preserve"> </w:t>
      </w:r>
      <w:r>
        <w:rPr>
          <w:color w:val="1F1F1F"/>
          <w:sz w:val="20"/>
        </w:rPr>
        <w:t>Wide</w:t>
      </w:r>
      <w:r>
        <w:rPr>
          <w:color w:val="1F1F1F"/>
          <w:spacing w:val="-14"/>
          <w:sz w:val="20"/>
        </w:rPr>
        <w:t xml:space="preserve"> </w:t>
      </w:r>
      <w:r>
        <w:rPr>
          <w:color w:val="1F1F1F"/>
          <w:sz w:val="20"/>
        </w:rPr>
        <w:t>Technology,</w:t>
      </w:r>
      <w:r>
        <w:rPr>
          <w:color w:val="1F1F1F"/>
          <w:spacing w:val="-14"/>
          <w:sz w:val="20"/>
        </w:rPr>
        <w:t xml:space="preserve"> </w:t>
      </w:r>
      <w:r>
        <w:rPr>
          <w:color w:val="1F1F1F"/>
          <w:sz w:val="20"/>
        </w:rPr>
        <w:t xml:space="preserve">2024, </w:t>
      </w:r>
      <w:r>
        <w:fldChar w:fldCharType="begin"/>
      </w:r>
      <w:r>
        <w:instrText xml:space="preserve"> HYPERLINK "https://www.wwt.com/wwt-research/cisos-guide-to-ai" \h </w:instrText>
      </w:r>
      <w:r>
        <w:fldChar w:fldCharType="separate"/>
      </w:r>
      <w:r>
        <w:rPr>
          <w:color w:val="1154CC"/>
          <w:spacing w:val="-2"/>
          <w:w w:val="105"/>
          <w:sz w:val="20"/>
          <w:u w:val="single" w:color="1154CC"/>
        </w:rPr>
        <w:t>https://www.wwt.com/wwt-research/cisos-guide-to-ai</w:t>
      </w:r>
      <w:r>
        <w:rPr>
          <w:color w:val="1154CC"/>
          <w:spacing w:val="-2"/>
          <w:w w:val="105"/>
          <w:sz w:val="20"/>
          <w:u w:val="single" w:color="1154CC"/>
        </w:rPr>
        <w:fldChar w:fldCharType="end"/>
      </w:r>
    </w:p>
    <w:p w14:paraId="776866F5">
      <w:pPr>
        <w:pStyle w:val="42"/>
        <w:numPr>
          <w:ilvl w:val="0"/>
          <w:numId w:val="7"/>
        </w:numPr>
        <w:tabs>
          <w:tab w:val="left" w:pos="819"/>
          <w:tab w:val="left" w:pos="820"/>
        </w:tabs>
        <w:spacing w:before="2" w:line="360" w:lineRule="auto"/>
        <w:ind w:right="882"/>
      </w:pPr>
      <w:r>
        <w:rPr>
          <w:color w:val="1F1F1F"/>
          <w:sz w:val="20"/>
        </w:rPr>
        <w:t>CNBC</w:t>
      </w:r>
      <w:r>
        <w:rPr>
          <w:color w:val="1F1F1F"/>
          <w:spacing w:val="-10"/>
          <w:sz w:val="20"/>
        </w:rPr>
        <w:t xml:space="preserve"> </w:t>
      </w:r>
      <w:r>
        <w:rPr>
          <w:color w:val="1F1F1F"/>
          <w:sz w:val="20"/>
        </w:rPr>
        <w:t>2024:</w:t>
      </w:r>
      <w:r>
        <w:rPr>
          <w:color w:val="1F1F1F"/>
          <w:spacing w:val="-9"/>
          <w:sz w:val="20"/>
        </w:rPr>
        <w:t xml:space="preserve"> </w:t>
      </w:r>
      <w:r>
        <w:rPr>
          <w:color w:val="1F1F1F"/>
          <w:sz w:val="20"/>
        </w:rPr>
        <w:t>The</w:t>
      </w:r>
      <w:r>
        <w:rPr>
          <w:color w:val="1F1F1F"/>
          <w:spacing w:val="-10"/>
          <w:sz w:val="20"/>
        </w:rPr>
        <w:t xml:space="preserve"> </w:t>
      </w:r>
      <w:r>
        <w:rPr>
          <w:color w:val="1F1F1F"/>
          <w:sz w:val="20"/>
        </w:rPr>
        <w:t>biggest</w:t>
      </w:r>
      <w:r>
        <w:rPr>
          <w:color w:val="1F1F1F"/>
          <w:spacing w:val="-10"/>
          <w:sz w:val="20"/>
        </w:rPr>
        <w:t xml:space="preserve"> </w:t>
      </w:r>
      <w:r>
        <w:rPr>
          <w:color w:val="1F1F1F"/>
          <w:sz w:val="20"/>
        </w:rPr>
        <w:t>risk</w:t>
      </w:r>
      <w:r>
        <w:rPr>
          <w:color w:val="1F1F1F"/>
          <w:spacing w:val="-10"/>
          <w:sz w:val="20"/>
        </w:rPr>
        <w:t xml:space="preserve"> </w:t>
      </w:r>
      <w:r>
        <w:rPr>
          <w:color w:val="1F1F1F"/>
          <w:sz w:val="20"/>
        </w:rPr>
        <w:t>corporations</w:t>
      </w:r>
      <w:r>
        <w:rPr>
          <w:color w:val="1F1F1F"/>
          <w:spacing w:val="-10"/>
          <w:sz w:val="20"/>
        </w:rPr>
        <w:t xml:space="preserve"> </w:t>
      </w:r>
      <w:r>
        <w:rPr>
          <w:color w:val="1F1F1F"/>
          <w:sz w:val="20"/>
        </w:rPr>
        <w:t>see</w:t>
      </w:r>
      <w:r>
        <w:rPr>
          <w:color w:val="1F1F1F"/>
          <w:spacing w:val="-10"/>
          <w:sz w:val="20"/>
        </w:rPr>
        <w:t xml:space="preserve"> </w:t>
      </w:r>
      <w:r>
        <w:rPr>
          <w:color w:val="1F1F1F"/>
          <w:sz w:val="20"/>
        </w:rPr>
        <w:t>in</w:t>
      </w:r>
      <w:r>
        <w:rPr>
          <w:color w:val="1F1F1F"/>
          <w:spacing w:val="-10"/>
          <w:sz w:val="20"/>
        </w:rPr>
        <w:t xml:space="preserve"> </w:t>
      </w:r>
      <w:r>
        <w:rPr>
          <w:color w:val="1F1F1F"/>
          <w:sz w:val="20"/>
        </w:rPr>
        <w:t>gen</w:t>
      </w:r>
      <w:r>
        <w:rPr>
          <w:color w:val="1F1F1F"/>
          <w:spacing w:val="-10"/>
          <w:sz w:val="20"/>
        </w:rPr>
        <w:t xml:space="preserve"> </w:t>
      </w:r>
      <w:r>
        <w:rPr>
          <w:color w:val="1F1F1F"/>
          <w:sz w:val="20"/>
        </w:rPr>
        <w:t>AI</w:t>
      </w:r>
      <w:r>
        <w:rPr>
          <w:color w:val="1F1F1F"/>
          <w:spacing w:val="-9"/>
          <w:sz w:val="20"/>
        </w:rPr>
        <w:t xml:space="preserve"> </w:t>
      </w:r>
      <w:r>
        <w:rPr>
          <w:color w:val="1F1F1F"/>
          <w:sz w:val="20"/>
        </w:rPr>
        <w:t>usage</w:t>
      </w:r>
      <w:r>
        <w:rPr>
          <w:color w:val="1F1F1F"/>
          <w:spacing w:val="-10"/>
          <w:sz w:val="20"/>
        </w:rPr>
        <w:t xml:space="preserve"> </w:t>
      </w:r>
      <w:r>
        <w:rPr>
          <w:color w:val="1F1F1F"/>
          <w:sz w:val="20"/>
        </w:rPr>
        <w:t>isn't</w:t>
      </w:r>
      <w:r>
        <w:rPr>
          <w:color w:val="1F1F1F"/>
          <w:spacing w:val="-10"/>
          <w:sz w:val="20"/>
        </w:rPr>
        <w:t xml:space="preserve"> </w:t>
      </w:r>
      <w:r>
        <w:rPr>
          <w:color w:val="1F1F1F"/>
          <w:sz w:val="20"/>
        </w:rPr>
        <w:t>hallucinations,</w:t>
      </w:r>
      <w:r>
        <w:rPr>
          <w:color w:val="1F1F1F"/>
          <w:spacing w:val="-9"/>
          <w:sz w:val="20"/>
        </w:rPr>
        <w:t xml:space="preserve"> </w:t>
      </w:r>
      <w:r>
        <w:rPr>
          <w:color w:val="1F1F1F"/>
          <w:sz w:val="20"/>
        </w:rPr>
        <w:t xml:space="preserve">CNBC, </w:t>
      </w:r>
      <w:r>
        <w:rPr>
          <w:color w:val="1F1F1F"/>
          <w:spacing w:val="-2"/>
          <w:sz w:val="20"/>
        </w:rPr>
        <w:t>2024-05-</w:t>
      </w:r>
      <w:r>
        <w:rPr>
          <w:color w:val="1F1F1F"/>
          <w:spacing w:val="-2"/>
          <w:w w:val="70"/>
          <w:sz w:val="20"/>
        </w:rPr>
        <w:t>1</w:t>
      </w:r>
      <w:r>
        <w:rPr>
          <w:color w:val="1F1F1F"/>
          <w:spacing w:val="-2"/>
          <w:w w:val="126"/>
          <w:sz w:val="20"/>
        </w:rPr>
        <w:t>6</w:t>
      </w:r>
      <w:r>
        <w:rPr>
          <w:color w:val="1F1F1F"/>
          <w:spacing w:val="-2"/>
          <w:w w:val="104"/>
          <w:sz w:val="20"/>
        </w:rPr>
        <w:t>,</w:t>
      </w:r>
      <w:r>
        <w:rPr>
          <w:rFonts w:ascii="Arial" w:hAnsi="Arial" w:eastAsia="Arial" w:cs="Arial"/>
          <w:color w:val="1154CC"/>
          <w:sz w:val="20"/>
          <w:szCs w:val="22"/>
          <w:u w:val="single" w:color="1154CC"/>
          <w:lang w:val="en-US" w:eastAsia="en-US" w:bidi="ar-SA"/>
        </w:rPr>
        <w:fldChar w:fldCharType="begin"/>
      </w:r>
      <w:r>
        <w:rPr>
          <w:rFonts w:ascii="Arial" w:hAnsi="Arial" w:eastAsia="Arial" w:cs="Arial"/>
          <w:color w:val="1154CC"/>
          <w:sz w:val="20"/>
          <w:szCs w:val="22"/>
          <w:u w:val="single" w:color="1154CC"/>
          <w:lang w:val="en-US" w:eastAsia="en-US" w:bidi="ar-SA"/>
        </w:rPr>
        <w:instrText xml:space="preserve"> HYPERLINK "https://www.cnbc.com/amp/2024/05/16/the-no-1-risk-companies-see-in-gen-ai-usage-isnt-hallucinations.html" \h </w:instrText>
      </w:r>
      <w:r>
        <w:rPr>
          <w:rFonts w:ascii="Arial" w:hAnsi="Arial" w:eastAsia="Arial" w:cs="Arial"/>
          <w:color w:val="1154CC"/>
          <w:sz w:val="20"/>
          <w:szCs w:val="22"/>
          <w:u w:val="single" w:color="1154CC"/>
          <w:lang w:val="en-US" w:eastAsia="en-US" w:bidi="ar-SA"/>
        </w:rPr>
        <w:fldChar w:fldCharType="separate"/>
      </w:r>
      <w:r>
        <w:rPr>
          <w:rFonts w:ascii="Arial" w:hAnsi="Arial" w:eastAsia="Arial" w:cs="Arial"/>
          <w:color w:val="1154CC"/>
          <w:sz w:val="20"/>
          <w:szCs w:val="22"/>
          <w:u w:val="single" w:color="1154CC"/>
          <w:lang w:val="en-US" w:eastAsia="en-US" w:bidi="ar-SA"/>
        </w:rPr>
        <w:t>https://www.cnbc.com/amp/2024/05/16/the-no-1-risk-companies-see-in-gen-ai-usage-isnt-hal</w:t>
      </w:r>
      <w:r>
        <w:rPr>
          <w:rFonts w:ascii="Arial" w:hAnsi="Arial" w:eastAsia="Arial" w:cs="Arial"/>
          <w:color w:val="1154CC"/>
          <w:sz w:val="20"/>
          <w:szCs w:val="22"/>
          <w:u w:val="single" w:color="1154CC"/>
          <w:lang w:val="en-US" w:eastAsia="en-US" w:bidi="ar-SA"/>
        </w:rPr>
        <w:fldChar w:fldCharType="end"/>
      </w:r>
      <w:r>
        <w:rPr>
          <w:rFonts w:ascii="Arial" w:hAnsi="Arial" w:eastAsia="Arial" w:cs="Arial"/>
          <w:color w:val="1154CC"/>
          <w:sz w:val="20"/>
          <w:szCs w:val="22"/>
          <w:u w:val="single" w:color="1154CC"/>
          <w:lang w:val="en-US" w:eastAsia="en-US" w:bidi="ar-SA"/>
        </w:rPr>
        <w:t xml:space="preserve"> </w:t>
      </w:r>
      <w:r>
        <w:rPr>
          <w:rFonts w:ascii="Arial" w:hAnsi="Arial" w:eastAsia="Arial" w:cs="Arial"/>
          <w:color w:val="1154CC"/>
          <w:sz w:val="20"/>
          <w:szCs w:val="22"/>
          <w:u w:val="single" w:color="1154CC"/>
          <w:lang w:val="en-US" w:eastAsia="en-US" w:bidi="ar-SA"/>
        </w:rPr>
        <w:fldChar w:fldCharType="begin"/>
      </w:r>
      <w:r>
        <w:rPr>
          <w:rFonts w:ascii="Arial" w:hAnsi="Arial" w:eastAsia="Arial" w:cs="Arial"/>
          <w:color w:val="1154CC"/>
          <w:sz w:val="20"/>
          <w:szCs w:val="22"/>
          <w:u w:val="single" w:color="1154CC"/>
          <w:lang w:val="en-US" w:eastAsia="en-US" w:bidi="ar-SA"/>
        </w:rPr>
        <w:instrText xml:space="preserve"> HYPERLINK "https://www.cnbc.com/amp/2024/05/16/the-no-1-risk-companies-see-in-gen-ai-usage-isnt-hallucinations.html" \h </w:instrText>
      </w:r>
      <w:r>
        <w:rPr>
          <w:rFonts w:ascii="Arial" w:hAnsi="Arial" w:eastAsia="Arial" w:cs="Arial"/>
          <w:color w:val="1154CC"/>
          <w:sz w:val="20"/>
          <w:szCs w:val="22"/>
          <w:u w:val="single" w:color="1154CC"/>
          <w:lang w:val="en-US" w:eastAsia="en-US" w:bidi="ar-SA"/>
        </w:rPr>
        <w:fldChar w:fldCharType="separate"/>
      </w:r>
      <w:r>
        <w:rPr>
          <w:rFonts w:ascii="Arial" w:hAnsi="Arial" w:eastAsia="Arial" w:cs="Arial"/>
          <w:color w:val="1154CC"/>
          <w:sz w:val="20"/>
          <w:szCs w:val="22"/>
          <w:u w:val="single" w:color="1154CC"/>
          <w:lang w:val="en-US" w:eastAsia="en-US" w:bidi="ar-SA"/>
        </w:rPr>
        <w:t>lucinations.html</w:t>
      </w:r>
      <w:r>
        <w:rPr>
          <w:rFonts w:ascii="Arial" w:hAnsi="Arial" w:eastAsia="Arial" w:cs="Arial"/>
          <w:color w:val="1154CC"/>
          <w:sz w:val="20"/>
          <w:szCs w:val="22"/>
          <w:u w:val="single" w:color="1154CC"/>
          <w:lang w:val="en-US" w:eastAsia="en-US" w:bidi="ar-SA"/>
        </w:rPr>
        <w:fldChar w:fldCharType="end"/>
      </w:r>
    </w:p>
    <w:p w14:paraId="7B42B325">
      <w:pPr>
        <w:pStyle w:val="42"/>
        <w:numPr>
          <w:ilvl w:val="0"/>
          <w:numId w:val="7"/>
        </w:numPr>
        <w:tabs>
          <w:tab w:val="left" w:pos="819"/>
          <w:tab w:val="left" w:pos="820"/>
        </w:tabs>
        <w:spacing w:before="1" w:line="360" w:lineRule="auto"/>
        <w:ind w:right="177"/>
        <w:rPr>
          <w:color w:val="1F1F1F"/>
          <w:sz w:val="20"/>
        </w:rPr>
      </w:pPr>
      <w:r>
        <w:rPr>
          <w:color w:val="1F1F1F"/>
          <w:sz w:val="20"/>
        </w:rPr>
        <w:t xml:space="preserve">GRC-based Model Risk Management Technology Solutions: A tech-enabled service, </w:t>
      </w:r>
      <w:r>
        <w:fldChar w:fldCharType="begin"/>
      </w:r>
      <w:r>
        <w:instrText xml:space="preserve"> HYPERLINK "https://www.pwc.com/us/en/industries/financial-services/regulatory-services/model-risk-management-technology-solutions.html" \h </w:instrText>
      </w:r>
      <w:r>
        <w:fldChar w:fldCharType="separate"/>
      </w:r>
      <w:r>
        <w:rPr>
          <w:color w:val="1154CC"/>
          <w:spacing w:val="-2"/>
          <w:w w:val="105"/>
          <w:sz w:val="20"/>
          <w:u w:val="single" w:color="1154CC"/>
        </w:rPr>
        <w:t>https://www.pwc.com/us/en/industries/financial-services/regulatory-services/model-risk-manag</w:t>
      </w:r>
      <w:r>
        <w:rPr>
          <w:color w:val="1154CC"/>
          <w:spacing w:val="-2"/>
          <w:w w:val="105"/>
          <w:sz w:val="20"/>
          <w:u w:val="single" w:color="1154CC"/>
        </w:rPr>
        <w:fldChar w:fldCharType="end"/>
      </w:r>
      <w:r>
        <w:rPr>
          <w:color w:val="1154CC"/>
          <w:spacing w:val="-2"/>
          <w:w w:val="105"/>
          <w:sz w:val="20"/>
        </w:rPr>
        <w:t xml:space="preserve"> </w:t>
      </w:r>
      <w:r>
        <w:fldChar w:fldCharType="begin"/>
      </w:r>
      <w:r>
        <w:instrText xml:space="preserve"> HYPERLINK "https://www.pwc.com/us/en/industries/financial-services/regulatory-services/model-risk-management-technology-solutions.html" \h </w:instrText>
      </w:r>
      <w:r>
        <w:fldChar w:fldCharType="separate"/>
      </w:r>
      <w:r>
        <w:rPr>
          <w:color w:val="1154CC"/>
          <w:spacing w:val="-2"/>
          <w:w w:val="105"/>
          <w:sz w:val="20"/>
          <w:u w:val="single" w:color="1154CC"/>
        </w:rPr>
        <w:t>ement-technology-solutions.html</w:t>
      </w:r>
      <w:r>
        <w:rPr>
          <w:color w:val="1154CC"/>
          <w:spacing w:val="-2"/>
          <w:w w:val="105"/>
          <w:sz w:val="20"/>
          <w:u w:val="single" w:color="1154CC"/>
        </w:rPr>
        <w:fldChar w:fldCharType="end"/>
      </w:r>
    </w:p>
    <w:p w14:paraId="48DF933E">
      <w:pPr>
        <w:pStyle w:val="42"/>
        <w:numPr>
          <w:ilvl w:val="0"/>
          <w:numId w:val="7"/>
        </w:numPr>
        <w:tabs>
          <w:tab w:val="left" w:pos="819"/>
          <w:tab w:val="left" w:pos="820"/>
        </w:tabs>
        <w:spacing w:before="2" w:line="360" w:lineRule="auto"/>
        <w:ind w:right="171"/>
        <w:rPr>
          <w:color w:val="1F1F1F"/>
          <w:sz w:val="20"/>
        </w:rPr>
      </w:pPr>
      <w:r>
        <w:rPr>
          <w:color w:val="1F1F1F"/>
          <w:sz w:val="20"/>
        </w:rPr>
        <w:t xml:space="preserve">Understand model risk management for AI and machine learning, </w:t>
      </w:r>
      <w:r>
        <w:fldChar w:fldCharType="begin"/>
      </w:r>
      <w:r>
        <w:instrText xml:space="preserve"> HYPERLINK "https://www.ey.com/en_us/insights/banking-capital-markets/understand-model-risk-management-for-ai-and-machine-learning" \h </w:instrText>
      </w:r>
      <w:r>
        <w:fldChar w:fldCharType="separate"/>
      </w:r>
      <w:r>
        <w:rPr>
          <w:color w:val="1154CC"/>
          <w:spacing w:val="-3"/>
          <w:w w:val="95"/>
          <w:sz w:val="20"/>
          <w:u w:val="single" w:color="1154CC"/>
        </w:rPr>
        <w:t>h</w:t>
      </w:r>
      <w:r>
        <w:rPr>
          <w:color w:val="1154CC"/>
          <w:spacing w:val="2"/>
          <w:w w:val="132"/>
          <w:sz w:val="20"/>
          <w:u w:val="single" w:color="1154CC"/>
        </w:rPr>
        <w:t>t</w:t>
      </w:r>
      <w:r>
        <w:rPr>
          <w:color w:val="1154CC"/>
          <w:w w:val="132"/>
          <w:sz w:val="20"/>
          <w:u w:val="single" w:color="1154CC"/>
        </w:rPr>
        <w:t>t</w:t>
      </w:r>
      <w:r>
        <w:rPr>
          <w:color w:val="1154CC"/>
          <w:sz w:val="20"/>
          <w:u w:val="single" w:color="1154CC"/>
        </w:rPr>
        <w:t>p</w:t>
      </w:r>
      <w:r>
        <w:rPr>
          <w:color w:val="1154CC"/>
          <w:w w:val="86"/>
          <w:sz w:val="20"/>
          <w:u w:val="single" w:color="1154CC"/>
        </w:rPr>
        <w:t>s</w:t>
      </w:r>
      <w:r>
        <w:rPr>
          <w:color w:val="1154CC"/>
          <w:w w:val="85"/>
          <w:sz w:val="20"/>
          <w:u w:val="single" w:color="1154CC"/>
        </w:rPr>
        <w:t>:</w:t>
      </w:r>
      <w:r>
        <w:rPr>
          <w:color w:val="1154CC"/>
          <w:spacing w:val="-33"/>
          <w:w w:val="163"/>
          <w:sz w:val="20"/>
          <w:u w:val="single" w:color="1154CC"/>
        </w:rPr>
        <w:t>/</w:t>
      </w:r>
      <w:r>
        <w:rPr>
          <w:color w:val="1154CC"/>
          <w:spacing w:val="-7"/>
          <w:w w:val="163"/>
          <w:sz w:val="20"/>
          <w:u w:val="single" w:color="1154CC"/>
        </w:rPr>
        <w:t>/</w:t>
      </w:r>
      <w:r>
        <w:rPr>
          <w:color w:val="1154CC"/>
          <w:spacing w:val="2"/>
          <w:w w:val="92"/>
          <w:sz w:val="20"/>
          <w:u w:val="single" w:color="1154CC"/>
        </w:rPr>
        <w:t>ww</w:t>
      </w:r>
      <w:r>
        <w:rPr>
          <w:color w:val="1154CC"/>
          <w:spacing w:val="-7"/>
          <w:w w:val="92"/>
          <w:sz w:val="20"/>
          <w:u w:val="single" w:color="1154CC"/>
        </w:rPr>
        <w:t>w</w:t>
      </w:r>
      <w:r>
        <w:rPr>
          <w:color w:val="1154CC"/>
          <w:spacing w:val="-5"/>
          <w:w w:val="85"/>
          <w:sz w:val="20"/>
          <w:u w:val="single" w:color="1154CC"/>
        </w:rPr>
        <w:t>.</w:t>
      </w:r>
      <w:r>
        <w:rPr>
          <w:color w:val="1154CC"/>
          <w:spacing w:val="-3"/>
          <w:w w:val="96"/>
          <w:sz w:val="20"/>
          <w:u w:val="single" w:color="1154CC"/>
        </w:rPr>
        <w:t>e</w:t>
      </w:r>
      <w:r>
        <w:rPr>
          <w:color w:val="1154CC"/>
          <w:spacing w:val="-13"/>
          <w:w w:val="95"/>
          <w:sz w:val="20"/>
          <w:u w:val="single" w:color="1154CC"/>
        </w:rPr>
        <w:t>y</w:t>
      </w:r>
      <w:r>
        <w:rPr>
          <w:color w:val="1154CC"/>
          <w:spacing w:val="-5"/>
          <w:w w:val="85"/>
          <w:sz w:val="20"/>
          <w:u w:val="single" w:color="1154CC"/>
        </w:rPr>
        <w:t>.</w:t>
      </w:r>
      <w:r>
        <w:rPr>
          <w:color w:val="1154CC"/>
          <w:spacing w:val="-3"/>
          <w:w w:val="97"/>
          <w:sz w:val="20"/>
          <w:u w:val="single" w:color="1154CC"/>
        </w:rPr>
        <w:t>c</w:t>
      </w:r>
      <w:r>
        <w:rPr>
          <w:color w:val="1154CC"/>
          <w:sz w:val="20"/>
          <w:u w:val="single" w:color="1154CC"/>
        </w:rPr>
        <w:t>o</w:t>
      </w:r>
      <w:r>
        <w:rPr>
          <w:color w:val="1154CC"/>
          <w:w w:val="97"/>
          <w:sz w:val="20"/>
          <w:u w:val="single" w:color="1154CC"/>
        </w:rPr>
        <w:t>m</w:t>
      </w:r>
      <w:r>
        <w:rPr>
          <w:color w:val="1154CC"/>
          <w:spacing w:val="-17"/>
          <w:w w:val="163"/>
          <w:sz w:val="20"/>
          <w:u w:val="single" w:color="1154CC"/>
        </w:rPr>
        <w:t>/</w:t>
      </w:r>
      <w:r>
        <w:rPr>
          <w:color w:val="1154CC"/>
          <w:w w:val="96"/>
          <w:sz w:val="20"/>
          <w:u w:val="single" w:color="1154CC"/>
        </w:rPr>
        <w:t>e</w:t>
      </w:r>
      <w:r>
        <w:rPr>
          <w:color w:val="1154CC"/>
          <w:w w:val="95"/>
          <w:sz w:val="20"/>
          <w:u w:val="single" w:color="1154CC"/>
        </w:rPr>
        <w:t>n</w:t>
      </w:r>
      <w:r>
        <w:rPr>
          <w:color w:val="1154CC"/>
          <w:w w:val="78"/>
          <w:sz w:val="20"/>
          <w:u w:val="single" w:color="1154CC"/>
        </w:rPr>
        <w:t>_</w:t>
      </w:r>
      <w:r>
        <w:rPr>
          <w:color w:val="1154CC"/>
          <w:w w:val="95"/>
          <w:sz w:val="20"/>
          <w:u w:val="single" w:color="1154CC"/>
        </w:rPr>
        <w:t>u</w:t>
      </w:r>
      <w:r>
        <w:rPr>
          <w:color w:val="1154CC"/>
          <w:spacing w:val="-2"/>
          <w:w w:val="86"/>
          <w:sz w:val="20"/>
          <w:u w:val="single" w:color="1154CC"/>
        </w:rPr>
        <w:t>s</w:t>
      </w:r>
      <w:r>
        <w:rPr>
          <w:color w:val="1154CC"/>
          <w:w w:val="163"/>
          <w:sz w:val="20"/>
          <w:u w:val="single" w:color="1154CC"/>
        </w:rPr>
        <w:t>/</w:t>
      </w:r>
      <w:r>
        <w:rPr>
          <w:color w:val="1154CC"/>
          <w:w w:val="95"/>
          <w:sz w:val="20"/>
          <w:u w:val="single" w:color="1154CC"/>
        </w:rPr>
        <w:t>in</w:t>
      </w:r>
      <w:r>
        <w:rPr>
          <w:color w:val="1154CC"/>
          <w:w w:val="86"/>
          <w:sz w:val="20"/>
          <w:u w:val="single" w:color="1154CC"/>
        </w:rPr>
        <w:t>s</w:t>
      </w:r>
      <w:r>
        <w:rPr>
          <w:color w:val="1154CC"/>
          <w:w w:val="95"/>
          <w:sz w:val="20"/>
          <w:u w:val="single" w:color="1154CC"/>
        </w:rPr>
        <w:t>i</w:t>
      </w:r>
      <w:r>
        <w:rPr>
          <w:color w:val="1154CC"/>
          <w:sz w:val="20"/>
          <w:u w:val="single" w:color="1154CC"/>
        </w:rPr>
        <w:t>g</w:t>
      </w:r>
      <w:r>
        <w:rPr>
          <w:color w:val="1154CC"/>
          <w:spacing w:val="-3"/>
          <w:w w:val="95"/>
          <w:sz w:val="20"/>
          <w:u w:val="single" w:color="1154CC"/>
        </w:rPr>
        <w:t>h</w:t>
      </w:r>
      <w:r>
        <w:rPr>
          <w:color w:val="1154CC"/>
          <w:spacing w:val="2"/>
          <w:w w:val="132"/>
          <w:sz w:val="20"/>
          <w:u w:val="single" w:color="1154CC"/>
        </w:rPr>
        <w:t>t</w:t>
      </w:r>
      <w:r>
        <w:rPr>
          <w:color w:val="1154CC"/>
          <w:spacing w:val="-2"/>
          <w:w w:val="86"/>
          <w:sz w:val="20"/>
          <w:u w:val="single" w:color="1154CC"/>
        </w:rPr>
        <w:t>s</w:t>
      </w:r>
      <w:r>
        <w:rPr>
          <w:color w:val="1154CC"/>
          <w:w w:val="163"/>
          <w:sz w:val="20"/>
          <w:u w:val="single" w:color="1154CC"/>
        </w:rPr>
        <w:t>/</w:t>
      </w:r>
      <w:r>
        <w:rPr>
          <w:color w:val="1154CC"/>
          <w:spacing w:val="1"/>
          <w:sz w:val="20"/>
          <w:u w:val="single" w:color="1154CC"/>
        </w:rPr>
        <w:t>b</w:t>
      </w:r>
      <w:r>
        <w:rPr>
          <w:color w:val="1154CC"/>
          <w:w w:val="90"/>
          <w:sz w:val="20"/>
          <w:u w:val="single" w:color="1154CC"/>
        </w:rPr>
        <w:t>a</w:t>
      </w:r>
      <w:r>
        <w:rPr>
          <w:color w:val="1154CC"/>
          <w:w w:val="95"/>
          <w:sz w:val="20"/>
          <w:u w:val="single" w:color="1154CC"/>
        </w:rPr>
        <w:t>n</w:t>
      </w:r>
      <w:r>
        <w:rPr>
          <w:color w:val="1154CC"/>
          <w:w w:val="93"/>
          <w:sz w:val="20"/>
          <w:u w:val="single" w:color="1154CC"/>
        </w:rPr>
        <w:t>k</w:t>
      </w:r>
      <w:r>
        <w:rPr>
          <w:color w:val="1154CC"/>
          <w:w w:val="95"/>
          <w:sz w:val="20"/>
          <w:u w:val="single" w:color="1154CC"/>
        </w:rPr>
        <w:t>in</w:t>
      </w:r>
      <w:r>
        <w:rPr>
          <w:color w:val="1154CC"/>
          <w:sz w:val="20"/>
          <w:u w:val="single" w:color="1154CC"/>
        </w:rPr>
        <w:t>g</w:t>
      </w:r>
      <w:r>
        <w:rPr>
          <w:color w:val="1154CC"/>
          <w:spacing w:val="2"/>
          <w:w w:val="132"/>
          <w:sz w:val="20"/>
          <w:u w:val="single" w:color="1154CC"/>
        </w:rPr>
        <w:t>-</w:t>
      </w:r>
      <w:r>
        <w:rPr>
          <w:color w:val="1154CC"/>
          <w:spacing w:val="-2"/>
          <w:w w:val="105"/>
          <w:sz w:val="20"/>
          <w:u w:val="single" w:color="1154CC"/>
        </w:rPr>
        <w:t>capital-markets/understand-model-risk-manageme</w:t>
      </w:r>
      <w:r>
        <w:rPr>
          <w:color w:val="1154CC"/>
          <w:spacing w:val="-2"/>
          <w:w w:val="105"/>
          <w:sz w:val="20"/>
          <w:u w:val="single" w:color="1154CC"/>
        </w:rPr>
        <w:fldChar w:fldCharType="end"/>
      </w:r>
      <w:r>
        <w:rPr>
          <w:color w:val="1154CC"/>
          <w:spacing w:val="-2"/>
          <w:w w:val="105"/>
          <w:sz w:val="20"/>
        </w:rPr>
        <w:t xml:space="preserve"> </w:t>
      </w:r>
      <w:r>
        <w:fldChar w:fldCharType="begin"/>
      </w:r>
      <w:r>
        <w:instrText xml:space="preserve"> HYPERLINK "https://www.ey.com/en_us/insights/banking-capital-markets/understand-model-risk-management-for-ai-and-machine-learning" \h </w:instrText>
      </w:r>
      <w:r>
        <w:fldChar w:fldCharType="separate"/>
      </w:r>
      <w:r>
        <w:rPr>
          <w:color w:val="1154CC"/>
          <w:spacing w:val="-2"/>
          <w:w w:val="110"/>
          <w:sz w:val="20"/>
          <w:u w:val="single" w:color="1154CC"/>
        </w:rPr>
        <w:t>nt-for-ai-and-machine-learning</w:t>
      </w:r>
      <w:r>
        <w:rPr>
          <w:color w:val="1154CC"/>
          <w:spacing w:val="-2"/>
          <w:w w:val="110"/>
          <w:sz w:val="20"/>
          <w:u w:val="single" w:color="1154CC"/>
        </w:rPr>
        <w:fldChar w:fldCharType="end"/>
      </w:r>
    </w:p>
    <w:p w14:paraId="442094A7">
      <w:pPr>
        <w:pStyle w:val="42"/>
        <w:numPr>
          <w:ilvl w:val="0"/>
          <w:numId w:val="7"/>
        </w:numPr>
        <w:tabs>
          <w:tab w:val="left" w:pos="819"/>
          <w:tab w:val="left" w:pos="820"/>
        </w:tabs>
        <w:spacing w:before="3" w:line="360" w:lineRule="auto"/>
        <w:ind w:right="1408"/>
        <w:rPr>
          <w:color w:val="1F1F1F"/>
          <w:sz w:val="20"/>
        </w:rPr>
      </w:pPr>
      <w:r>
        <w:rPr>
          <w:color w:val="1F1F1F"/>
          <w:spacing w:val="-2"/>
          <w:w w:val="105"/>
          <w:sz w:val="20"/>
        </w:rPr>
        <w:t>A</w:t>
      </w:r>
      <w:r>
        <w:rPr>
          <w:color w:val="1F1F1F"/>
          <w:spacing w:val="-13"/>
          <w:w w:val="105"/>
          <w:sz w:val="20"/>
        </w:rPr>
        <w:t xml:space="preserve"> </w:t>
      </w:r>
      <w:r>
        <w:rPr>
          <w:color w:val="1F1F1F"/>
          <w:spacing w:val="-2"/>
          <w:w w:val="105"/>
          <w:sz w:val="20"/>
        </w:rPr>
        <w:t>FAIR</w:t>
      </w:r>
      <w:r>
        <w:rPr>
          <w:color w:val="1F1F1F"/>
          <w:spacing w:val="-13"/>
          <w:w w:val="105"/>
          <w:sz w:val="20"/>
        </w:rPr>
        <w:t xml:space="preserve"> </w:t>
      </w:r>
      <w:r>
        <w:rPr>
          <w:color w:val="1F1F1F"/>
          <w:spacing w:val="-2"/>
          <w:w w:val="105"/>
          <w:sz w:val="20"/>
        </w:rPr>
        <w:t>Artificial</w:t>
      </w:r>
      <w:r>
        <w:rPr>
          <w:color w:val="1F1F1F"/>
          <w:spacing w:val="-12"/>
          <w:w w:val="105"/>
          <w:sz w:val="20"/>
        </w:rPr>
        <w:t xml:space="preserve"> </w:t>
      </w:r>
      <w:r>
        <w:rPr>
          <w:color w:val="1F1F1F"/>
          <w:spacing w:val="-2"/>
          <w:w w:val="105"/>
          <w:sz w:val="20"/>
        </w:rPr>
        <w:t>Intelligence</w:t>
      </w:r>
      <w:r>
        <w:rPr>
          <w:color w:val="1F1F1F"/>
          <w:spacing w:val="-13"/>
          <w:w w:val="105"/>
          <w:sz w:val="20"/>
        </w:rPr>
        <w:t xml:space="preserve"> </w:t>
      </w:r>
      <w:r>
        <w:rPr>
          <w:color w:val="1F1F1F"/>
          <w:spacing w:val="-2"/>
          <w:w w:val="105"/>
          <w:sz w:val="20"/>
        </w:rPr>
        <w:t>(AI)</w:t>
      </w:r>
      <w:r>
        <w:rPr>
          <w:color w:val="1F1F1F"/>
          <w:spacing w:val="-12"/>
          <w:w w:val="105"/>
          <w:sz w:val="20"/>
        </w:rPr>
        <w:t xml:space="preserve"> </w:t>
      </w:r>
      <w:r>
        <w:rPr>
          <w:color w:val="1F1F1F"/>
          <w:spacing w:val="-2"/>
          <w:w w:val="105"/>
          <w:sz w:val="20"/>
        </w:rPr>
        <w:t>Cyber</w:t>
      </w:r>
      <w:r>
        <w:rPr>
          <w:color w:val="1F1F1F"/>
          <w:spacing w:val="-13"/>
          <w:w w:val="105"/>
          <w:sz w:val="20"/>
        </w:rPr>
        <w:t xml:space="preserve"> </w:t>
      </w:r>
      <w:r>
        <w:rPr>
          <w:color w:val="1F1F1F"/>
          <w:spacing w:val="-2"/>
          <w:w w:val="105"/>
          <w:sz w:val="20"/>
        </w:rPr>
        <w:t>Risk</w:t>
      </w:r>
      <w:r>
        <w:rPr>
          <w:color w:val="1F1F1F"/>
          <w:spacing w:val="-13"/>
          <w:w w:val="105"/>
          <w:sz w:val="20"/>
        </w:rPr>
        <w:t xml:space="preserve"> </w:t>
      </w:r>
      <w:r>
        <w:rPr>
          <w:color w:val="1F1F1F"/>
          <w:spacing w:val="-2"/>
          <w:w w:val="105"/>
          <w:sz w:val="20"/>
        </w:rPr>
        <w:t xml:space="preserve">Playbook, </w:t>
      </w:r>
      <w:r>
        <w:fldChar w:fldCharType="begin"/>
      </w:r>
      <w:r>
        <w:instrText xml:space="preserve"> HYPERLINK "https://www.fairinstitute.org/blog/fair-artificial-intelligence-ai-cyber-risk-playbook" \h </w:instrText>
      </w:r>
      <w:r>
        <w:fldChar w:fldCharType="separate"/>
      </w:r>
      <w:r>
        <w:rPr>
          <w:color w:val="1154CC"/>
          <w:spacing w:val="-2"/>
          <w:w w:val="105"/>
          <w:sz w:val="20"/>
          <w:u w:val="single" w:color="1154CC"/>
        </w:rPr>
        <w:t>https://www.fairinstitute.org/blog/fair-artificial-intelligence-ai-cyber-risk-playbook</w:t>
      </w:r>
      <w:r>
        <w:rPr>
          <w:color w:val="1154CC"/>
          <w:spacing w:val="-2"/>
          <w:w w:val="105"/>
          <w:sz w:val="20"/>
          <w:u w:val="single" w:color="1154CC"/>
        </w:rPr>
        <w:fldChar w:fldCharType="end"/>
      </w:r>
    </w:p>
    <w:p w14:paraId="30F3B06C">
      <w:pPr>
        <w:spacing w:line="360" w:lineRule="auto"/>
        <w:rPr>
          <w:sz w:val="20"/>
        </w:rPr>
        <w:sectPr>
          <w:headerReference r:id="rId5" w:type="first"/>
          <w:footerReference r:id="rId8" w:type="first"/>
          <w:headerReference r:id="rId3" w:type="default"/>
          <w:footerReference r:id="rId6" w:type="default"/>
          <w:headerReference r:id="rId4" w:type="even"/>
          <w:footerReference r:id="rId7" w:type="even"/>
          <w:pgSz w:w="12240" w:h="15840"/>
          <w:pgMar w:top="1340" w:right="1300" w:bottom="1040" w:left="1340" w:header="0" w:footer="855" w:gutter="0"/>
          <w:cols w:space="720" w:num="1"/>
        </w:sectPr>
      </w:pPr>
    </w:p>
    <w:p w14:paraId="0FC3EC57">
      <w:pPr>
        <w:pStyle w:val="2"/>
        <w:keepNext/>
        <w:keepLines/>
        <w:pageBreakBefore w:val="0"/>
        <w:widowControl w:val="0"/>
        <w:kinsoku/>
        <w:wordWrap/>
        <w:overflowPunct/>
        <w:topLinePunct w:val="0"/>
        <w:autoSpaceDE/>
        <w:autoSpaceDN/>
        <w:bidi w:val="0"/>
        <w:adjustRightInd/>
        <w:snapToGrid/>
        <w:spacing w:before="300" w:after="300"/>
        <w:jc w:val="both"/>
        <w:textAlignment w:val="auto"/>
        <w:rPr>
          <w:rFonts w:hint="eastAsia" w:ascii="黑体" w:hAnsi="黑体" w:cs="黑体"/>
          <w:b/>
          <w:color w:val="auto"/>
          <w:kern w:val="44"/>
          <w:szCs w:val="36"/>
          <w:lang w:eastAsia="zh-CN"/>
        </w:rPr>
      </w:pPr>
      <w:bookmarkStart w:id="71" w:name="_Toc195018731"/>
      <w:r>
        <w:rPr>
          <w:rFonts w:hint="eastAsia" w:ascii="黑体" w:hAnsi="黑体" w:cs="黑体"/>
          <w:b/>
          <w:color w:val="auto"/>
          <w:kern w:val="44"/>
          <w:szCs w:val="36"/>
          <w:lang w:eastAsia="zh-CN"/>
        </w:rPr>
        <w:t>附录1:人工智能框架、法规和指南</w:t>
      </w:r>
      <w:bookmarkEnd w:id="71"/>
    </w:p>
    <w:p w14:paraId="6A4E758F">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本节列出了各种框架、法规和指导文件，这些文件有助于推动负责任的人工智能开发与实施。这些资源建立了最佳实践，概述了风险管理方法，并在人工智能的整个生命周期中促进道德考量。</w:t>
      </w:r>
    </w:p>
    <w:p w14:paraId="5F00D261">
      <w:pPr>
        <w:widowControl/>
        <w:shd w:val="clear" w:color="auto" w:fill="FFFFFF"/>
        <w:spacing w:line="360" w:lineRule="auto"/>
        <w:rPr>
          <w:rFonts w:ascii="Open Sans" w:hAnsi="Open Sans" w:eastAsia="Open Sans" w:cs="Open Sans"/>
          <w:b/>
          <w:bCs/>
          <w:color w:val="07061D"/>
          <w:spacing w:val="2"/>
          <w:szCs w:val="21"/>
          <w:lang w:eastAsia="zh-CN"/>
        </w:rPr>
      </w:pPr>
      <w:r>
        <w:rPr>
          <w:rFonts w:ascii="Open Sans" w:hAnsi="Open Sans" w:eastAsia="Open Sans" w:cs="Open Sans"/>
          <w:b/>
          <w:bCs/>
          <w:color w:val="07061D"/>
          <w:spacing w:val="2"/>
          <w:szCs w:val="21"/>
          <w:shd w:val="clear" w:color="auto" w:fill="FFFFFF"/>
          <w:lang w:eastAsia="zh-CN" w:bidi="ar"/>
        </w:rPr>
        <w:t>1. 美国国家标准与技术研究院(NIST)网络安全框架(CSF) v2.0</w:t>
      </w:r>
    </w:p>
    <w:p w14:paraId="3D93AE80">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定义：NIST网络安全框架(CSF)是一个自愿的、基于风险的框架，旨在指导组织改善其网络安全态势。它概述了五个核心功能：识别、保护、检测、响应和恢复。 </w:t>
      </w:r>
    </w:p>
    <w:p w14:paraId="659A477A">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与人工智能的相关性：尽管NIST CSF并非专为人工智能设计，但其原则可以适应于管理人工智能系统相关的网络安全风险。这些风险可能包括数据泄露、人工智能模型篡改以及人工智能赋能应用程序中的漏洞。 </w:t>
      </w:r>
    </w:p>
    <w:p w14:paraId="6AB5117F">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与模型风险管理（MRM）的关系：NIST CSF通过为人工智能模型中使用的底层基础架构和数据提供安全保障的基础，来补充模型风险管理（MRM）。人工智能中的有效风险管理需要强大的网络安全实践，而NIST CSF有助于建立这些实践。</w:t>
      </w:r>
    </w:p>
    <w:p w14:paraId="3F6D30D8">
      <w:pPr>
        <w:widowControl/>
        <w:shd w:val="clear" w:color="auto" w:fill="FFFFFF"/>
        <w:spacing w:line="360" w:lineRule="auto"/>
        <w:rPr>
          <w:rFonts w:ascii="Open Sans" w:hAnsi="Open Sans" w:eastAsia="Open Sans" w:cs="Open Sans"/>
          <w:b/>
          <w:bCs/>
          <w:color w:val="07061D"/>
          <w:spacing w:val="2"/>
          <w:szCs w:val="21"/>
          <w:lang w:eastAsia="zh-CN"/>
        </w:rPr>
      </w:pPr>
      <w:r>
        <w:rPr>
          <w:rFonts w:ascii="Open Sans" w:hAnsi="Open Sans" w:eastAsia="Open Sans" w:cs="Open Sans"/>
          <w:b/>
          <w:bCs/>
          <w:color w:val="07061D"/>
          <w:spacing w:val="2"/>
          <w:szCs w:val="21"/>
          <w:shd w:val="clear" w:color="auto" w:fill="FFFFFF"/>
          <w:lang w:eastAsia="zh-CN" w:bidi="ar"/>
        </w:rPr>
        <w:t>2. 美国国家标准与技术研究院（NIST）的人工智能风险管理框架(AI RMF)(提案)</w:t>
      </w:r>
    </w:p>
    <w:p w14:paraId="5AF7A409">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定义：人工智能风险管理框架（AI RMF）是NIST提出一个框架，专门设计用于管理人工智能系统相关的风险。该框架仍在开发中，但旨在提供一种全面的方法来识别、评估、减轻和监控人工智能风险。</w:t>
      </w:r>
    </w:p>
    <w:p w14:paraId="695CD7BE">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与人工智能的相关性：人工智能风险管理框架（AI RMF）解决了在人工智能开发、部署和使用中风险管理的挑战。它为组织提供了一个结构化的方法，以确保其人工智能系统是安全、可靠和可信赖的。 </w:t>
      </w:r>
    </w:p>
    <w:p w14:paraId="29CD7223">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与模型风险管理（MRM）的关系：一旦人工智能风险管理框架（AI RMF）最终确定，它可能会成为人工智能模型风险管理（AI MRM）实践的基石。该框架建立在现有风险管理框架（如NIST CSF）的基础上，并针对AI系统的特定需求进行了定制。</w:t>
      </w:r>
    </w:p>
    <w:p w14:paraId="49A06196">
      <w:pPr>
        <w:widowControl/>
        <w:shd w:val="clear" w:color="auto" w:fill="FFFFFF"/>
        <w:spacing w:line="360" w:lineRule="auto"/>
        <w:rPr>
          <w:rFonts w:ascii="Open Sans" w:hAnsi="Open Sans" w:eastAsia="Open Sans" w:cs="Open Sans"/>
          <w:b/>
          <w:bCs/>
          <w:color w:val="07061D"/>
          <w:spacing w:val="2"/>
          <w:szCs w:val="21"/>
          <w:lang w:eastAsia="zh-CN"/>
        </w:rPr>
      </w:pPr>
      <w:r>
        <w:rPr>
          <w:rFonts w:ascii="Open Sans" w:hAnsi="Open Sans" w:eastAsia="Open Sans" w:cs="Open Sans"/>
          <w:b/>
          <w:bCs/>
          <w:color w:val="07061D"/>
          <w:spacing w:val="2"/>
          <w:szCs w:val="21"/>
          <w:shd w:val="clear" w:color="auto" w:fill="FFFFFF"/>
          <w:lang w:eastAsia="zh-CN" w:bidi="ar"/>
        </w:rPr>
        <w:t>3. ISO 27001:2022信息安全、网络安全和隐私保护信息安全管理体系要求</w:t>
      </w:r>
    </w:p>
    <w:p w14:paraId="28CC8C2A">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定义：ISO 27001是国际信息安全管理体系（ISMS）标准。它概述了建立、实施、维护和持续改进ISMS以管理信息安全风险的要求。</w:t>
      </w:r>
    </w:p>
    <w:p w14:paraId="4A29E479">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与人工智能的相关性：与NIST CSF类似，ISO 27001为保护信息资产提供了基础，这对于依赖大型数据集的人工智能系统至关重要。通过实施ISO 27001控制措施，组织可以保护用于训练和运行人工智能模型的敏感数据。 </w:t>
      </w:r>
    </w:p>
    <w:p w14:paraId="442EDF28">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与模型风险管理（MRM）的关系：通过ISO 27001建立的强大国际信息安全管理体系（ISMS）有助于减轻模型风险管理（MRM）中的数据相关风险。安全的数据处理实践对于防止数据泄露、未经授权的访问和人工智能模型中数据的篡改至关重要。</w:t>
      </w:r>
    </w:p>
    <w:p w14:paraId="5533DC45">
      <w:pPr>
        <w:widowControl/>
        <w:shd w:val="clear" w:color="auto" w:fill="FFFFFF"/>
        <w:spacing w:line="360" w:lineRule="auto"/>
        <w:rPr>
          <w:rFonts w:ascii="Open Sans" w:hAnsi="Open Sans" w:eastAsia="Open Sans" w:cs="Open Sans"/>
          <w:b/>
          <w:bCs/>
          <w:color w:val="07061D"/>
          <w:spacing w:val="2"/>
          <w:szCs w:val="21"/>
        </w:rPr>
      </w:pPr>
      <w:r>
        <w:rPr>
          <w:rFonts w:ascii="Open Sans" w:hAnsi="Open Sans" w:eastAsia="Open Sans" w:cs="Open Sans"/>
          <w:b/>
          <w:bCs/>
          <w:color w:val="07061D"/>
          <w:spacing w:val="2"/>
          <w:szCs w:val="21"/>
          <w:shd w:val="clear" w:color="auto" w:fill="FFFFFF"/>
          <w:lang w:bidi="ar"/>
        </w:rPr>
        <w:t>4. ISO 42001:2023人工智能管理体系</w:t>
      </w:r>
    </w:p>
    <w:p w14:paraId="41961BA2">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定义：ISO 42001是一个相对较新的国际标准，旨在增强组织的韧性。它指导组织对破坏性事件进行识别、评估、理解、准备、响应以及从破坏性事件中恢复。 </w:t>
      </w:r>
    </w:p>
    <w:p w14:paraId="36AEE427">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与人工智能的相关性：人工智能系统可能容易受到硬件或软件故障、网络攻击或运营环境意外变化等引起的中断影响。ISO 42001帮助组织建立弹性，以抵御中断并确保人工智能系统的安全和可靠运行。</w:t>
      </w:r>
    </w:p>
    <w:p w14:paraId="6E737EE3">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与模型风险管理（MRM）的关系：通过弹性考虑纳入其中，ISO 42001通过确保框架能够适应可能影响人工智能系统的不可预见情况，进而加强模型风险管理（MRM）。</w:t>
      </w:r>
    </w:p>
    <w:p w14:paraId="5FD7B8AF">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5. 美国注册会计师协会(AICPA)的系统和组织控制SOC 2</w:t>
      </w:r>
    </w:p>
    <w:p w14:paraId="71D4F2E7">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定义：SOC 2是针对存储和处理客户数据的服务组织的一套审计程序。它专注于与安全性、可用性、完整性、保密性和隐私性相关的控制措施。</w:t>
      </w:r>
    </w:p>
    <w:p w14:paraId="11778640">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与人工智能的相关性：许多组织依赖基于云的人工智能服务。SOC 2报告确保这些服务提供商已实施适当的控制措施以保护客户数据。 </w:t>
      </w:r>
    </w:p>
    <w:p w14:paraId="31660251">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与模型风险管理（MRM）的关系：SOC 2报告通过为第三方人工智能服务提供商采取的数据安全控制措施提供独立验证，有助于模型风险管理（MRM）。这种独立验证有助于组织评估这些服务的可信度，并减轻与数据共享相关的风险。</w:t>
      </w:r>
    </w:p>
    <w:p w14:paraId="3173B8B1">
      <w:pPr>
        <w:widowControl/>
        <w:shd w:val="clear" w:color="auto" w:fill="FFFFFF"/>
        <w:spacing w:line="360" w:lineRule="auto"/>
        <w:rPr>
          <w:rFonts w:ascii="Open Sans" w:hAnsi="Open Sans" w:eastAsia="Open Sans" w:cs="Open Sans"/>
          <w:b/>
          <w:bCs/>
          <w:color w:val="07061D"/>
          <w:spacing w:val="2"/>
          <w:szCs w:val="21"/>
          <w:lang w:eastAsia="zh-CN"/>
        </w:rPr>
      </w:pPr>
      <w:r>
        <w:rPr>
          <w:rFonts w:ascii="Open Sans" w:hAnsi="Open Sans" w:eastAsia="Open Sans" w:cs="Open Sans"/>
          <w:b/>
          <w:bCs/>
          <w:color w:val="07061D"/>
          <w:spacing w:val="2"/>
          <w:szCs w:val="21"/>
          <w:shd w:val="clear" w:color="auto" w:fill="FFFFFF"/>
          <w:lang w:eastAsia="zh-CN" w:bidi="ar"/>
        </w:rPr>
        <w:t>6. 欧盟人工智能法案(2024年6月生效)</w:t>
      </w:r>
    </w:p>
    <w:p w14:paraId="3F811AEB">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 xml:space="preserve">定义：欧盟人工智能法案(AIA)是欧盟制定的一项法规，旨在解决与人工智能系统相关的风险，并为其开发、部署和使用建立法律框架。该法案根据风险级别对人工智能系统进行分类，并对高风险人工智能应用提出具体要求。 </w:t>
      </w:r>
    </w:p>
    <w:p w14:paraId="56F28130">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与人工智能的相关性：欧盟人工智能法案(AIA)特别关注确保人工智能系统的安全性、透明度和</w:t>
      </w:r>
      <w:r>
        <w:rPr>
          <w:rFonts w:hint="eastAsia" w:ascii="宋体" w:hAnsi="宋体" w:eastAsia="宋体" w:cs="宋体"/>
          <w:color w:val="05073B"/>
          <w:sz w:val="21"/>
          <w:szCs w:val="21"/>
          <w:shd w:val="clear" w:color="auto" w:fill="FDFDFE"/>
          <w:lang w:eastAsia="zh-CN"/>
        </w:rPr>
        <w:t>可追责性</w:t>
      </w:r>
      <w:r>
        <w:rPr>
          <w:rFonts w:hint="eastAsia" w:ascii="宋体" w:hAnsi="宋体" w:eastAsia="宋体" w:cs="宋体"/>
          <w:color w:val="07061D"/>
          <w:spacing w:val="2"/>
          <w:sz w:val="21"/>
          <w:szCs w:val="21"/>
          <w:lang w:eastAsia="zh-CN"/>
        </w:rPr>
        <w:t xml:space="preserve">，这对于在各个行业建立对人工智能技术的信任和信心至关重要。 </w:t>
      </w:r>
    </w:p>
    <w:p w14:paraId="3052E3C8">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与模型风险管理（MRM）的关系：欧盟人工智能法案(AIA)为管理人工智能风险提供了监管基础，通过</w:t>
      </w:r>
      <w:r>
        <w:rPr>
          <w:rFonts w:hint="eastAsia" w:ascii="宋体" w:hAnsi="宋体" w:eastAsia="宋体" w:cs="宋体"/>
          <w:color w:val="05073B"/>
          <w:sz w:val="21"/>
          <w:szCs w:val="21"/>
          <w:shd w:val="clear" w:color="auto" w:fill="FDFDFE"/>
          <w:lang w:eastAsia="zh-CN"/>
        </w:rPr>
        <w:t>引入强制执行的风险评估、减轻和合规性的法律义务</w:t>
      </w:r>
      <w:r>
        <w:rPr>
          <w:rFonts w:hint="eastAsia" w:ascii="宋体" w:hAnsi="宋体" w:eastAsia="宋体" w:cs="宋体"/>
          <w:color w:val="07061D"/>
          <w:spacing w:val="2"/>
          <w:sz w:val="21"/>
          <w:szCs w:val="21"/>
          <w:lang w:eastAsia="zh-CN"/>
        </w:rPr>
        <w:t>，来补充现有的模型风险管理（MRM）框架。</w:t>
      </w:r>
    </w:p>
    <w:p w14:paraId="76F94539">
      <w:pPr>
        <w:widowControl/>
        <w:shd w:val="clear" w:color="auto" w:fill="FFFFFF"/>
        <w:spacing w:line="360" w:lineRule="auto"/>
        <w:rPr>
          <w:rFonts w:ascii="Open Sans" w:hAnsi="Open Sans" w:eastAsia="Open Sans" w:cs="Open Sans"/>
          <w:b/>
          <w:bCs/>
          <w:color w:val="07061D"/>
          <w:spacing w:val="2"/>
          <w:szCs w:val="21"/>
          <w:lang w:eastAsia="zh-CN"/>
        </w:rPr>
      </w:pPr>
      <w:r>
        <w:rPr>
          <w:rFonts w:ascii="Open Sans" w:hAnsi="Open Sans" w:eastAsia="Open Sans" w:cs="Open Sans"/>
          <w:b/>
          <w:bCs/>
          <w:color w:val="07061D"/>
          <w:spacing w:val="2"/>
          <w:szCs w:val="21"/>
          <w:shd w:val="clear" w:color="auto" w:fill="FFFFFF"/>
          <w:lang w:eastAsia="zh-CN" w:bidi="ar"/>
        </w:rPr>
        <w:t xml:space="preserve">7. </w:t>
      </w:r>
      <w:r>
        <w:rPr>
          <w:rFonts w:hint="eastAsia" w:ascii="Open Sans" w:hAnsi="Open Sans" w:eastAsia="Open Sans" w:cs="Open Sans"/>
          <w:b/>
          <w:bCs/>
          <w:color w:val="07061D"/>
          <w:spacing w:val="2"/>
          <w:szCs w:val="21"/>
          <w:shd w:val="clear" w:color="auto" w:fill="FFFFFF"/>
          <w:lang w:eastAsia="zh-CN" w:bidi="ar"/>
        </w:rPr>
        <w:t>经济合作与发展组织（OECD）的</w:t>
      </w:r>
      <w:r>
        <w:rPr>
          <w:rFonts w:ascii="Open Sans" w:hAnsi="Open Sans" w:eastAsia="Open Sans" w:cs="Open Sans"/>
          <w:b/>
          <w:bCs/>
          <w:color w:val="07061D"/>
          <w:spacing w:val="2"/>
          <w:szCs w:val="21"/>
          <w:shd w:val="clear" w:color="auto" w:fill="FFFFFF"/>
          <w:lang w:eastAsia="zh-CN" w:bidi="ar"/>
        </w:rPr>
        <w:t>人工智能原则</w:t>
      </w:r>
    </w:p>
    <w:p w14:paraId="53E1862E">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定义：经济合作与发展组织(OECD)的人工智能原则是</w:t>
      </w:r>
      <w:r>
        <w:rPr>
          <w:rFonts w:hint="eastAsia" w:ascii="宋体" w:hAnsi="宋体" w:eastAsia="宋体" w:cs="宋体"/>
          <w:color w:val="05073B"/>
          <w:sz w:val="21"/>
          <w:szCs w:val="21"/>
          <w:shd w:val="clear" w:color="auto" w:fill="FDFDFE"/>
          <w:lang w:eastAsia="zh-CN"/>
        </w:rPr>
        <w:t>由</w:t>
      </w:r>
      <w:r>
        <w:rPr>
          <w:rFonts w:hint="eastAsia" w:ascii="宋体" w:hAnsi="宋体" w:eastAsia="宋体" w:cs="宋体"/>
          <w:color w:val="07061D"/>
          <w:spacing w:val="2"/>
          <w:sz w:val="21"/>
          <w:szCs w:val="21"/>
          <w:lang w:eastAsia="zh-CN"/>
        </w:rPr>
        <w:t>40多个国家认可的国际标准。</w:t>
      </w:r>
      <w:r>
        <w:rPr>
          <w:rFonts w:hint="eastAsia" w:ascii="宋体" w:hAnsi="宋体" w:eastAsia="宋体" w:cs="宋体"/>
          <w:color w:val="05073B"/>
          <w:sz w:val="21"/>
          <w:szCs w:val="21"/>
          <w:shd w:val="clear" w:color="auto" w:fill="FDFDFE"/>
          <w:lang w:eastAsia="zh-CN"/>
        </w:rPr>
        <w:t>该原则旨在促进在社会和经济中负责任地管理可信赖的人工智能。它们关注创新和可信赖的人工智能，同时尊重人权和民主价值观。</w:t>
      </w:r>
    </w:p>
    <w:p w14:paraId="0DE570E6">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与人工智能的相关性：该原则倡导</w:t>
      </w:r>
      <w:r>
        <w:rPr>
          <w:rFonts w:hint="eastAsia" w:ascii="宋体" w:hAnsi="宋体" w:eastAsia="宋体" w:cs="宋体"/>
          <w:color w:val="05073B"/>
          <w:sz w:val="21"/>
          <w:szCs w:val="21"/>
          <w:shd w:val="clear" w:color="auto" w:fill="FDFDFE"/>
          <w:lang w:eastAsia="zh-CN"/>
        </w:rPr>
        <w:t>设计尊重法治、人权、民主价值观和多样性的</w:t>
      </w:r>
      <w:r>
        <w:rPr>
          <w:rFonts w:hint="eastAsia" w:ascii="宋体" w:hAnsi="宋体" w:eastAsia="宋体" w:cs="宋体"/>
          <w:color w:val="07061D"/>
          <w:spacing w:val="2"/>
          <w:sz w:val="21"/>
          <w:szCs w:val="21"/>
          <w:lang w:eastAsia="zh-CN"/>
        </w:rPr>
        <w:t>人工智能</w:t>
      </w:r>
      <w:r>
        <w:rPr>
          <w:rFonts w:hint="eastAsia" w:ascii="宋体" w:hAnsi="宋体" w:eastAsia="宋体" w:cs="宋体"/>
          <w:color w:val="05073B"/>
          <w:sz w:val="21"/>
          <w:szCs w:val="21"/>
          <w:shd w:val="clear" w:color="auto" w:fill="FDFDFE"/>
          <w:lang w:eastAsia="zh-CN"/>
        </w:rPr>
        <w:t>系统，并鼓励在</w:t>
      </w:r>
      <w:r>
        <w:rPr>
          <w:rFonts w:hint="eastAsia" w:ascii="宋体" w:hAnsi="宋体" w:eastAsia="宋体" w:cs="宋体"/>
          <w:color w:val="07061D"/>
          <w:spacing w:val="2"/>
          <w:sz w:val="21"/>
          <w:szCs w:val="21"/>
          <w:lang w:eastAsia="zh-CN"/>
        </w:rPr>
        <w:t>人工智能</w:t>
      </w:r>
      <w:r>
        <w:rPr>
          <w:rFonts w:hint="eastAsia" w:ascii="宋体" w:hAnsi="宋体" w:eastAsia="宋体" w:cs="宋体"/>
          <w:color w:val="05073B"/>
          <w:sz w:val="21"/>
          <w:szCs w:val="21"/>
          <w:shd w:val="clear" w:color="auto" w:fill="FDFDFE"/>
          <w:lang w:eastAsia="zh-CN"/>
        </w:rPr>
        <w:t>系统中实现透明度和负责任的披露。</w:t>
      </w:r>
      <w:r>
        <w:rPr>
          <w:rFonts w:hint="eastAsia" w:ascii="宋体" w:hAnsi="宋体" w:eastAsia="宋体" w:cs="宋体"/>
          <w:color w:val="07061D"/>
          <w:spacing w:val="2"/>
          <w:sz w:val="21"/>
          <w:szCs w:val="21"/>
          <w:lang w:eastAsia="zh-CN"/>
        </w:rPr>
        <w:t xml:space="preserve"> </w:t>
      </w:r>
    </w:p>
    <w:p w14:paraId="3628E765">
      <w:pPr>
        <w:spacing w:line="360" w:lineRule="auto"/>
        <w:ind w:firstLine="428" w:firstLineChars="200"/>
        <w:rPr>
          <w:rFonts w:hint="eastAsia" w:ascii="宋体" w:hAnsi="宋体" w:eastAsia="宋体" w:cs="宋体"/>
          <w:color w:val="07061D"/>
          <w:spacing w:val="2"/>
          <w:sz w:val="21"/>
          <w:szCs w:val="21"/>
          <w:lang w:eastAsia="zh-CN"/>
        </w:rPr>
      </w:pPr>
      <w:r>
        <w:rPr>
          <w:rFonts w:hint="eastAsia" w:ascii="宋体" w:hAnsi="宋体" w:eastAsia="宋体" w:cs="宋体"/>
          <w:color w:val="07061D"/>
          <w:spacing w:val="2"/>
          <w:sz w:val="21"/>
          <w:szCs w:val="21"/>
          <w:lang w:eastAsia="zh-CN"/>
        </w:rPr>
        <w:t>与模型风险管理（MRM）的关系：经济合作与发展组织(OECD)人工智能原则，支持将伦理、社会和法律考量纳入人工智能系统的生命周期中。它通过指导组织应对更广泛的社会风险，并确保人工智能开发符合全球标准和价值观，进而</w:t>
      </w:r>
      <w:r>
        <w:rPr>
          <w:rFonts w:hint="eastAsia" w:ascii="宋体" w:hAnsi="宋体" w:eastAsia="宋体" w:cs="宋体"/>
          <w:color w:val="05073B"/>
          <w:sz w:val="21"/>
          <w:szCs w:val="21"/>
          <w:shd w:val="clear" w:color="auto" w:fill="FDFDFE"/>
          <w:lang w:eastAsia="zh-CN"/>
        </w:rPr>
        <w:t>增</w:t>
      </w:r>
      <w:r>
        <w:rPr>
          <w:rFonts w:hint="eastAsia" w:ascii="宋体" w:hAnsi="宋体" w:eastAsia="宋体" w:cs="宋体"/>
          <w:color w:val="07061D"/>
          <w:spacing w:val="2"/>
          <w:sz w:val="21"/>
          <w:szCs w:val="21"/>
          <w:lang w:eastAsia="zh-CN"/>
        </w:rPr>
        <w:t>强模型风险管理（MRM）实践。</w:t>
      </w:r>
    </w:p>
    <w:p w14:paraId="5A41DE3D">
      <w:pPr>
        <w:widowControl/>
        <w:shd w:val="clear" w:color="auto" w:fill="FFFFFF"/>
        <w:spacing w:line="360" w:lineRule="auto"/>
        <w:rPr>
          <w:rFonts w:hint="eastAsia" w:ascii="宋体" w:hAnsi="宋体" w:eastAsia="宋体" w:cs="宋体"/>
          <w:b/>
          <w:bCs/>
          <w:color w:val="07061D"/>
          <w:spacing w:val="2"/>
          <w:sz w:val="21"/>
          <w:szCs w:val="21"/>
          <w:lang w:eastAsia="zh-CN"/>
        </w:rPr>
      </w:pPr>
      <w:r>
        <w:rPr>
          <w:rFonts w:hint="eastAsia" w:ascii="宋体" w:hAnsi="宋体" w:eastAsia="宋体" w:cs="宋体"/>
          <w:b/>
          <w:bCs/>
          <w:color w:val="07061D"/>
          <w:spacing w:val="2"/>
          <w:sz w:val="21"/>
          <w:szCs w:val="21"/>
          <w:shd w:val="clear" w:color="auto" w:fill="FFFFFF"/>
          <w:lang w:eastAsia="zh-CN" w:bidi="ar"/>
        </w:rPr>
        <w:t>8. 公平的人工智能(AI)网络风险操作手册(FAIR- AIR方法手册)</w:t>
      </w:r>
    </w:p>
    <w:p w14:paraId="2BF7AE1E">
      <w:pPr>
        <w:spacing w:line="360" w:lineRule="auto"/>
        <w:ind w:firstLine="428" w:firstLineChars="200"/>
        <w:rPr>
          <w:rFonts w:hint="eastAsia" w:ascii="宋体" w:hAnsi="宋体" w:eastAsia="宋体" w:cs="宋体"/>
          <w:color w:val="07061D"/>
          <w:spacing w:val="2"/>
          <w:sz w:val="21"/>
          <w:szCs w:val="21"/>
          <w:shd w:val="clear" w:color="auto" w:fill="FFFFFF"/>
          <w:lang w:eastAsia="zh-CN" w:bidi="ar"/>
        </w:rPr>
      </w:pPr>
      <w:r>
        <w:rPr>
          <w:rFonts w:hint="eastAsia" w:ascii="宋体" w:hAnsi="宋体" w:eastAsia="宋体" w:cs="宋体"/>
          <w:color w:val="07061D"/>
          <w:spacing w:val="2"/>
          <w:sz w:val="21"/>
          <w:szCs w:val="21"/>
          <w:lang w:eastAsia="zh-CN"/>
        </w:rPr>
        <w:t>定义：</w:t>
      </w:r>
      <w:r>
        <w:rPr>
          <w:rFonts w:hint="eastAsia" w:ascii="宋体" w:hAnsi="宋体" w:eastAsia="宋体" w:cs="宋体"/>
          <w:color w:val="07061D"/>
          <w:spacing w:val="2"/>
          <w:sz w:val="21"/>
          <w:szCs w:val="21"/>
          <w:shd w:val="clear" w:color="auto" w:fill="FFFFFF"/>
          <w:lang w:eastAsia="zh-CN" w:bidi="ar"/>
        </w:rPr>
        <w:t>信息风险因素分析(FAIR™)</w:t>
      </w:r>
      <w:r>
        <w:rPr>
          <w:rFonts w:hint="eastAsia" w:ascii="宋体" w:hAnsi="宋体" w:eastAsia="宋体" w:cs="宋体"/>
          <w:color w:val="05073B"/>
          <w:sz w:val="21"/>
          <w:szCs w:val="21"/>
          <w:shd w:val="clear" w:color="auto" w:fill="FDFDFE"/>
          <w:lang w:eastAsia="zh-CN"/>
        </w:rPr>
        <w:t>一个国际标准的定量风险分析模型，用于信息安全和运营风险分析</w:t>
      </w:r>
      <w:r>
        <w:rPr>
          <w:rFonts w:hint="eastAsia" w:ascii="宋体" w:hAnsi="宋体" w:eastAsia="宋体" w:cs="宋体"/>
          <w:color w:val="07061D"/>
          <w:spacing w:val="2"/>
          <w:sz w:val="21"/>
          <w:szCs w:val="21"/>
          <w:shd w:val="clear" w:color="auto" w:fill="FFFFFF"/>
          <w:lang w:eastAsia="zh-CN" w:bidi="ar"/>
        </w:rPr>
        <w:t>。FAIR-AIR可帮助您识别与人工智能相关的损失</w:t>
      </w:r>
      <w:r>
        <w:rPr>
          <w:rFonts w:hint="eastAsia" w:ascii="宋体" w:hAnsi="宋体" w:eastAsia="宋体" w:cs="宋体"/>
          <w:color w:val="05073B"/>
          <w:sz w:val="21"/>
          <w:szCs w:val="21"/>
          <w:shd w:val="clear" w:color="auto" w:fill="FDFDFE"/>
          <w:lang w:eastAsia="zh-CN"/>
        </w:rPr>
        <w:t>暴露</w:t>
      </w:r>
      <w:r>
        <w:rPr>
          <w:rFonts w:hint="eastAsia" w:ascii="宋体" w:hAnsi="宋体" w:eastAsia="宋体" w:cs="宋体"/>
          <w:color w:val="07061D"/>
          <w:spacing w:val="2"/>
          <w:sz w:val="21"/>
          <w:szCs w:val="21"/>
          <w:shd w:val="clear" w:color="auto" w:fill="FFFFFF"/>
          <w:lang w:eastAsia="zh-CN" w:bidi="ar"/>
        </w:rPr>
        <w:t>，</w:t>
      </w:r>
      <w:r>
        <w:rPr>
          <w:rFonts w:hint="eastAsia" w:ascii="宋体" w:hAnsi="宋体" w:eastAsia="宋体" w:cs="宋体"/>
          <w:color w:val="05073B"/>
          <w:sz w:val="21"/>
          <w:szCs w:val="21"/>
          <w:shd w:val="clear" w:color="auto" w:fill="FDFDFE"/>
          <w:lang w:eastAsia="zh-CN"/>
        </w:rPr>
        <w:t>并</w:t>
      </w:r>
      <w:r>
        <w:rPr>
          <w:rFonts w:hint="eastAsia" w:ascii="宋体" w:hAnsi="宋体" w:eastAsia="宋体" w:cs="宋体"/>
          <w:color w:val="07061D"/>
          <w:spacing w:val="2"/>
          <w:sz w:val="21"/>
          <w:szCs w:val="21"/>
          <w:shd w:val="clear" w:color="auto" w:fill="FFFFFF"/>
          <w:lang w:eastAsia="zh-CN" w:bidi="ar"/>
        </w:rPr>
        <w:t>在网络风险管理中，针对这一新类别做出基于风险的决策。</w:t>
      </w:r>
    </w:p>
    <w:p w14:paraId="57DF7436">
      <w:pPr>
        <w:spacing w:line="360" w:lineRule="auto"/>
        <w:ind w:firstLine="428" w:firstLineChars="200"/>
        <w:rPr>
          <w:rFonts w:hint="eastAsia" w:ascii="宋体" w:hAnsi="宋体" w:eastAsia="宋体" w:cs="宋体"/>
          <w:color w:val="07061D"/>
          <w:spacing w:val="2"/>
          <w:sz w:val="21"/>
          <w:szCs w:val="21"/>
          <w:shd w:val="clear" w:color="auto" w:fill="FFFFFF"/>
          <w:lang w:eastAsia="zh-CN" w:bidi="ar"/>
        </w:rPr>
      </w:pPr>
      <w:r>
        <w:rPr>
          <w:rFonts w:hint="eastAsia" w:ascii="宋体" w:hAnsi="宋体" w:eastAsia="宋体" w:cs="宋体"/>
          <w:color w:val="07061D"/>
          <w:spacing w:val="2"/>
          <w:sz w:val="21"/>
          <w:szCs w:val="21"/>
          <w:lang w:eastAsia="zh-CN"/>
        </w:rPr>
        <w:t>与人工智能的相关性：</w:t>
      </w:r>
      <w:r>
        <w:rPr>
          <w:rFonts w:hint="eastAsia" w:ascii="宋体" w:hAnsi="宋体" w:eastAsia="宋体" w:cs="宋体"/>
          <w:color w:val="05073B"/>
          <w:sz w:val="21"/>
          <w:szCs w:val="21"/>
          <w:shd w:val="clear" w:color="auto" w:fill="FDFDFE"/>
          <w:lang w:eastAsia="zh-CN"/>
        </w:rPr>
        <w:t>对</w:t>
      </w:r>
      <w:r>
        <w:rPr>
          <w:rFonts w:hint="eastAsia" w:ascii="宋体" w:hAnsi="宋体" w:eastAsia="宋体" w:cs="宋体"/>
          <w:color w:val="07061D"/>
          <w:spacing w:val="2"/>
          <w:sz w:val="21"/>
          <w:szCs w:val="21"/>
          <w:lang w:eastAsia="zh-CN"/>
        </w:rPr>
        <w:t>人工智能</w:t>
      </w:r>
      <w:r>
        <w:rPr>
          <w:rFonts w:hint="eastAsia" w:ascii="宋体" w:hAnsi="宋体" w:eastAsia="宋体" w:cs="宋体"/>
          <w:color w:val="05073B"/>
          <w:sz w:val="21"/>
          <w:szCs w:val="21"/>
          <w:shd w:val="clear" w:color="auto" w:fill="FDFDFE"/>
          <w:lang w:eastAsia="zh-CN"/>
        </w:rPr>
        <w:t>模型或基于</w:t>
      </w:r>
      <w:r>
        <w:rPr>
          <w:rFonts w:hint="eastAsia" w:ascii="宋体" w:hAnsi="宋体" w:eastAsia="宋体" w:cs="宋体"/>
          <w:color w:val="07061D"/>
          <w:spacing w:val="2"/>
          <w:sz w:val="21"/>
          <w:szCs w:val="21"/>
          <w:lang w:eastAsia="zh-CN"/>
        </w:rPr>
        <w:t>人工智能</w:t>
      </w:r>
      <w:r>
        <w:rPr>
          <w:rFonts w:hint="eastAsia" w:ascii="宋体" w:hAnsi="宋体" w:eastAsia="宋体" w:cs="宋体"/>
          <w:color w:val="05073B"/>
          <w:sz w:val="21"/>
          <w:szCs w:val="21"/>
          <w:shd w:val="clear" w:color="auto" w:fill="FDFDFE"/>
          <w:lang w:eastAsia="zh-CN"/>
        </w:rPr>
        <w:t>的系统进行定量风险评估是具有挑战性的</w:t>
      </w:r>
      <w:r>
        <w:rPr>
          <w:rFonts w:hint="eastAsia" w:ascii="宋体" w:hAnsi="宋体" w:eastAsia="宋体" w:cs="宋体"/>
          <w:color w:val="07061D"/>
          <w:spacing w:val="2"/>
          <w:sz w:val="21"/>
          <w:szCs w:val="21"/>
          <w:shd w:val="clear" w:color="auto" w:fill="FFFFFF"/>
          <w:lang w:eastAsia="zh-CN" w:bidi="ar"/>
        </w:rPr>
        <w:t>。FAIR-AIR可以帮助应对这一新类别中具有挑战性的网络风险量化任务。</w:t>
      </w:r>
    </w:p>
    <w:p w14:paraId="327A281D">
      <w:pPr>
        <w:spacing w:line="360" w:lineRule="auto"/>
        <w:ind w:firstLine="428" w:firstLineChars="200"/>
        <w:rPr>
          <w:rFonts w:hint="eastAsia" w:ascii="宋体" w:hAnsi="宋体" w:eastAsia="宋体" w:cs="宋体"/>
          <w:color w:val="07061D"/>
          <w:spacing w:val="2"/>
          <w:sz w:val="21"/>
          <w:szCs w:val="21"/>
          <w:shd w:val="clear" w:color="auto" w:fill="FFFFFF"/>
          <w:lang w:eastAsia="zh-CN" w:bidi="ar"/>
        </w:rPr>
      </w:pPr>
      <w:r>
        <w:rPr>
          <w:rFonts w:hint="eastAsia" w:ascii="宋体" w:hAnsi="宋体" w:eastAsia="宋体" w:cs="宋体"/>
          <w:color w:val="07061D"/>
          <w:spacing w:val="2"/>
          <w:sz w:val="21"/>
          <w:szCs w:val="21"/>
          <w:shd w:val="clear" w:color="auto" w:fill="FFFFFF"/>
          <w:lang w:eastAsia="zh-CN" w:bidi="ar"/>
        </w:rPr>
        <w:t>与模型风险管理（MRM）的关系：</w:t>
      </w:r>
      <w:r>
        <w:rPr>
          <w:rFonts w:hint="eastAsia" w:ascii="宋体" w:hAnsi="宋体" w:eastAsia="宋体" w:cs="宋体"/>
          <w:color w:val="05073B"/>
          <w:sz w:val="21"/>
          <w:szCs w:val="21"/>
          <w:shd w:val="clear" w:color="auto" w:fill="FDFDFE"/>
          <w:lang w:eastAsia="zh-CN"/>
        </w:rPr>
        <w:t>模型风险评估除了定性风险评估外，还可以采用定量方法。定量分析可以提供一个模型，</w:t>
      </w:r>
      <w:r>
        <w:rPr>
          <w:rFonts w:hint="eastAsia" w:ascii="宋体" w:hAnsi="宋体" w:eastAsia="宋体" w:cs="宋体"/>
          <w:color w:val="07061D"/>
          <w:spacing w:val="2"/>
          <w:sz w:val="21"/>
          <w:szCs w:val="21"/>
          <w:shd w:val="clear" w:color="auto" w:fill="FFFFFF"/>
          <w:lang w:eastAsia="zh-CN" w:bidi="ar"/>
        </w:rPr>
        <w:t>以理解财务方面的风险，</w:t>
      </w:r>
      <w:r>
        <w:rPr>
          <w:rFonts w:hint="eastAsia" w:ascii="宋体" w:hAnsi="宋体" w:eastAsia="宋体" w:cs="宋体"/>
          <w:color w:val="05073B"/>
          <w:sz w:val="21"/>
          <w:szCs w:val="21"/>
          <w:shd w:val="clear" w:color="auto" w:fill="FDFDFE"/>
          <w:lang w:eastAsia="zh-CN"/>
        </w:rPr>
        <w:t>并与业务部门进行更好的沟通。</w:t>
      </w:r>
    </w:p>
    <w:p w14:paraId="1361BAFA">
      <w:pPr>
        <w:spacing w:line="360" w:lineRule="auto"/>
        <w:ind w:firstLine="448" w:firstLineChars="200"/>
        <w:rPr>
          <w:rFonts w:ascii="Open Sans" w:hAnsi="Open Sans" w:eastAsia="Open Sans" w:cs="Open Sans"/>
          <w:color w:val="07061D"/>
          <w:spacing w:val="2"/>
          <w:szCs w:val="21"/>
          <w:lang w:eastAsia="zh-CN"/>
        </w:rPr>
      </w:pPr>
    </w:p>
    <w:p w14:paraId="13499CB5">
      <w:pPr>
        <w:widowControl/>
        <w:autoSpaceDE/>
        <w:autoSpaceDN/>
        <w:rPr>
          <w:rFonts w:hint="eastAsia" w:ascii="Open Sans" w:hAnsi="Open Sans" w:cs="Open Sans" w:eastAsiaTheme="minorEastAsia"/>
          <w:color w:val="07061D"/>
          <w:spacing w:val="2"/>
          <w:sz w:val="24"/>
          <w:lang w:eastAsia="zh-CN"/>
        </w:rPr>
      </w:pPr>
      <w:r>
        <w:rPr>
          <w:rFonts w:ascii="Open Sans" w:hAnsi="Open Sans" w:cs="Open Sans" w:eastAsiaTheme="minorEastAsia"/>
          <w:color w:val="07061D"/>
          <w:spacing w:val="2"/>
          <w:sz w:val="24"/>
          <w:lang w:eastAsia="zh-CN"/>
        </w:rPr>
        <w:br w:type="page"/>
      </w:r>
    </w:p>
    <w:p w14:paraId="74370337">
      <w:pPr>
        <w:spacing w:before="116" w:line="360" w:lineRule="auto"/>
        <w:ind w:left="100"/>
        <w:rPr>
          <w:rFonts w:hint="eastAsia" w:ascii="宋体" w:hAnsi="宋体" w:cs="宋体" w:eastAsiaTheme="minorEastAsia"/>
          <w:highlight w:val="yellow"/>
          <w:lang w:eastAsia="zh-CN"/>
        </w:rPr>
      </w:pPr>
      <w:r>
        <w:rPr>
          <w:rFonts w:hint="eastAsia" w:ascii="Calibri" w:hAnsi="Calibri" w:eastAsia="宋体" w:cs="Calibri"/>
          <w:color w:val="000000"/>
        </w:rPr>
        <w:drawing>
          <wp:anchor distT="0" distB="0" distL="114300" distR="114300" simplePos="0" relativeHeight="251663360" behindDoc="0" locked="0" layoutInCell="1" allowOverlap="1">
            <wp:simplePos x="0" y="0"/>
            <wp:positionH relativeFrom="column">
              <wp:posOffset>-1127760</wp:posOffset>
            </wp:positionH>
            <wp:positionV relativeFrom="page">
              <wp:posOffset>-22225</wp:posOffset>
            </wp:positionV>
            <wp:extent cx="7550150" cy="10749915"/>
            <wp:effectExtent l="0" t="0" r="12700" b="13335"/>
            <wp:wrapSquare wrapText="bothSides"/>
            <wp:docPr id="10" name="图片 10" descr="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封底"/>
                    <pic:cNvPicPr>
                      <a:picLocks noChangeAspect="1"/>
                    </pic:cNvPicPr>
                  </pic:nvPicPr>
                  <pic:blipFill>
                    <a:blip r:embed="rId15"/>
                    <a:stretch>
                      <a:fillRect/>
                    </a:stretch>
                  </pic:blipFill>
                  <pic:spPr>
                    <a:xfrm>
                      <a:off x="0" y="0"/>
                      <a:ext cx="7550150" cy="10749915"/>
                    </a:xfrm>
                    <a:prstGeom prst="rect">
                      <a:avLst/>
                    </a:prstGeom>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Arial Bold">
    <w:altName w:val="Arial"/>
    <w:panose1 w:val="020B0704020202020204"/>
    <w:charset w:val="00"/>
    <w:family w:val="auto"/>
    <w:pitch w:val="default"/>
    <w:sig w:usb0="00000000" w:usb1="00000000" w:usb2="00000009" w:usb3="00000000" w:csb0="400001FF" w:csb1="FFFF0000"/>
  </w:font>
  <w:font w:name="Open Sans">
    <w:panose1 w:val="020B0606030504020204"/>
    <w:charset w:val="00"/>
    <w:family w:val="swiss"/>
    <w:pitch w:val="default"/>
    <w:sig w:usb0="E00002EF" w:usb1="4000205B" w:usb2="00000028" w:usb3="00000000" w:csb0="2000019F"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金山云技术体">
    <w:panose1 w:val="00000000000000000000"/>
    <w:charset w:val="86"/>
    <w:family w:val="auto"/>
    <w:pitch w:val="default"/>
    <w:sig w:usb0="00000003" w:usb1="08010000" w:usb2="00000000" w:usb3="00000000" w:csb0="00040001"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928D8">
    <w:pPr>
      <w:pStyle w:val="15"/>
      <w:jc w:val="center"/>
      <w:rPr>
        <w:rFonts w:hint="eastAsia" w:ascii="宋体" w:hAnsi="宋体" w:eastAsia="宋体" w:cs="宋体"/>
        <w:color w:val="93A7B9"/>
        <w:sz w:val="21"/>
        <w:szCs w:val="21"/>
        <w:lang w:eastAsia="zh-CN"/>
      </w:rPr>
    </w:pPr>
  </w:p>
  <w:p w14:paraId="343FCF09">
    <w:pPr>
      <w:pStyle w:val="15"/>
      <w:jc w:val="center"/>
      <w:rPr>
        <w:lang w:eastAsia="zh-CN"/>
      </w:rPr>
    </w:pPr>
    <w:r>
      <w:rPr>
        <w:sz w:val="21"/>
        <w:szCs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27635" cy="131445"/>
              <wp:effectExtent l="0" t="0" r="0" b="0"/>
              <wp:wrapNone/>
              <wp:docPr id="1675669709" name="文本框 1675669709"/>
              <wp:cNvGraphicFramePr/>
              <a:graphic xmlns:a="http://schemas.openxmlformats.org/drawingml/2006/main">
                <a:graphicData uri="http://schemas.microsoft.com/office/word/2010/wordprocessingShape">
                  <wps:wsp>
                    <wps:cNvSpPr txBox="1"/>
                    <wps:spPr>
                      <a:xfrm>
                        <a:off x="0" y="0"/>
                        <a:ext cx="127635" cy="131445"/>
                      </a:xfrm>
                      <a:prstGeom prst="rect">
                        <a:avLst/>
                      </a:prstGeom>
                      <a:noFill/>
                      <a:ln>
                        <a:noFill/>
                      </a:ln>
                    </wps:spPr>
                    <wps:txbx>
                      <w:txbxContent>
                        <w:p w14:paraId="775A2B6F">
                          <w:pPr>
                            <w:pStyle w:val="1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0.35pt;width:10.05pt;mso-position-horizontal:right;mso-position-horizontal-relative:margin;mso-wrap-style:none;z-index:251659264;mso-width-relative:page;mso-height-relative:page;" filled="f" stroked="f" coordsize="21600,21600" o:gfxdata="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2bZ4c8AAAADAQAADwAAAAAAAAABACAAAAAiAAAAZHJzL2Rv&#10;d25yZXYueG1sUEsBAhQAFAAAAAgAh07iQM+Sv0bRAQAAnQMAAA4AAAAAAAAAAQAgAAAAHgEAAGRy&#10;cy9lMm9Eb2MueG1sUEsFBgAAAAAGAAYAWQEAAGEFAAAAAA==&#10;">
              <v:fill on="f" focussize="0,0"/>
              <v:stroke on="f"/>
              <v:imagedata o:title=""/>
              <o:lock v:ext="edit" aspectratio="f"/>
              <v:textbox inset="0mm,0mm,0mm,0mm" style="mso-fit-shape-to-text:t;">
                <w:txbxContent>
                  <w:p w14:paraId="775A2B6F">
                    <w:pPr>
                      <w:pStyle w:val="1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p>
                </w:txbxContent>
              </v:textbox>
            </v:shape>
          </w:pict>
        </mc:Fallback>
      </mc:AlternateContent>
    </w:r>
    <w:r>
      <w:rPr>
        <w:rFonts w:hint="eastAsia" w:ascii="宋体" w:hAnsi="宋体" w:eastAsia="宋体" w:cs="宋体"/>
        <w:color w:val="93A7B9"/>
        <w:sz w:val="21"/>
        <w:szCs w:val="21"/>
        <w:lang w:eastAsia="zh-CN"/>
      </w:rPr>
      <w:t>© 2025云安全联盟大中华区版权所有</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F91BC">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94163">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C2B77">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1C585">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9CE16B">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572CFE"/>
    <w:multiLevelType w:val="multilevel"/>
    <w:tmpl w:val="EA572CFE"/>
    <w:lvl w:ilvl="0" w:tentative="0">
      <w:start w:val="1"/>
      <w:numFmt w:val="bullet"/>
      <w:lvlText w:val=""/>
      <w:lvlJc w:val="left"/>
      <w:pPr>
        <w:tabs>
          <w:tab w:val="left" w:pos="720"/>
        </w:tabs>
        <w:ind w:left="720" w:hanging="296"/>
      </w:pPr>
      <w:rPr>
        <w:rFonts w:hint="default" w:ascii="Symbol" w:hAnsi="Symbol"/>
        <w:b w:val="0"/>
        <w:bCs w:val="0"/>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8391157"/>
    <w:multiLevelType w:val="multilevel"/>
    <w:tmpl w:val="08391157"/>
    <w:lvl w:ilvl="0" w:tentative="0">
      <w:start w:val="1"/>
      <w:numFmt w:val="decimal"/>
      <w:lvlText w:val="%1."/>
      <w:lvlJc w:val="left"/>
      <w:pPr>
        <w:ind w:left="406" w:hanging="306"/>
      </w:pPr>
      <w:rPr>
        <w:rFonts w:hint="default" w:ascii="Tahoma" w:hAnsi="Tahoma" w:eastAsia="Tahoma" w:cs="Tahoma"/>
        <w:b/>
        <w:bCs/>
        <w:i w:val="0"/>
        <w:iCs w:val="0"/>
        <w:color w:val="00539E"/>
        <w:w w:val="60"/>
        <w:sz w:val="36"/>
        <w:szCs w:val="36"/>
      </w:rPr>
    </w:lvl>
    <w:lvl w:ilvl="1" w:tentative="0">
      <w:start w:val="0"/>
      <w:numFmt w:val="bullet"/>
      <w:lvlText w:val="●"/>
      <w:lvlJc w:val="left"/>
      <w:pPr>
        <w:ind w:left="820" w:hanging="360"/>
      </w:pPr>
      <w:rPr>
        <w:rFonts w:hint="default" w:ascii="Arial" w:hAnsi="Arial" w:eastAsia="Arial" w:cs="Arial"/>
        <w:w w:val="100"/>
      </w:rPr>
    </w:lvl>
    <w:lvl w:ilvl="2" w:tentative="0">
      <w:start w:val="0"/>
      <w:numFmt w:val="bullet"/>
      <w:lvlText w:val="○"/>
      <w:lvlJc w:val="left"/>
      <w:pPr>
        <w:ind w:left="1540" w:hanging="360"/>
      </w:pPr>
      <w:rPr>
        <w:rFonts w:hint="default" w:ascii="Arial" w:hAnsi="Arial" w:eastAsia="Arial" w:cs="Arial"/>
        <w:b w:val="0"/>
        <w:bCs w:val="0"/>
        <w:i w:val="0"/>
        <w:iCs w:val="0"/>
        <w:color w:val="111A25"/>
        <w:w w:val="100"/>
        <w:sz w:val="20"/>
        <w:szCs w:val="20"/>
      </w:rPr>
    </w:lvl>
    <w:lvl w:ilvl="3" w:tentative="0">
      <w:start w:val="0"/>
      <w:numFmt w:val="bullet"/>
      <w:lvlText w:val="•"/>
      <w:lvlJc w:val="left"/>
      <w:pPr>
        <w:ind w:left="2547" w:hanging="360"/>
      </w:pPr>
      <w:rPr>
        <w:rFonts w:hint="default"/>
      </w:rPr>
    </w:lvl>
    <w:lvl w:ilvl="4" w:tentative="0">
      <w:start w:val="0"/>
      <w:numFmt w:val="bullet"/>
      <w:lvlText w:val="•"/>
      <w:lvlJc w:val="left"/>
      <w:pPr>
        <w:ind w:left="3555" w:hanging="360"/>
      </w:pPr>
      <w:rPr>
        <w:rFonts w:hint="default"/>
      </w:rPr>
    </w:lvl>
    <w:lvl w:ilvl="5" w:tentative="0">
      <w:start w:val="0"/>
      <w:numFmt w:val="bullet"/>
      <w:lvlText w:val="•"/>
      <w:lvlJc w:val="left"/>
      <w:pPr>
        <w:ind w:left="4562" w:hanging="360"/>
      </w:pPr>
      <w:rPr>
        <w:rFonts w:hint="default"/>
      </w:rPr>
    </w:lvl>
    <w:lvl w:ilvl="6" w:tentative="0">
      <w:start w:val="0"/>
      <w:numFmt w:val="bullet"/>
      <w:lvlText w:val="•"/>
      <w:lvlJc w:val="left"/>
      <w:pPr>
        <w:ind w:left="5570" w:hanging="360"/>
      </w:pPr>
      <w:rPr>
        <w:rFonts w:hint="default"/>
      </w:rPr>
    </w:lvl>
    <w:lvl w:ilvl="7" w:tentative="0">
      <w:start w:val="0"/>
      <w:numFmt w:val="bullet"/>
      <w:lvlText w:val="•"/>
      <w:lvlJc w:val="left"/>
      <w:pPr>
        <w:ind w:left="6577" w:hanging="360"/>
      </w:pPr>
      <w:rPr>
        <w:rFonts w:hint="default"/>
      </w:rPr>
    </w:lvl>
    <w:lvl w:ilvl="8" w:tentative="0">
      <w:start w:val="0"/>
      <w:numFmt w:val="bullet"/>
      <w:lvlText w:val="•"/>
      <w:lvlJc w:val="left"/>
      <w:pPr>
        <w:ind w:left="7585" w:hanging="360"/>
      </w:pPr>
      <w:rPr>
        <w:rFonts w:hint="default"/>
      </w:rPr>
    </w:lvl>
  </w:abstractNum>
  <w:abstractNum w:abstractNumId="3">
    <w:nsid w:val="0F8F0758"/>
    <w:multiLevelType w:val="multilevel"/>
    <w:tmpl w:val="0F8F0758"/>
    <w:lvl w:ilvl="0" w:tentative="0">
      <w:start w:val="0"/>
      <w:numFmt w:val="bullet"/>
      <w:lvlText w:val="●"/>
      <w:lvlJc w:val="left"/>
      <w:pPr>
        <w:ind w:left="820" w:hanging="360"/>
      </w:pPr>
      <w:rPr>
        <w:rFonts w:hint="default" w:ascii="Arial" w:hAnsi="Arial" w:eastAsia="Arial" w:cs="Arial"/>
        <w:b w:val="0"/>
        <w:bCs w:val="0"/>
        <w:i w:val="0"/>
        <w:iCs w:val="0"/>
        <w:color w:val="111A25"/>
        <w:w w:val="100"/>
        <w:sz w:val="20"/>
        <w:szCs w:val="20"/>
      </w:rPr>
    </w:lvl>
    <w:lvl w:ilvl="1" w:tentative="0">
      <w:start w:val="0"/>
      <w:numFmt w:val="bullet"/>
      <w:lvlText w:val="•"/>
      <w:lvlJc w:val="left"/>
      <w:pPr>
        <w:ind w:left="1698" w:hanging="360"/>
      </w:pPr>
      <w:rPr>
        <w:rFonts w:hint="default"/>
      </w:rPr>
    </w:lvl>
    <w:lvl w:ilvl="2" w:tentative="0">
      <w:start w:val="0"/>
      <w:numFmt w:val="bullet"/>
      <w:lvlText w:val="•"/>
      <w:lvlJc w:val="left"/>
      <w:pPr>
        <w:ind w:left="2576" w:hanging="360"/>
      </w:pPr>
      <w:rPr>
        <w:rFonts w:hint="default"/>
      </w:rPr>
    </w:lvl>
    <w:lvl w:ilvl="3" w:tentative="0">
      <w:start w:val="0"/>
      <w:numFmt w:val="bullet"/>
      <w:lvlText w:val="•"/>
      <w:lvlJc w:val="left"/>
      <w:pPr>
        <w:ind w:left="3454" w:hanging="360"/>
      </w:pPr>
      <w:rPr>
        <w:rFonts w:hint="default"/>
      </w:rPr>
    </w:lvl>
    <w:lvl w:ilvl="4" w:tentative="0">
      <w:start w:val="0"/>
      <w:numFmt w:val="bullet"/>
      <w:lvlText w:val="•"/>
      <w:lvlJc w:val="left"/>
      <w:pPr>
        <w:ind w:left="4332" w:hanging="360"/>
      </w:pPr>
      <w:rPr>
        <w:rFonts w:hint="default"/>
      </w:rPr>
    </w:lvl>
    <w:lvl w:ilvl="5" w:tentative="0">
      <w:start w:val="0"/>
      <w:numFmt w:val="bullet"/>
      <w:lvlText w:val="•"/>
      <w:lvlJc w:val="left"/>
      <w:pPr>
        <w:ind w:left="5210" w:hanging="360"/>
      </w:pPr>
      <w:rPr>
        <w:rFonts w:hint="default"/>
      </w:rPr>
    </w:lvl>
    <w:lvl w:ilvl="6" w:tentative="0">
      <w:start w:val="0"/>
      <w:numFmt w:val="bullet"/>
      <w:lvlText w:val="•"/>
      <w:lvlJc w:val="left"/>
      <w:pPr>
        <w:ind w:left="6088" w:hanging="360"/>
      </w:pPr>
      <w:rPr>
        <w:rFonts w:hint="default"/>
      </w:rPr>
    </w:lvl>
    <w:lvl w:ilvl="7" w:tentative="0">
      <w:start w:val="0"/>
      <w:numFmt w:val="bullet"/>
      <w:lvlText w:val="•"/>
      <w:lvlJc w:val="left"/>
      <w:pPr>
        <w:ind w:left="6966" w:hanging="360"/>
      </w:pPr>
      <w:rPr>
        <w:rFonts w:hint="default"/>
      </w:rPr>
    </w:lvl>
    <w:lvl w:ilvl="8" w:tentative="0">
      <w:start w:val="0"/>
      <w:numFmt w:val="bullet"/>
      <w:lvlText w:val="•"/>
      <w:lvlJc w:val="left"/>
      <w:pPr>
        <w:ind w:left="7844" w:hanging="360"/>
      </w:pPr>
      <w:rPr>
        <w:rFonts w:hint="default"/>
      </w:rPr>
    </w:lvl>
  </w:abstractNum>
  <w:abstractNum w:abstractNumId="4">
    <w:nsid w:val="4105E256"/>
    <w:multiLevelType w:val="multilevel"/>
    <w:tmpl w:val="4105E256"/>
    <w:lvl w:ilvl="0" w:tentative="0">
      <w:start w:val="0"/>
      <w:numFmt w:val="bullet"/>
      <w:lvlText w:val="●"/>
      <w:lvlJc w:val="left"/>
      <w:pPr>
        <w:ind w:left="820" w:hanging="360"/>
      </w:pPr>
      <w:rPr>
        <w:rFonts w:hint="default" w:ascii="Arial" w:hAnsi="Arial" w:eastAsia="Arial" w:cs="Arial"/>
        <w:color w:val="auto"/>
        <w:w w:val="100"/>
      </w:rPr>
    </w:lvl>
    <w:lvl w:ilvl="1" w:tentative="0">
      <w:start w:val="0"/>
      <w:numFmt w:val="bullet"/>
      <w:lvlText w:val="•"/>
      <w:lvlJc w:val="left"/>
      <w:pPr>
        <w:ind w:left="1698" w:hanging="360"/>
      </w:pPr>
      <w:rPr>
        <w:rFonts w:hint="default"/>
      </w:rPr>
    </w:lvl>
    <w:lvl w:ilvl="2" w:tentative="0">
      <w:start w:val="0"/>
      <w:numFmt w:val="bullet"/>
      <w:lvlText w:val="•"/>
      <w:lvlJc w:val="left"/>
      <w:pPr>
        <w:ind w:left="2576" w:hanging="360"/>
      </w:pPr>
      <w:rPr>
        <w:rFonts w:hint="default"/>
      </w:rPr>
    </w:lvl>
    <w:lvl w:ilvl="3" w:tentative="0">
      <w:start w:val="0"/>
      <w:numFmt w:val="bullet"/>
      <w:lvlText w:val="•"/>
      <w:lvlJc w:val="left"/>
      <w:pPr>
        <w:ind w:left="3454" w:hanging="360"/>
      </w:pPr>
      <w:rPr>
        <w:rFonts w:hint="default"/>
      </w:rPr>
    </w:lvl>
    <w:lvl w:ilvl="4" w:tentative="0">
      <w:start w:val="0"/>
      <w:numFmt w:val="bullet"/>
      <w:lvlText w:val="•"/>
      <w:lvlJc w:val="left"/>
      <w:pPr>
        <w:ind w:left="4332" w:hanging="360"/>
      </w:pPr>
      <w:rPr>
        <w:rFonts w:hint="default"/>
      </w:rPr>
    </w:lvl>
    <w:lvl w:ilvl="5" w:tentative="0">
      <w:start w:val="0"/>
      <w:numFmt w:val="bullet"/>
      <w:lvlText w:val="•"/>
      <w:lvlJc w:val="left"/>
      <w:pPr>
        <w:ind w:left="5210" w:hanging="360"/>
      </w:pPr>
      <w:rPr>
        <w:rFonts w:hint="default"/>
      </w:rPr>
    </w:lvl>
    <w:lvl w:ilvl="6" w:tentative="0">
      <w:start w:val="0"/>
      <w:numFmt w:val="bullet"/>
      <w:lvlText w:val="•"/>
      <w:lvlJc w:val="left"/>
      <w:pPr>
        <w:ind w:left="6088" w:hanging="360"/>
      </w:pPr>
      <w:rPr>
        <w:rFonts w:hint="default"/>
      </w:rPr>
    </w:lvl>
    <w:lvl w:ilvl="7" w:tentative="0">
      <w:start w:val="0"/>
      <w:numFmt w:val="bullet"/>
      <w:lvlText w:val="•"/>
      <w:lvlJc w:val="left"/>
      <w:pPr>
        <w:ind w:left="6966" w:hanging="360"/>
      </w:pPr>
      <w:rPr>
        <w:rFonts w:hint="default"/>
      </w:rPr>
    </w:lvl>
    <w:lvl w:ilvl="8" w:tentative="0">
      <w:start w:val="0"/>
      <w:numFmt w:val="bullet"/>
      <w:lvlText w:val="•"/>
      <w:lvlJc w:val="left"/>
      <w:pPr>
        <w:ind w:left="7844" w:hanging="360"/>
      </w:pPr>
      <w:rPr>
        <w:rFonts w:hint="default"/>
      </w:rPr>
    </w:lvl>
  </w:abstractNum>
  <w:abstractNum w:abstractNumId="5">
    <w:nsid w:val="5E7C15B1"/>
    <w:multiLevelType w:val="multilevel"/>
    <w:tmpl w:val="5E7C15B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2FA4CF7"/>
    <w:multiLevelType w:val="multilevel"/>
    <w:tmpl w:val="62FA4CF7"/>
    <w:lvl w:ilvl="0" w:tentative="0">
      <w:start w:val="0"/>
      <w:numFmt w:val="bullet"/>
      <w:lvlText w:val="●"/>
      <w:lvlJc w:val="left"/>
      <w:pPr>
        <w:ind w:left="820" w:hanging="360"/>
      </w:pPr>
      <w:rPr>
        <w:rFonts w:hint="default" w:ascii="Arial" w:hAnsi="Arial" w:eastAsia="Arial" w:cs="Arial"/>
        <w:b/>
        <w:bCs/>
        <w:i w:val="0"/>
        <w:iCs w:val="0"/>
        <w:color w:val="111A25"/>
        <w:w w:val="100"/>
        <w:sz w:val="20"/>
        <w:szCs w:val="20"/>
      </w:rPr>
    </w:lvl>
    <w:lvl w:ilvl="1" w:tentative="0">
      <w:start w:val="0"/>
      <w:numFmt w:val="bullet"/>
      <w:lvlText w:val="•"/>
      <w:lvlJc w:val="left"/>
      <w:pPr>
        <w:ind w:left="1698" w:hanging="360"/>
      </w:pPr>
      <w:rPr>
        <w:rFonts w:hint="default"/>
      </w:rPr>
    </w:lvl>
    <w:lvl w:ilvl="2" w:tentative="0">
      <w:start w:val="0"/>
      <w:numFmt w:val="bullet"/>
      <w:lvlText w:val="•"/>
      <w:lvlJc w:val="left"/>
      <w:pPr>
        <w:ind w:left="2576" w:hanging="360"/>
      </w:pPr>
      <w:rPr>
        <w:rFonts w:hint="default"/>
      </w:rPr>
    </w:lvl>
    <w:lvl w:ilvl="3" w:tentative="0">
      <w:start w:val="0"/>
      <w:numFmt w:val="bullet"/>
      <w:lvlText w:val="•"/>
      <w:lvlJc w:val="left"/>
      <w:pPr>
        <w:ind w:left="3454" w:hanging="360"/>
      </w:pPr>
      <w:rPr>
        <w:rFonts w:hint="default"/>
      </w:rPr>
    </w:lvl>
    <w:lvl w:ilvl="4" w:tentative="0">
      <w:start w:val="0"/>
      <w:numFmt w:val="bullet"/>
      <w:lvlText w:val="•"/>
      <w:lvlJc w:val="left"/>
      <w:pPr>
        <w:ind w:left="4332" w:hanging="360"/>
      </w:pPr>
      <w:rPr>
        <w:rFonts w:hint="default"/>
      </w:rPr>
    </w:lvl>
    <w:lvl w:ilvl="5" w:tentative="0">
      <w:start w:val="0"/>
      <w:numFmt w:val="bullet"/>
      <w:lvlText w:val="•"/>
      <w:lvlJc w:val="left"/>
      <w:pPr>
        <w:ind w:left="5210" w:hanging="360"/>
      </w:pPr>
      <w:rPr>
        <w:rFonts w:hint="default"/>
      </w:rPr>
    </w:lvl>
    <w:lvl w:ilvl="6" w:tentative="0">
      <w:start w:val="0"/>
      <w:numFmt w:val="bullet"/>
      <w:lvlText w:val="•"/>
      <w:lvlJc w:val="left"/>
      <w:pPr>
        <w:ind w:left="6088" w:hanging="360"/>
      </w:pPr>
      <w:rPr>
        <w:rFonts w:hint="default"/>
      </w:rPr>
    </w:lvl>
    <w:lvl w:ilvl="7" w:tentative="0">
      <w:start w:val="0"/>
      <w:numFmt w:val="bullet"/>
      <w:lvlText w:val="•"/>
      <w:lvlJc w:val="left"/>
      <w:pPr>
        <w:ind w:left="6966" w:hanging="360"/>
      </w:pPr>
      <w:rPr>
        <w:rFonts w:hint="default"/>
      </w:rPr>
    </w:lvl>
    <w:lvl w:ilvl="8" w:tentative="0">
      <w:start w:val="0"/>
      <w:numFmt w:val="bullet"/>
      <w:lvlText w:val="•"/>
      <w:lvlJc w:val="left"/>
      <w:pPr>
        <w:ind w:left="7844" w:hanging="360"/>
      </w:pPr>
      <w:rPr>
        <w:rFonts w:hint="default"/>
      </w:r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kxNDc5ZDdlNjU0NTIwYTlkZDA0YjZjMTY2ODIxZDgifQ=="/>
  </w:docVars>
  <w:rsids>
    <w:rsidRoot w:val="00AD66FC"/>
    <w:rsid w:val="0000045C"/>
    <w:rsid w:val="00020ED4"/>
    <w:rsid w:val="00036184"/>
    <w:rsid w:val="000567B9"/>
    <w:rsid w:val="00066FA0"/>
    <w:rsid w:val="00073231"/>
    <w:rsid w:val="00091502"/>
    <w:rsid w:val="000B7209"/>
    <w:rsid w:val="000D4006"/>
    <w:rsid w:val="00126E32"/>
    <w:rsid w:val="0013365F"/>
    <w:rsid w:val="00134943"/>
    <w:rsid w:val="0016235E"/>
    <w:rsid w:val="00163054"/>
    <w:rsid w:val="00164D41"/>
    <w:rsid w:val="0017402E"/>
    <w:rsid w:val="001852C3"/>
    <w:rsid w:val="001A34F6"/>
    <w:rsid w:val="001C7C4D"/>
    <w:rsid w:val="001D42FF"/>
    <w:rsid w:val="001D6A7E"/>
    <w:rsid w:val="001D6C50"/>
    <w:rsid w:val="001E659C"/>
    <w:rsid w:val="001E781E"/>
    <w:rsid w:val="001F3F31"/>
    <w:rsid w:val="0023499C"/>
    <w:rsid w:val="00250936"/>
    <w:rsid w:val="00282D3B"/>
    <w:rsid w:val="00290856"/>
    <w:rsid w:val="00296D80"/>
    <w:rsid w:val="002B5672"/>
    <w:rsid w:val="002D5B08"/>
    <w:rsid w:val="002E4F10"/>
    <w:rsid w:val="002E6DFC"/>
    <w:rsid w:val="002E7C71"/>
    <w:rsid w:val="002F3DF7"/>
    <w:rsid w:val="002F4EE5"/>
    <w:rsid w:val="00300EF2"/>
    <w:rsid w:val="00311A7F"/>
    <w:rsid w:val="003268DB"/>
    <w:rsid w:val="003407EF"/>
    <w:rsid w:val="003410F1"/>
    <w:rsid w:val="00353909"/>
    <w:rsid w:val="00353F6C"/>
    <w:rsid w:val="00361319"/>
    <w:rsid w:val="0036486A"/>
    <w:rsid w:val="003666BD"/>
    <w:rsid w:val="003972A5"/>
    <w:rsid w:val="003A2697"/>
    <w:rsid w:val="003A5CBC"/>
    <w:rsid w:val="003D0F8E"/>
    <w:rsid w:val="003D0FB6"/>
    <w:rsid w:val="003D5B71"/>
    <w:rsid w:val="003D7822"/>
    <w:rsid w:val="00404A45"/>
    <w:rsid w:val="00414C13"/>
    <w:rsid w:val="00433CB4"/>
    <w:rsid w:val="00441651"/>
    <w:rsid w:val="0044526D"/>
    <w:rsid w:val="00447E69"/>
    <w:rsid w:val="004902BA"/>
    <w:rsid w:val="0049379A"/>
    <w:rsid w:val="00495495"/>
    <w:rsid w:val="004B1249"/>
    <w:rsid w:val="004B2926"/>
    <w:rsid w:val="004D09A9"/>
    <w:rsid w:val="004F249E"/>
    <w:rsid w:val="0050047D"/>
    <w:rsid w:val="00501BE8"/>
    <w:rsid w:val="00502EE2"/>
    <w:rsid w:val="0051772A"/>
    <w:rsid w:val="00533E3F"/>
    <w:rsid w:val="00575337"/>
    <w:rsid w:val="005844C4"/>
    <w:rsid w:val="00585F75"/>
    <w:rsid w:val="0059478E"/>
    <w:rsid w:val="0059694D"/>
    <w:rsid w:val="005D2585"/>
    <w:rsid w:val="005E0926"/>
    <w:rsid w:val="005E422F"/>
    <w:rsid w:val="005F0666"/>
    <w:rsid w:val="005F7DF8"/>
    <w:rsid w:val="00607E46"/>
    <w:rsid w:val="00613BD1"/>
    <w:rsid w:val="00614C60"/>
    <w:rsid w:val="006157F0"/>
    <w:rsid w:val="00621AC7"/>
    <w:rsid w:val="00630275"/>
    <w:rsid w:val="00633914"/>
    <w:rsid w:val="0064526E"/>
    <w:rsid w:val="00651AFC"/>
    <w:rsid w:val="00653B76"/>
    <w:rsid w:val="006578AC"/>
    <w:rsid w:val="00670989"/>
    <w:rsid w:val="00684CD8"/>
    <w:rsid w:val="006A3D38"/>
    <w:rsid w:val="006B2DD9"/>
    <w:rsid w:val="006B4CC0"/>
    <w:rsid w:val="006C063F"/>
    <w:rsid w:val="006C2AA0"/>
    <w:rsid w:val="006C4410"/>
    <w:rsid w:val="006E25EB"/>
    <w:rsid w:val="00700815"/>
    <w:rsid w:val="007012E8"/>
    <w:rsid w:val="007222B4"/>
    <w:rsid w:val="00723E52"/>
    <w:rsid w:val="007267DF"/>
    <w:rsid w:val="007317D0"/>
    <w:rsid w:val="007359E1"/>
    <w:rsid w:val="00742D74"/>
    <w:rsid w:val="00744F3B"/>
    <w:rsid w:val="00746361"/>
    <w:rsid w:val="00762108"/>
    <w:rsid w:val="007640C5"/>
    <w:rsid w:val="007D1C41"/>
    <w:rsid w:val="007D613D"/>
    <w:rsid w:val="00834DFF"/>
    <w:rsid w:val="0083634A"/>
    <w:rsid w:val="00853208"/>
    <w:rsid w:val="00856F1A"/>
    <w:rsid w:val="00864E74"/>
    <w:rsid w:val="00873ADA"/>
    <w:rsid w:val="008856C5"/>
    <w:rsid w:val="0088612F"/>
    <w:rsid w:val="00896F18"/>
    <w:rsid w:val="008A244B"/>
    <w:rsid w:val="008C56E5"/>
    <w:rsid w:val="008F0D7B"/>
    <w:rsid w:val="00937F22"/>
    <w:rsid w:val="009826F0"/>
    <w:rsid w:val="00985DEB"/>
    <w:rsid w:val="009A2FDE"/>
    <w:rsid w:val="009E3417"/>
    <w:rsid w:val="009E467D"/>
    <w:rsid w:val="009E651C"/>
    <w:rsid w:val="009F3CF8"/>
    <w:rsid w:val="00A03B3E"/>
    <w:rsid w:val="00A12963"/>
    <w:rsid w:val="00A202F0"/>
    <w:rsid w:val="00A2405C"/>
    <w:rsid w:val="00A51FDE"/>
    <w:rsid w:val="00A60B84"/>
    <w:rsid w:val="00A61A9B"/>
    <w:rsid w:val="00A97476"/>
    <w:rsid w:val="00AA198C"/>
    <w:rsid w:val="00AB0128"/>
    <w:rsid w:val="00AB191F"/>
    <w:rsid w:val="00AB38E2"/>
    <w:rsid w:val="00AC0675"/>
    <w:rsid w:val="00AD4949"/>
    <w:rsid w:val="00AD66FC"/>
    <w:rsid w:val="00B2113A"/>
    <w:rsid w:val="00B31C6A"/>
    <w:rsid w:val="00B35F23"/>
    <w:rsid w:val="00B60307"/>
    <w:rsid w:val="00B6602A"/>
    <w:rsid w:val="00B82DEB"/>
    <w:rsid w:val="00BA0B60"/>
    <w:rsid w:val="00BA2CFE"/>
    <w:rsid w:val="00BA6FAA"/>
    <w:rsid w:val="00BB26D8"/>
    <w:rsid w:val="00BC4C5B"/>
    <w:rsid w:val="00BE3A01"/>
    <w:rsid w:val="00BE4509"/>
    <w:rsid w:val="00BF1DB9"/>
    <w:rsid w:val="00BF3FC0"/>
    <w:rsid w:val="00C008E6"/>
    <w:rsid w:val="00C03F32"/>
    <w:rsid w:val="00C21B2A"/>
    <w:rsid w:val="00C22F73"/>
    <w:rsid w:val="00C37636"/>
    <w:rsid w:val="00C50D53"/>
    <w:rsid w:val="00C51FF5"/>
    <w:rsid w:val="00C521B3"/>
    <w:rsid w:val="00C6567D"/>
    <w:rsid w:val="00C92727"/>
    <w:rsid w:val="00C93FBD"/>
    <w:rsid w:val="00C96D3A"/>
    <w:rsid w:val="00CA0435"/>
    <w:rsid w:val="00CB54D3"/>
    <w:rsid w:val="00CB6DEF"/>
    <w:rsid w:val="00CD18E8"/>
    <w:rsid w:val="00CD4174"/>
    <w:rsid w:val="00D02372"/>
    <w:rsid w:val="00D26F79"/>
    <w:rsid w:val="00D27880"/>
    <w:rsid w:val="00D70BD6"/>
    <w:rsid w:val="00D7542D"/>
    <w:rsid w:val="00D906B5"/>
    <w:rsid w:val="00DA2CC6"/>
    <w:rsid w:val="00DA476F"/>
    <w:rsid w:val="00DC1474"/>
    <w:rsid w:val="00DD4D34"/>
    <w:rsid w:val="00DE29E1"/>
    <w:rsid w:val="00DE5105"/>
    <w:rsid w:val="00DE6367"/>
    <w:rsid w:val="00E16377"/>
    <w:rsid w:val="00E24E36"/>
    <w:rsid w:val="00E3006B"/>
    <w:rsid w:val="00E32271"/>
    <w:rsid w:val="00E341EC"/>
    <w:rsid w:val="00E40E5C"/>
    <w:rsid w:val="00E468FE"/>
    <w:rsid w:val="00E64D0A"/>
    <w:rsid w:val="00E71CA9"/>
    <w:rsid w:val="00E8640B"/>
    <w:rsid w:val="00EA0CC1"/>
    <w:rsid w:val="00EA334E"/>
    <w:rsid w:val="00EB57ED"/>
    <w:rsid w:val="00EB6D67"/>
    <w:rsid w:val="00ED569E"/>
    <w:rsid w:val="00EE3526"/>
    <w:rsid w:val="00EE39EB"/>
    <w:rsid w:val="00EF207D"/>
    <w:rsid w:val="00EF5EF6"/>
    <w:rsid w:val="00F20EB7"/>
    <w:rsid w:val="00F36EA4"/>
    <w:rsid w:val="00F66779"/>
    <w:rsid w:val="00F72FCF"/>
    <w:rsid w:val="00F77FF8"/>
    <w:rsid w:val="00F967B8"/>
    <w:rsid w:val="00FA76DD"/>
    <w:rsid w:val="00FC2562"/>
    <w:rsid w:val="00FC38F8"/>
    <w:rsid w:val="00FE312B"/>
    <w:rsid w:val="00FF3DA5"/>
    <w:rsid w:val="015E4AD6"/>
    <w:rsid w:val="017C505B"/>
    <w:rsid w:val="032D762F"/>
    <w:rsid w:val="036A712A"/>
    <w:rsid w:val="080C3C4A"/>
    <w:rsid w:val="156C736A"/>
    <w:rsid w:val="191952C2"/>
    <w:rsid w:val="20673665"/>
    <w:rsid w:val="245D6A11"/>
    <w:rsid w:val="27D834C5"/>
    <w:rsid w:val="2AD73A2E"/>
    <w:rsid w:val="2D78010A"/>
    <w:rsid w:val="2FFC6ACD"/>
    <w:rsid w:val="382F0057"/>
    <w:rsid w:val="3D2B307F"/>
    <w:rsid w:val="3DAD4F8E"/>
    <w:rsid w:val="42570CF3"/>
    <w:rsid w:val="43D53CF6"/>
    <w:rsid w:val="45232CF2"/>
    <w:rsid w:val="48C742DC"/>
    <w:rsid w:val="561548D9"/>
    <w:rsid w:val="5AB57CDA"/>
    <w:rsid w:val="5AD10D06"/>
    <w:rsid w:val="5F890B34"/>
    <w:rsid w:val="60185E87"/>
    <w:rsid w:val="6EEC1689"/>
    <w:rsid w:val="701534CF"/>
    <w:rsid w:val="7768547F"/>
    <w:rsid w:val="78165630"/>
    <w:rsid w:val="7DEE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link w:val="29"/>
    <w:qFormat/>
    <w:uiPriority w:val="0"/>
    <w:pPr>
      <w:keepNext/>
      <w:keepLines/>
      <w:spacing w:before="240" w:after="240" w:line="360" w:lineRule="auto"/>
      <w:outlineLvl w:val="0"/>
    </w:pPr>
    <w:rPr>
      <w:rFonts w:eastAsia="黑体" w:asciiTheme="majorHAnsi" w:hAnsiTheme="majorHAnsi" w:cstheme="majorBidi"/>
      <w:color w:val="000000" w:themeColor="text1"/>
      <w:sz w:val="36"/>
      <w:szCs w:val="48"/>
      <w14:textFill>
        <w14:solidFill>
          <w14:schemeClr w14:val="tx1"/>
        </w14:solidFill>
      </w14:textFill>
    </w:rPr>
  </w:style>
  <w:style w:type="paragraph" w:styleId="3">
    <w:name w:val="heading 2"/>
    <w:basedOn w:val="1"/>
    <w:link w:val="30"/>
    <w:unhideWhenUsed/>
    <w:qFormat/>
    <w:uiPriority w:val="9"/>
    <w:pPr>
      <w:keepNext/>
      <w:keepLines/>
      <w:spacing w:before="200" w:after="200" w:line="360" w:lineRule="auto"/>
      <w:outlineLvl w:val="1"/>
    </w:pPr>
    <w:rPr>
      <w:rFonts w:eastAsia="黑体" w:asciiTheme="majorHAnsi" w:hAnsiTheme="majorHAnsi" w:cstheme="majorBidi"/>
      <w:color w:val="000000" w:themeColor="text1"/>
      <w:sz w:val="32"/>
      <w:szCs w:val="40"/>
      <w14:textFill>
        <w14:solidFill>
          <w14:schemeClr w14:val="tx1"/>
        </w14:solidFill>
      </w14:textFill>
    </w:rPr>
  </w:style>
  <w:style w:type="paragraph" w:styleId="4">
    <w:name w:val="heading 3"/>
    <w:basedOn w:val="1"/>
    <w:link w:val="31"/>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32"/>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3"/>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34"/>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5"/>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7"/>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5">
    <w:name w:val="Default Paragraph Font"/>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link w:val="52"/>
    <w:unhideWhenUsed/>
    <w:qFormat/>
    <w:uiPriority w:val="99"/>
  </w:style>
  <w:style w:type="paragraph" w:styleId="13">
    <w:name w:val="Body Text"/>
    <w:basedOn w:val="1"/>
    <w:link w:val="48"/>
    <w:qFormat/>
    <w:uiPriority w:val="1"/>
    <w:pPr>
      <w:spacing w:line="360" w:lineRule="auto"/>
      <w:ind w:firstLine="200" w:firstLineChars="200"/>
      <w:jc w:val="both"/>
    </w:pPr>
    <w:rPr>
      <w:rFonts w:eastAsia="宋体"/>
      <w:sz w:val="24"/>
      <w:szCs w:val="20"/>
    </w:rPr>
  </w:style>
  <w:style w:type="paragraph" w:styleId="14">
    <w:name w:val="toc 3"/>
    <w:basedOn w:val="1"/>
    <w:qFormat/>
    <w:uiPriority w:val="39"/>
    <w:pPr>
      <w:spacing w:before="138"/>
      <w:ind w:left="460"/>
    </w:pPr>
    <w:rPr>
      <w:sz w:val="21"/>
      <w:szCs w:val="21"/>
    </w:rPr>
  </w:style>
  <w:style w:type="paragraph" w:styleId="15">
    <w:name w:val="footer"/>
    <w:basedOn w:val="1"/>
    <w:link w:val="56"/>
    <w:unhideWhenUsed/>
    <w:qFormat/>
    <w:uiPriority w:val="99"/>
    <w:pPr>
      <w:tabs>
        <w:tab w:val="center" w:pos="4153"/>
        <w:tab w:val="right" w:pos="8306"/>
      </w:tabs>
      <w:snapToGrid w:val="0"/>
    </w:pPr>
    <w:rPr>
      <w:sz w:val="18"/>
      <w:szCs w:val="18"/>
    </w:rPr>
  </w:style>
  <w:style w:type="paragraph" w:styleId="16">
    <w:name w:val="header"/>
    <w:basedOn w:val="1"/>
    <w:link w:val="55"/>
    <w:unhideWhenUsed/>
    <w:qFormat/>
    <w:uiPriority w:val="99"/>
    <w:pPr>
      <w:tabs>
        <w:tab w:val="center" w:pos="4153"/>
        <w:tab w:val="right" w:pos="8306"/>
      </w:tabs>
      <w:snapToGrid w:val="0"/>
      <w:jc w:val="center"/>
    </w:pPr>
    <w:rPr>
      <w:sz w:val="18"/>
      <w:szCs w:val="18"/>
    </w:rPr>
  </w:style>
  <w:style w:type="paragraph" w:styleId="17">
    <w:name w:val="toc 1"/>
    <w:basedOn w:val="1"/>
    <w:qFormat/>
    <w:uiPriority w:val="39"/>
    <w:pPr>
      <w:spacing w:before="138"/>
      <w:ind w:left="100"/>
    </w:pPr>
    <w:rPr>
      <w:sz w:val="21"/>
      <w:szCs w:val="21"/>
    </w:rPr>
  </w:style>
  <w:style w:type="paragraph" w:styleId="18">
    <w:name w:val="Subtitle"/>
    <w:basedOn w:val="1"/>
    <w:next w:val="1"/>
    <w:link w:val="39"/>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footnote text"/>
    <w:basedOn w:val="1"/>
    <w:qFormat/>
    <w:uiPriority w:val="0"/>
    <w:pPr>
      <w:snapToGrid w:val="0"/>
    </w:pPr>
    <w:rPr>
      <w:sz w:val="18"/>
    </w:rPr>
  </w:style>
  <w:style w:type="paragraph" w:styleId="20">
    <w:name w:val="toc 2"/>
    <w:basedOn w:val="1"/>
    <w:qFormat/>
    <w:uiPriority w:val="39"/>
    <w:pPr>
      <w:spacing w:before="138"/>
      <w:ind w:left="676" w:hanging="217"/>
    </w:pPr>
    <w:rPr>
      <w:sz w:val="21"/>
      <w:szCs w:val="21"/>
    </w:rPr>
  </w:style>
  <w:style w:type="paragraph" w:styleId="21">
    <w:name w:val="Title"/>
    <w:basedOn w:val="1"/>
    <w:next w:val="1"/>
    <w:link w:val="38"/>
    <w:qFormat/>
    <w:uiPriority w:val="10"/>
    <w:pPr>
      <w:spacing w:after="80"/>
      <w:contextualSpacing/>
      <w:jc w:val="center"/>
    </w:pPr>
    <w:rPr>
      <w:rFonts w:asciiTheme="majorHAnsi" w:hAnsiTheme="majorHAnsi" w:eastAsiaTheme="majorEastAsia" w:cstheme="majorBidi"/>
      <w:spacing w:val="-10"/>
      <w:kern w:val="28"/>
      <w:sz w:val="56"/>
      <w:szCs w:val="56"/>
    </w:rPr>
  </w:style>
  <w:style w:type="paragraph" w:styleId="22">
    <w:name w:val="annotation subject"/>
    <w:basedOn w:val="12"/>
    <w:next w:val="12"/>
    <w:link w:val="53"/>
    <w:semiHidden/>
    <w:unhideWhenUsed/>
    <w:qFormat/>
    <w:uiPriority w:val="99"/>
    <w:rPr>
      <w:b/>
      <w:bCs/>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unhideWhenUsed/>
    <w:qFormat/>
    <w:uiPriority w:val="99"/>
    <w:rPr>
      <w:color w:val="467886" w:themeColor="hyperlink"/>
      <w:u w:val="single"/>
      <w14:textFill>
        <w14:solidFill>
          <w14:schemeClr w14:val="hlink"/>
        </w14:solidFill>
      </w14:textFill>
    </w:rPr>
  </w:style>
  <w:style w:type="character" w:styleId="27">
    <w:name w:val="annotation reference"/>
    <w:basedOn w:val="25"/>
    <w:semiHidden/>
    <w:unhideWhenUsed/>
    <w:qFormat/>
    <w:uiPriority w:val="99"/>
    <w:rPr>
      <w:sz w:val="21"/>
      <w:szCs w:val="21"/>
    </w:rPr>
  </w:style>
  <w:style w:type="character" w:styleId="28">
    <w:name w:val="footnote reference"/>
    <w:basedOn w:val="25"/>
    <w:qFormat/>
    <w:uiPriority w:val="0"/>
    <w:rPr>
      <w:vertAlign w:val="superscript"/>
    </w:rPr>
  </w:style>
  <w:style w:type="character" w:customStyle="1" w:styleId="29">
    <w:name w:val="标题 1 字符"/>
    <w:basedOn w:val="25"/>
    <w:link w:val="2"/>
    <w:qFormat/>
    <w:uiPriority w:val="0"/>
    <w:rPr>
      <w:rFonts w:eastAsia="黑体" w:asciiTheme="majorHAnsi" w:hAnsiTheme="majorHAnsi" w:cstheme="majorBidi"/>
      <w:color w:val="000000" w:themeColor="text1"/>
      <w:sz w:val="36"/>
      <w:szCs w:val="48"/>
      <w:lang w:eastAsia="en-US"/>
      <w14:textFill>
        <w14:solidFill>
          <w14:schemeClr w14:val="tx1"/>
        </w14:solidFill>
      </w14:textFill>
    </w:rPr>
  </w:style>
  <w:style w:type="character" w:customStyle="1" w:styleId="30">
    <w:name w:val="标题 2 字符"/>
    <w:basedOn w:val="25"/>
    <w:link w:val="3"/>
    <w:qFormat/>
    <w:uiPriority w:val="9"/>
    <w:rPr>
      <w:rFonts w:eastAsia="黑体" w:asciiTheme="majorHAnsi" w:hAnsiTheme="majorHAnsi" w:cstheme="majorBidi"/>
      <w:color w:val="000000" w:themeColor="text1"/>
      <w:sz w:val="32"/>
      <w:szCs w:val="40"/>
      <w:lang w:eastAsia="en-US"/>
      <w14:textFill>
        <w14:solidFill>
          <w14:schemeClr w14:val="tx1"/>
        </w14:solidFill>
      </w14:textFill>
    </w:rPr>
  </w:style>
  <w:style w:type="character" w:customStyle="1" w:styleId="31">
    <w:name w:val="标题 3 字符"/>
    <w:basedOn w:val="25"/>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32">
    <w:name w:val="标题 4 字符"/>
    <w:basedOn w:val="25"/>
    <w:link w:val="5"/>
    <w:semiHidden/>
    <w:qFormat/>
    <w:uiPriority w:val="9"/>
    <w:rPr>
      <w:rFonts w:cstheme="majorBidi"/>
      <w:color w:val="104862" w:themeColor="accent1" w:themeShade="BF"/>
      <w:sz w:val="28"/>
      <w:szCs w:val="28"/>
    </w:rPr>
  </w:style>
  <w:style w:type="character" w:customStyle="1" w:styleId="33">
    <w:name w:val="标题 5 字符"/>
    <w:basedOn w:val="25"/>
    <w:link w:val="6"/>
    <w:semiHidden/>
    <w:qFormat/>
    <w:uiPriority w:val="9"/>
    <w:rPr>
      <w:rFonts w:cstheme="majorBidi"/>
      <w:color w:val="104862" w:themeColor="accent1" w:themeShade="BF"/>
      <w:sz w:val="24"/>
      <w:szCs w:val="24"/>
    </w:rPr>
  </w:style>
  <w:style w:type="character" w:customStyle="1" w:styleId="34">
    <w:name w:val="标题 6 字符"/>
    <w:basedOn w:val="25"/>
    <w:link w:val="7"/>
    <w:semiHidden/>
    <w:qFormat/>
    <w:uiPriority w:val="9"/>
    <w:rPr>
      <w:rFonts w:cstheme="majorBidi"/>
      <w:b/>
      <w:bCs/>
      <w:color w:val="104862" w:themeColor="accent1" w:themeShade="BF"/>
    </w:rPr>
  </w:style>
  <w:style w:type="character" w:customStyle="1" w:styleId="35">
    <w:name w:val="标题 7 字符"/>
    <w:basedOn w:val="2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6">
    <w:name w:val="标题 8 字符"/>
    <w:basedOn w:val="2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7">
    <w:name w:val="标题 9 字符"/>
    <w:basedOn w:val="2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8">
    <w:name w:val="标题 字符"/>
    <w:basedOn w:val="25"/>
    <w:link w:val="21"/>
    <w:qFormat/>
    <w:uiPriority w:val="10"/>
    <w:rPr>
      <w:rFonts w:asciiTheme="majorHAnsi" w:hAnsiTheme="majorHAnsi" w:eastAsiaTheme="majorEastAsia" w:cstheme="majorBidi"/>
      <w:spacing w:val="-10"/>
      <w:kern w:val="28"/>
      <w:sz w:val="56"/>
      <w:szCs w:val="56"/>
    </w:rPr>
  </w:style>
  <w:style w:type="character" w:customStyle="1" w:styleId="39">
    <w:name w:val="副标题 字符"/>
    <w:basedOn w:val="25"/>
    <w:link w:val="18"/>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引用 字符"/>
    <w:basedOn w:val="25"/>
    <w:link w:val="40"/>
    <w:qFormat/>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qFormat/>
    <w:uiPriority w:val="1"/>
    <w:pPr>
      <w:ind w:left="720"/>
      <w:contextualSpacing/>
    </w:pPr>
  </w:style>
  <w:style w:type="character" w:customStyle="1" w:styleId="43">
    <w:name w:val="明显强调1"/>
    <w:basedOn w:val="25"/>
    <w:qFormat/>
    <w:uiPriority w:val="21"/>
    <w:rPr>
      <w:i/>
      <w:iCs/>
      <w:color w:val="104862" w:themeColor="accent1" w:themeShade="BF"/>
    </w:rPr>
  </w:style>
  <w:style w:type="paragraph" w:styleId="44">
    <w:name w:val="Intense Quote"/>
    <w:basedOn w:val="1"/>
    <w:next w:val="1"/>
    <w:link w:val="4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5">
    <w:name w:val="明显引用 字符"/>
    <w:basedOn w:val="25"/>
    <w:link w:val="44"/>
    <w:qFormat/>
    <w:uiPriority w:val="30"/>
    <w:rPr>
      <w:i/>
      <w:iCs/>
      <w:color w:val="104862" w:themeColor="accent1" w:themeShade="BF"/>
    </w:rPr>
  </w:style>
  <w:style w:type="character" w:customStyle="1" w:styleId="46">
    <w:name w:val="明显参考1"/>
    <w:basedOn w:val="25"/>
    <w:qFormat/>
    <w:uiPriority w:val="32"/>
    <w:rPr>
      <w:b/>
      <w:bCs/>
      <w:smallCaps/>
      <w:color w:val="104862" w:themeColor="accent1" w:themeShade="BF"/>
      <w:spacing w:val="5"/>
    </w:rPr>
  </w:style>
  <w:style w:type="table" w:customStyle="1" w:styleId="47">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character" w:customStyle="1" w:styleId="48">
    <w:name w:val="正文文本 字符"/>
    <w:basedOn w:val="25"/>
    <w:link w:val="13"/>
    <w:qFormat/>
    <w:uiPriority w:val="1"/>
    <w:rPr>
      <w:rFonts w:ascii="Arial" w:hAnsi="Arial" w:eastAsia="宋体" w:cs="Arial"/>
      <w:sz w:val="24"/>
      <w:lang w:eastAsia="en-US"/>
    </w:rPr>
  </w:style>
  <w:style w:type="paragraph" w:customStyle="1" w:styleId="49">
    <w:name w:val="Table Paragraph"/>
    <w:basedOn w:val="1"/>
    <w:qFormat/>
    <w:uiPriority w:val="1"/>
  </w:style>
  <w:style w:type="paragraph" w:customStyle="1" w:styleId="50">
    <w:name w:val="First Paragraph"/>
    <w:basedOn w:val="13"/>
    <w:next w:val="13"/>
    <w:qFormat/>
    <w:uiPriority w:val="0"/>
  </w:style>
  <w:style w:type="paragraph" w:customStyle="1" w:styleId="51">
    <w:name w:val="修订1"/>
    <w:hidden/>
    <w:unhideWhenUsed/>
    <w:qFormat/>
    <w:uiPriority w:val="99"/>
    <w:rPr>
      <w:rFonts w:ascii="Arial" w:hAnsi="Arial" w:eastAsia="Arial" w:cs="Arial"/>
      <w:sz w:val="22"/>
      <w:szCs w:val="22"/>
      <w:lang w:val="en-US" w:eastAsia="en-US" w:bidi="ar-SA"/>
    </w:rPr>
  </w:style>
  <w:style w:type="character" w:customStyle="1" w:styleId="52">
    <w:name w:val="批注文字 字符"/>
    <w:basedOn w:val="25"/>
    <w:link w:val="12"/>
    <w:qFormat/>
    <w:uiPriority w:val="99"/>
    <w:rPr>
      <w:rFonts w:ascii="Arial" w:hAnsi="Arial" w:eastAsia="Arial" w:cs="Arial"/>
      <w:sz w:val="22"/>
      <w:szCs w:val="22"/>
      <w:lang w:eastAsia="en-US"/>
    </w:rPr>
  </w:style>
  <w:style w:type="character" w:customStyle="1" w:styleId="53">
    <w:name w:val="批注主题 字符"/>
    <w:basedOn w:val="52"/>
    <w:link w:val="22"/>
    <w:semiHidden/>
    <w:qFormat/>
    <w:uiPriority w:val="99"/>
    <w:rPr>
      <w:rFonts w:ascii="Arial" w:hAnsi="Arial" w:eastAsia="Arial" w:cs="Arial"/>
      <w:b/>
      <w:bCs/>
      <w:sz w:val="22"/>
      <w:szCs w:val="22"/>
      <w:lang w:eastAsia="en-US"/>
    </w:rPr>
  </w:style>
  <w:style w:type="paragraph" w:customStyle="1" w:styleId="54">
    <w:name w:val="修订2"/>
    <w:hidden/>
    <w:unhideWhenUsed/>
    <w:qFormat/>
    <w:uiPriority w:val="99"/>
    <w:rPr>
      <w:rFonts w:ascii="Arial" w:hAnsi="Arial" w:eastAsia="Arial" w:cs="Arial"/>
      <w:sz w:val="22"/>
      <w:szCs w:val="22"/>
      <w:lang w:val="en-US" w:eastAsia="en-US" w:bidi="ar-SA"/>
    </w:rPr>
  </w:style>
  <w:style w:type="character" w:customStyle="1" w:styleId="55">
    <w:name w:val="页眉 字符"/>
    <w:basedOn w:val="25"/>
    <w:link w:val="16"/>
    <w:qFormat/>
    <w:uiPriority w:val="99"/>
    <w:rPr>
      <w:rFonts w:ascii="Arial" w:hAnsi="Arial" w:eastAsia="Arial" w:cs="Arial"/>
      <w:sz w:val="18"/>
      <w:szCs w:val="18"/>
      <w:lang w:eastAsia="en-US"/>
    </w:rPr>
  </w:style>
  <w:style w:type="character" w:customStyle="1" w:styleId="56">
    <w:name w:val="页脚 字符"/>
    <w:basedOn w:val="25"/>
    <w:link w:val="15"/>
    <w:qFormat/>
    <w:uiPriority w:val="99"/>
    <w:rPr>
      <w:rFonts w:ascii="Arial" w:hAnsi="Arial" w:eastAsia="Arial" w:cs="Arial"/>
      <w:sz w:val="18"/>
      <w:szCs w:val="18"/>
      <w:lang w:eastAsia="en-US"/>
    </w:rPr>
  </w:style>
  <w:style w:type="paragraph" w:customStyle="1" w:styleId="57">
    <w:name w:val="TOC Heading"/>
    <w:basedOn w:val="2"/>
    <w:next w:val="1"/>
    <w:unhideWhenUsed/>
    <w:qFormat/>
    <w:uiPriority w:val="39"/>
    <w:pPr>
      <w:widowControl/>
      <w:autoSpaceDE/>
      <w:autoSpaceDN/>
      <w:spacing w:after="0" w:line="259" w:lineRule="auto"/>
      <w:outlineLvl w:val="9"/>
    </w:pPr>
    <w:rPr>
      <w:sz w:val="32"/>
      <w:szCs w:val="32"/>
      <w:lang w:eastAsia="zh-CN"/>
    </w:rPr>
  </w:style>
  <w:style w:type="paragraph" w:customStyle="1" w:styleId="58">
    <w:name w:val="正文1"/>
    <w:basedOn w:val="1"/>
    <w:qFormat/>
    <w:uiPriority w:val="0"/>
    <w:pPr>
      <w:spacing w:before="50" w:beforeLines="50" w:after="50" w:afterLines="50" w:line="360" w:lineRule="auto"/>
      <w:ind w:firstLine="200" w:firstLineChars="200"/>
    </w:pPr>
    <w:rPr>
      <w:rFonts w:ascii="Arial" w:hAnsi="Arial"/>
      <w:sz w:val="24"/>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E8296A-79D7-4A18-A5E3-15B4382E40F7}">
  <ds:schemaRefs/>
</ds:datastoreItem>
</file>

<file path=docProps/app.xml><?xml version="1.0" encoding="utf-8"?>
<Properties xmlns="http://schemas.openxmlformats.org/officeDocument/2006/extended-properties" xmlns:vt="http://schemas.openxmlformats.org/officeDocument/2006/docPropsVTypes">
  <Template>Normal</Template>
  <Pages>56</Pages>
  <Words>1525</Words>
  <Characters>1942</Characters>
  <Lines>935</Lines>
  <Paragraphs>630</Paragraphs>
  <TotalTime>102</TotalTime>
  <ScaleCrop>false</ScaleCrop>
  <LinksUpToDate>false</LinksUpToDate>
  <CharactersWithSpaces>2121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2024-08-24T01:26:00Z</dcterms:created>
  <dc:creator>t10180</dc:creator>
  <cp:lastModifiedBy>August</cp:lastModifiedBy>
  <cp:lastPrinted>2025-04-07T03:50:00Z</cp:lastPrinted>
  <dcterms:modified xsi:type="dcterms:W3CDTF">2025-04-08T16:57:10Z</dcterms:modified>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31A7145DE6294E0B86D529DCDED4AE2F_13</vt:lpwstr>
  </property>
  <property fmtid="{D5CDD505-2E9C-101B-9397-08002B2CF9AE}" pid="4" name="KSOTemplateDocerSaveRecord">
    <vt:lpwstr>eyJoZGlkIjoiYTU3YTYyOTNlM2QzZWM3MGU4M2FmYzhiODUxYjBlMGUiLCJ1c2VySWQiOiIzMTk0NTc5NDcifQ==</vt:lpwstr>
  </property>
</Properties>
</file>