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13BA1" w14:textId="77777777" w:rsidR="00881162" w:rsidRDefault="00E36C01" w:rsidP="00B432DF">
      <w:pPr>
        <w:spacing w:line="480" w:lineRule="auto"/>
      </w:pPr>
      <w:r>
        <w:t xml:space="preserve">Bioaccumulation of mercury in </w:t>
      </w:r>
      <w:r w:rsidR="00881162">
        <w:t xml:space="preserve">wood frog and spotted salamander eggs, larvae, and adults in </w:t>
      </w:r>
      <w:r w:rsidR="006D400C">
        <w:t xml:space="preserve">Vermont </w:t>
      </w:r>
      <w:r>
        <w:t>vernal pool</w:t>
      </w:r>
      <w:r w:rsidR="00881162">
        <w:t>s</w:t>
      </w:r>
    </w:p>
    <w:p w14:paraId="66394848" w14:textId="77777777" w:rsidR="00E36C01" w:rsidRDefault="00830885">
      <w:r>
        <w:t xml:space="preserve">Steven D. </w:t>
      </w:r>
      <w:proofErr w:type="spellStart"/>
      <w:r>
        <w:t>Faccio</w:t>
      </w:r>
      <w:proofErr w:type="spellEnd"/>
      <w:r>
        <w:t xml:space="preserve">, Kate </w:t>
      </w:r>
      <w:r w:rsidR="006F6062">
        <w:t xml:space="preserve">L. </w:t>
      </w:r>
      <w:proofErr w:type="spellStart"/>
      <w:r>
        <w:t>Buckman</w:t>
      </w:r>
      <w:proofErr w:type="spellEnd"/>
      <w:r>
        <w:t>, Vivien Taylor</w:t>
      </w:r>
      <w:r w:rsidR="006D1DA6">
        <w:t>, John D. Lloyd</w:t>
      </w:r>
    </w:p>
    <w:p w14:paraId="3E96E638" w14:textId="77777777" w:rsidR="006D400C" w:rsidRDefault="006D400C"/>
    <w:p w14:paraId="3E0ADA0C" w14:textId="77777777" w:rsidR="006D400C" w:rsidRPr="000F60CF" w:rsidRDefault="006D400C">
      <w:pPr>
        <w:rPr>
          <w:b/>
        </w:rPr>
      </w:pPr>
      <w:r w:rsidRPr="000F60CF">
        <w:rPr>
          <w:b/>
        </w:rPr>
        <w:t>Introduction</w:t>
      </w:r>
    </w:p>
    <w:p w14:paraId="415BC0D2" w14:textId="77777777" w:rsidR="00E36C01" w:rsidRDefault="00E249F1" w:rsidP="00B432DF">
      <w:pPr>
        <w:spacing w:line="480" w:lineRule="auto"/>
      </w:pPr>
      <w:r w:rsidRPr="00E249F1">
        <w:t>Vernal pools are temporary to semi-permanent</w:t>
      </w:r>
      <w:r w:rsidR="00254723">
        <w:t>,</w:t>
      </w:r>
      <w:r w:rsidRPr="00E249F1">
        <w:t xml:space="preserve"> </w:t>
      </w:r>
      <w:r w:rsidR="009B57B5">
        <w:t xml:space="preserve">isolated </w:t>
      </w:r>
      <w:r w:rsidR="00F549F0">
        <w:t>wetland</w:t>
      </w:r>
      <w:r w:rsidRPr="00E249F1">
        <w:t xml:space="preserve">s occurring in shallow depressions that typically fill during the spring </w:t>
      </w:r>
      <w:r>
        <w:t>and/</w:t>
      </w:r>
      <w:r w:rsidRPr="00E249F1">
        <w:t>or fall and dry during summer or in drought years</w:t>
      </w:r>
      <w:r>
        <w:t xml:space="preserve"> (</w:t>
      </w:r>
      <w:r w:rsidRPr="00E249F1">
        <w:t xml:space="preserve">Calhoun and </w:t>
      </w:r>
      <w:proofErr w:type="spellStart"/>
      <w:r w:rsidRPr="00E249F1">
        <w:t>deMaynadier</w:t>
      </w:r>
      <w:proofErr w:type="spellEnd"/>
      <w:r w:rsidRPr="00E249F1">
        <w:t xml:space="preserve"> 200</w:t>
      </w:r>
      <w:r w:rsidR="00F549F0">
        <w:t>9</w:t>
      </w:r>
      <w:r>
        <w:t>)</w:t>
      </w:r>
      <w:r w:rsidRPr="00E249F1">
        <w:t xml:space="preserve">. </w:t>
      </w:r>
      <w:r>
        <w:t xml:space="preserve">In the </w:t>
      </w:r>
      <w:r w:rsidR="00254723">
        <w:t>N</w:t>
      </w:r>
      <w:r>
        <w:t>ortheastern and north central United States and adjacent Canada, vernal pools are relatively widespread and abundant</w:t>
      </w:r>
      <w:r w:rsidR="00761B34">
        <w:t xml:space="preserve"> in forested landscapes</w:t>
      </w:r>
      <w:r>
        <w:t xml:space="preserve"> (Colburn 2004, Van Meter et al. 2008, </w:t>
      </w:r>
      <w:proofErr w:type="spellStart"/>
      <w:r>
        <w:t>Faccio</w:t>
      </w:r>
      <w:proofErr w:type="spellEnd"/>
      <w:r>
        <w:t xml:space="preserve"> et al. 2016), and provide</w:t>
      </w:r>
      <w:r w:rsidRPr="00E249F1">
        <w:t xml:space="preserve"> </w:t>
      </w:r>
      <w:r w:rsidR="001A6E6B">
        <w:t>critical</w:t>
      </w:r>
      <w:r w:rsidRPr="00E249F1">
        <w:t xml:space="preserve"> breeding habitat for amphibians, such as wood frogs </w:t>
      </w:r>
      <w:r>
        <w:t>(</w:t>
      </w:r>
      <w:proofErr w:type="spellStart"/>
      <w:r w:rsidRPr="00E249F1">
        <w:rPr>
          <w:i/>
        </w:rPr>
        <w:t>Lithobates</w:t>
      </w:r>
      <w:proofErr w:type="spellEnd"/>
      <w:r w:rsidRPr="00E249F1">
        <w:rPr>
          <w:i/>
        </w:rPr>
        <w:t xml:space="preserve"> sylvatica</w:t>
      </w:r>
      <w:r>
        <w:t xml:space="preserve">) </w:t>
      </w:r>
      <w:r w:rsidRPr="00E249F1">
        <w:t xml:space="preserve">and </w:t>
      </w:r>
      <w:proofErr w:type="spellStart"/>
      <w:r w:rsidRPr="00E249F1">
        <w:rPr>
          <w:i/>
        </w:rPr>
        <w:t>Ambystomid</w:t>
      </w:r>
      <w:proofErr w:type="spellEnd"/>
      <w:r w:rsidRPr="00E249F1">
        <w:t xml:space="preserve"> salamanders</w:t>
      </w:r>
      <w:r w:rsidR="005077DE">
        <w:t xml:space="preserve"> (</w:t>
      </w:r>
      <w:proofErr w:type="spellStart"/>
      <w:r w:rsidR="005077DE">
        <w:t>Semlitsch</w:t>
      </w:r>
      <w:proofErr w:type="spellEnd"/>
      <w:r w:rsidR="005077DE">
        <w:t xml:space="preserve"> and Skelly 2009)</w:t>
      </w:r>
      <w:r w:rsidRPr="00E249F1">
        <w:t>, as well as numerous invertebrate taxa adapted to temporary waters</w:t>
      </w:r>
      <w:r w:rsidR="00243EFB">
        <w:t xml:space="preserve"> (C</w:t>
      </w:r>
      <w:r w:rsidR="005077DE">
        <w:t>o</w:t>
      </w:r>
      <w:r w:rsidR="00243EFB">
        <w:t>l</w:t>
      </w:r>
      <w:r w:rsidR="005077DE">
        <w:t>burn et al. 2009)</w:t>
      </w:r>
      <w:r w:rsidRPr="00E249F1">
        <w:t xml:space="preserve">. </w:t>
      </w:r>
      <w:r w:rsidR="001A6E6B">
        <w:t>Globally, a</w:t>
      </w:r>
      <w:r w:rsidR="004B4398">
        <w:t>mphibian</w:t>
      </w:r>
      <w:r w:rsidR="00BB0EEF">
        <w:t>s</w:t>
      </w:r>
      <w:r w:rsidR="000E637A">
        <w:t xml:space="preserve"> </w:t>
      </w:r>
      <w:r w:rsidR="00BB0EEF">
        <w:t>are among the most imperiled vertebrate</w:t>
      </w:r>
      <w:r w:rsidR="001A6E6B">
        <w:t xml:space="preserve"> group</w:t>
      </w:r>
      <w:r w:rsidR="00BB0EEF">
        <w:t>s</w:t>
      </w:r>
      <w:r w:rsidR="00F22E93">
        <w:t xml:space="preserve">, </w:t>
      </w:r>
      <w:r w:rsidR="00BB0EEF">
        <w:t xml:space="preserve">due to widespread </w:t>
      </w:r>
      <w:r w:rsidR="000E637A">
        <w:t>population decline</w:t>
      </w:r>
      <w:r w:rsidR="00BB0EEF">
        <w:t>s</w:t>
      </w:r>
      <w:r w:rsidR="000E637A">
        <w:t xml:space="preserve"> and</w:t>
      </w:r>
      <w:r w:rsidR="004B4398">
        <w:t xml:space="preserve"> </w:t>
      </w:r>
      <w:r w:rsidR="00BB0EEF">
        <w:t xml:space="preserve">species extinctions </w:t>
      </w:r>
      <w:r w:rsidR="004B4398">
        <w:t xml:space="preserve">(Wake and </w:t>
      </w:r>
      <w:proofErr w:type="spellStart"/>
      <w:r w:rsidR="004B4398">
        <w:t>Vredenburg</w:t>
      </w:r>
      <w:proofErr w:type="spellEnd"/>
      <w:r w:rsidR="004B4398">
        <w:t xml:space="preserve"> 2008</w:t>
      </w:r>
      <w:r w:rsidR="000E637A">
        <w:t>, Adams et al. 2013</w:t>
      </w:r>
      <w:r w:rsidR="004B4398">
        <w:t>)</w:t>
      </w:r>
      <w:r w:rsidR="00B9181B">
        <w:t>. I</w:t>
      </w:r>
      <w:r w:rsidR="004B4398">
        <w:t xml:space="preserve">n the Northeastern United States, 70% of vernal pool-breeding amphibians are considered moderate- to high-priority species of </w:t>
      </w:r>
      <w:r w:rsidR="00F549F0">
        <w:t xml:space="preserve">regional </w:t>
      </w:r>
      <w:r w:rsidR="004B4398">
        <w:t>con</w:t>
      </w:r>
      <w:r w:rsidR="009B57B5">
        <w:t xml:space="preserve">servation concern (NEPARC 2010), underscoring the importance </w:t>
      </w:r>
      <w:r w:rsidR="00C46181">
        <w:t>of</w:t>
      </w:r>
      <w:r w:rsidR="009B57B5">
        <w:t xml:space="preserve"> these keystone ecosystems </w:t>
      </w:r>
      <w:r w:rsidR="00C46181">
        <w:t>to</w:t>
      </w:r>
      <w:r w:rsidR="009B57B5">
        <w:t xml:space="preserve"> maintaining viable populations of at-risk species.</w:t>
      </w:r>
      <w:r w:rsidR="00C46181">
        <w:t xml:space="preserve"> Due to their small size, ephemeral nature, spatial and hydrologic isolation, and relatively small watersheds, vernal pools </w:t>
      </w:r>
      <w:r w:rsidR="00980334">
        <w:t>can be</w:t>
      </w:r>
      <w:r w:rsidR="00C46181">
        <w:t xml:space="preserve"> affected by </w:t>
      </w:r>
      <w:r w:rsidR="00074C1A">
        <w:t xml:space="preserve">small-scale </w:t>
      </w:r>
      <w:r w:rsidR="00C46181">
        <w:t>local conditions</w:t>
      </w:r>
      <w:r w:rsidR="00074C1A">
        <w:t>, such as land use and land cover type,</w:t>
      </w:r>
      <w:r w:rsidR="00C46181">
        <w:t xml:space="preserve"> </w:t>
      </w:r>
      <w:r w:rsidR="00074C1A">
        <w:t>as well as</w:t>
      </w:r>
      <w:r w:rsidR="00C46181">
        <w:t xml:space="preserve"> large-scale environmental perturbations</w:t>
      </w:r>
      <w:r w:rsidR="00980334">
        <w:t>, including acid precipitation (</w:t>
      </w:r>
      <w:proofErr w:type="spellStart"/>
      <w:r w:rsidR="00980334">
        <w:t>Pough</w:t>
      </w:r>
      <w:proofErr w:type="spellEnd"/>
      <w:r w:rsidR="00980334">
        <w:t xml:space="preserve"> 1976, Cook 1983) and atmospherically deposited mercury (Brooks at al. 2012, </w:t>
      </w:r>
      <w:proofErr w:type="spellStart"/>
      <w:r w:rsidR="00C754DB">
        <w:t>Loftin</w:t>
      </w:r>
      <w:proofErr w:type="spellEnd"/>
      <w:r w:rsidR="00C754DB">
        <w:t xml:space="preserve"> et al. 2012, </w:t>
      </w:r>
      <w:r w:rsidR="00980334">
        <w:t>Benoit et al. 2013).</w:t>
      </w:r>
    </w:p>
    <w:p w14:paraId="7801168C" w14:textId="77777777" w:rsidR="009B57B5" w:rsidRDefault="009B57B5" w:rsidP="00E36C01"/>
    <w:p w14:paraId="5CCAE607" w14:textId="77777777" w:rsidR="00973099" w:rsidRDefault="00FD4160" w:rsidP="00B432DF">
      <w:pPr>
        <w:spacing w:line="480" w:lineRule="auto"/>
      </w:pPr>
      <w:r w:rsidRPr="00FD4160">
        <w:t xml:space="preserve">Mercury </w:t>
      </w:r>
      <w:r w:rsidR="001E4649">
        <w:t xml:space="preserve">(Hg) </w:t>
      </w:r>
      <w:r w:rsidRPr="00FD4160">
        <w:t>contamination via atmospheric deposition</w:t>
      </w:r>
      <w:r>
        <w:t>, originating primarily from coal-fired power plants and industrial incinerators,</w:t>
      </w:r>
      <w:r w:rsidRPr="00FD4160">
        <w:t xml:space="preserve"> is widespread in the Northeast</w:t>
      </w:r>
      <w:r>
        <w:t xml:space="preserve"> (Miller et al. 2005)</w:t>
      </w:r>
      <w:r w:rsidRPr="00FD4160">
        <w:t xml:space="preserve">, and </w:t>
      </w:r>
      <w:r w:rsidRPr="00FD4160">
        <w:lastRenderedPageBreak/>
        <w:t>hotspots with enhanced deposition and biological uptake have been identified throughout the region</w:t>
      </w:r>
      <w:r>
        <w:t xml:space="preserve"> (Evers et al. 2007)</w:t>
      </w:r>
      <w:r w:rsidRPr="00FD4160">
        <w:t>.</w:t>
      </w:r>
      <w:r w:rsidR="00C754DB" w:rsidRPr="00C754DB">
        <w:t xml:space="preserve"> In the Northeast, hotspots are often associated with forested regions with an abundance of wetlands</w:t>
      </w:r>
      <w:r w:rsidR="001F119D">
        <w:t>, which facilitate the conversion of Hg to the more toxic and bioavailable methylmercury (</w:t>
      </w:r>
      <w:proofErr w:type="spellStart"/>
      <w:r w:rsidR="001F119D">
        <w:t>MeHg</w:t>
      </w:r>
      <w:proofErr w:type="spellEnd"/>
      <w:r w:rsidR="001F119D">
        <w:t>)</w:t>
      </w:r>
      <w:r w:rsidR="001E4649">
        <w:t xml:space="preserve"> (Driscoll et al. 2007)</w:t>
      </w:r>
      <w:r w:rsidR="00C754DB" w:rsidRPr="00C754DB">
        <w:t xml:space="preserve">. </w:t>
      </w:r>
      <w:r w:rsidR="00254723" w:rsidRPr="00C754DB">
        <w:t xml:space="preserve">Landscape plays a critical role in Hg accumulation, methylation and mobilization in forest floors. </w:t>
      </w:r>
      <w:r w:rsidR="00C754DB" w:rsidRPr="00C754DB">
        <w:t>Mixed landscapes of forest cover and agricultural use are considered to have the highest Hg methylation efficiency</w:t>
      </w:r>
      <w:r w:rsidR="006813FB">
        <w:t xml:space="preserve"> (</w:t>
      </w:r>
      <w:proofErr w:type="spellStart"/>
      <w:r w:rsidR="006813FB">
        <w:t>Krabbenhoft</w:t>
      </w:r>
      <w:proofErr w:type="spellEnd"/>
      <w:r w:rsidR="006813FB">
        <w:t xml:space="preserve"> 1999)</w:t>
      </w:r>
      <w:r w:rsidR="00C754DB" w:rsidRPr="00C754DB">
        <w:t xml:space="preserve">, and land disturbance such as timber harvesting can increase </w:t>
      </w:r>
      <w:proofErr w:type="spellStart"/>
      <w:r w:rsidR="00C754DB" w:rsidRPr="00C754DB">
        <w:t>MeHg</w:t>
      </w:r>
      <w:proofErr w:type="spellEnd"/>
      <w:r w:rsidR="00C754DB" w:rsidRPr="00C754DB">
        <w:t xml:space="preserve"> and Hg export</w:t>
      </w:r>
      <w:r w:rsidR="006813FB">
        <w:t xml:space="preserve"> </w:t>
      </w:r>
      <w:r w:rsidR="006813FB" w:rsidRPr="006813FB">
        <w:t>(Driscoll et al. 2007)</w:t>
      </w:r>
      <w:r w:rsidR="00C754DB" w:rsidRPr="00C754DB">
        <w:t>.</w:t>
      </w:r>
      <w:r w:rsidR="00211E69">
        <w:t xml:space="preserve"> </w:t>
      </w:r>
      <w:r w:rsidR="00455911">
        <w:t>A</w:t>
      </w:r>
      <w:r w:rsidR="00211E69">
        <w:t xml:space="preserve"> variety of landscape characteristics </w:t>
      </w:r>
      <w:r w:rsidR="00254723">
        <w:t>common to</w:t>
      </w:r>
      <w:r w:rsidR="00211E69">
        <w:t xml:space="preserve"> vernal pools are associated with enhancing Hg deposition</w:t>
      </w:r>
      <w:r w:rsidR="004163B5">
        <w:t xml:space="preserve">. First, </w:t>
      </w:r>
      <w:r w:rsidR="00F960B0">
        <w:t xml:space="preserve">vernal pools are typically found embedded in a forest matrix where </w:t>
      </w:r>
      <w:r w:rsidR="004163B5">
        <w:t xml:space="preserve">leaves in the canopy scavenge Hg from the </w:t>
      </w:r>
      <w:r w:rsidR="001F7541">
        <w:t xml:space="preserve">atmosphere </w:t>
      </w:r>
      <w:r w:rsidR="00297059">
        <w:t xml:space="preserve">and subsequently leach it to the forest floor in </w:t>
      </w:r>
      <w:proofErr w:type="spellStart"/>
      <w:r w:rsidR="00297059">
        <w:t>throughfall</w:t>
      </w:r>
      <w:proofErr w:type="spellEnd"/>
      <w:r w:rsidR="00297059">
        <w:t xml:space="preserve"> and </w:t>
      </w:r>
      <w:proofErr w:type="spellStart"/>
      <w:r w:rsidR="00297059">
        <w:t>litterfall</w:t>
      </w:r>
      <w:proofErr w:type="spellEnd"/>
      <w:r w:rsidR="00297059">
        <w:t xml:space="preserve"> </w:t>
      </w:r>
      <w:r w:rsidR="001F7541">
        <w:t>(Lindberg et al. 1995, Rea et al. 1996)</w:t>
      </w:r>
      <w:r w:rsidR="00297059">
        <w:t xml:space="preserve">. </w:t>
      </w:r>
      <w:r w:rsidR="001F7541">
        <w:t xml:space="preserve">Second, </w:t>
      </w:r>
      <w:r w:rsidR="006A7C79">
        <w:t>Hg transport</w:t>
      </w:r>
      <w:r w:rsidR="005C3D70">
        <w:t xml:space="preserve"> from the forest floor</w:t>
      </w:r>
      <w:r w:rsidR="006A7C79">
        <w:t xml:space="preserve"> is </w:t>
      </w:r>
      <w:r w:rsidR="005C3D70">
        <w:t>greatest along</w:t>
      </w:r>
      <w:r w:rsidR="006A7C79">
        <w:t xml:space="preserve"> </w:t>
      </w:r>
      <w:r w:rsidR="001F7541">
        <w:t xml:space="preserve">shallow hydrologic </w:t>
      </w:r>
      <w:proofErr w:type="spellStart"/>
      <w:r w:rsidR="001F7541">
        <w:t>flowpaths</w:t>
      </w:r>
      <w:proofErr w:type="spellEnd"/>
      <w:r w:rsidR="001F7541">
        <w:t xml:space="preserve"> (</w:t>
      </w:r>
      <w:proofErr w:type="spellStart"/>
      <w:r w:rsidR="001F7541">
        <w:t>Grigal</w:t>
      </w:r>
      <w:proofErr w:type="spellEnd"/>
      <w:r w:rsidR="001F7541">
        <w:t xml:space="preserve"> 2002, Galloway and </w:t>
      </w:r>
      <w:proofErr w:type="spellStart"/>
      <w:r w:rsidR="001F7541">
        <w:t>Branfireun</w:t>
      </w:r>
      <w:proofErr w:type="spellEnd"/>
      <w:r w:rsidR="001F7541">
        <w:t xml:space="preserve"> 2004)</w:t>
      </w:r>
      <w:r w:rsidR="006A7C79">
        <w:t xml:space="preserve">, </w:t>
      </w:r>
      <w:r w:rsidR="00627362">
        <w:t>such as surface waters that typically f</w:t>
      </w:r>
      <w:r w:rsidR="00761B34">
        <w:t>ill</w:t>
      </w:r>
      <w:r w:rsidR="00627362">
        <w:t xml:space="preserve"> most vernal pools</w:t>
      </w:r>
      <w:r w:rsidR="00AB6D8C">
        <w:t>. And third,</w:t>
      </w:r>
      <w:r w:rsidR="006A7C79">
        <w:t xml:space="preserve"> aquatic systems with low primary p</w:t>
      </w:r>
      <w:r w:rsidR="001F7541">
        <w:t>roductiv</w:t>
      </w:r>
      <w:r w:rsidR="006A7C79">
        <w:t xml:space="preserve">ity </w:t>
      </w:r>
      <w:r w:rsidR="00AB6D8C">
        <w:t xml:space="preserve">(such as vernal pools) </w:t>
      </w:r>
      <w:r w:rsidR="006A7C79">
        <w:t>enhance Hg concentration in biota</w:t>
      </w:r>
      <w:r w:rsidR="001F7541">
        <w:t xml:space="preserve"> (Chen et al. 2005)</w:t>
      </w:r>
      <w:r w:rsidR="005C3D70">
        <w:t xml:space="preserve">. In addition, hydrologic and </w:t>
      </w:r>
      <w:r w:rsidR="00211E69">
        <w:t>biogeochemical properties</w:t>
      </w:r>
      <w:r w:rsidR="00211E69" w:rsidRPr="00211E69">
        <w:t xml:space="preserve"> </w:t>
      </w:r>
      <w:r w:rsidR="005C3D70">
        <w:t xml:space="preserve">of vernal pools </w:t>
      </w:r>
      <w:r w:rsidR="00211E69">
        <w:t xml:space="preserve">provide ideal conditions for </w:t>
      </w:r>
      <w:r w:rsidR="00973099">
        <w:t xml:space="preserve">production of </w:t>
      </w:r>
      <w:r w:rsidR="00890AB6" w:rsidRPr="00890AB6">
        <w:t xml:space="preserve">the </w:t>
      </w:r>
      <w:r w:rsidR="00973099">
        <w:t>sulfate-reducing bacteria</w:t>
      </w:r>
      <w:r w:rsidR="00211E69">
        <w:t xml:space="preserve"> responsible for Hg methylation</w:t>
      </w:r>
      <w:r w:rsidR="00973099">
        <w:t xml:space="preserve"> (Wiener et al. 2003)</w:t>
      </w:r>
      <w:r w:rsidR="00211E69">
        <w:t xml:space="preserve">. </w:t>
      </w:r>
      <w:r w:rsidR="00B00F24">
        <w:t>These include water level fluctuations and periodic wetting,</w:t>
      </w:r>
      <w:r w:rsidR="00B00F24" w:rsidRPr="00B00F24">
        <w:t xml:space="preserve"> </w:t>
      </w:r>
      <w:r w:rsidR="00B00F24">
        <w:t xml:space="preserve">low dissolved oxygen, </w:t>
      </w:r>
      <w:r w:rsidR="00B00F24" w:rsidRPr="00B00F24">
        <w:t xml:space="preserve">high dissolved organic </w:t>
      </w:r>
      <w:r w:rsidR="00B00F24">
        <w:t>carbon</w:t>
      </w:r>
      <w:r w:rsidR="009E291A">
        <w:t xml:space="preserve"> (DOC)</w:t>
      </w:r>
      <w:r w:rsidR="00B00F24" w:rsidRPr="00B00F24">
        <w:t xml:space="preserve">, </w:t>
      </w:r>
      <w:r w:rsidR="00B00F24">
        <w:t xml:space="preserve">and </w:t>
      </w:r>
      <w:r w:rsidR="00B00F24" w:rsidRPr="00B00F24">
        <w:t>low pH</w:t>
      </w:r>
      <w:r w:rsidR="00BB3EC9">
        <w:t>, all of which increase methylation efficiency</w:t>
      </w:r>
      <w:r w:rsidR="00455911">
        <w:t xml:space="preserve"> (Benoit et al. 2003), suggesting that </w:t>
      </w:r>
      <w:r w:rsidR="00881162">
        <w:t>vernal pools</w:t>
      </w:r>
      <w:r w:rsidR="00455911">
        <w:t xml:space="preserve"> are potential hotspots for </w:t>
      </w:r>
      <w:proofErr w:type="spellStart"/>
      <w:r w:rsidR="00455911">
        <w:t>MeHg</w:t>
      </w:r>
      <w:proofErr w:type="spellEnd"/>
      <w:r w:rsidR="00455911">
        <w:t xml:space="preserve"> production</w:t>
      </w:r>
      <w:r w:rsidR="00890AB6">
        <w:t xml:space="preserve"> and bioaccumulation in </w:t>
      </w:r>
      <w:r w:rsidR="00881162">
        <w:t>fauna</w:t>
      </w:r>
      <w:r w:rsidR="00890AB6">
        <w:t>, particularly in higher trophic</w:t>
      </w:r>
      <w:r w:rsidR="00455911">
        <w:t xml:space="preserve"> </w:t>
      </w:r>
      <w:r w:rsidR="00890AB6">
        <w:t>level</w:t>
      </w:r>
      <w:r w:rsidR="00890AB6" w:rsidRPr="00890AB6">
        <w:t xml:space="preserve"> </w:t>
      </w:r>
      <w:r w:rsidR="00890AB6">
        <w:t xml:space="preserve">taxa such as amphibian larvae, which may </w:t>
      </w:r>
      <w:r w:rsidR="006307D3">
        <w:t>then transport Hg to terrestrial systems via metamorphosis.</w:t>
      </w:r>
    </w:p>
    <w:p w14:paraId="6EE78D68" w14:textId="77777777" w:rsidR="00973099" w:rsidRDefault="00973099" w:rsidP="00B432DF">
      <w:pPr>
        <w:spacing w:line="480" w:lineRule="auto"/>
      </w:pPr>
    </w:p>
    <w:p w14:paraId="4428BA14" w14:textId="77777777" w:rsidR="00F960B0" w:rsidRDefault="00881162" w:rsidP="00B432DF">
      <w:pPr>
        <w:spacing w:line="480" w:lineRule="auto"/>
      </w:pPr>
      <w:r>
        <w:lastRenderedPageBreak/>
        <w:t>Fe</w:t>
      </w:r>
      <w:r w:rsidR="000711A1">
        <w:t>w studies have investigated Hg in vernal pools (</w:t>
      </w:r>
      <w:r w:rsidR="00854968">
        <w:t xml:space="preserve">Brooks et al. 2012, </w:t>
      </w:r>
      <w:proofErr w:type="spellStart"/>
      <w:r w:rsidR="00854968">
        <w:t>Loftin</w:t>
      </w:r>
      <w:proofErr w:type="spellEnd"/>
      <w:r w:rsidR="00854968">
        <w:t xml:space="preserve"> et al. 2012, </w:t>
      </w:r>
      <w:r w:rsidR="000711A1">
        <w:t xml:space="preserve">Benoit et al. 2013, </w:t>
      </w:r>
      <w:r w:rsidR="00854968">
        <w:t xml:space="preserve">Davis 2013) </w:t>
      </w:r>
      <w:r w:rsidR="000711A1">
        <w:t xml:space="preserve">and only </w:t>
      </w:r>
      <w:r w:rsidR="00854968" w:rsidRPr="00854968">
        <w:t xml:space="preserve">Brooks et al. </w:t>
      </w:r>
      <w:r w:rsidR="00854968">
        <w:t>(</w:t>
      </w:r>
      <w:r w:rsidR="00854968" w:rsidRPr="00854968">
        <w:t>2012</w:t>
      </w:r>
      <w:r w:rsidR="00854968">
        <w:t>) and</w:t>
      </w:r>
      <w:r w:rsidR="00854968" w:rsidRPr="00854968">
        <w:t xml:space="preserve"> </w:t>
      </w:r>
      <w:proofErr w:type="spellStart"/>
      <w:r w:rsidR="00854968" w:rsidRPr="00854968">
        <w:t>Loftin</w:t>
      </w:r>
      <w:proofErr w:type="spellEnd"/>
      <w:r w:rsidR="00854968" w:rsidRPr="00854968">
        <w:t xml:space="preserve"> et al. </w:t>
      </w:r>
      <w:r w:rsidR="00854968">
        <w:t>(</w:t>
      </w:r>
      <w:r w:rsidR="00854968" w:rsidRPr="00854968">
        <w:t>2012</w:t>
      </w:r>
      <w:r w:rsidR="00854968">
        <w:t>)</w:t>
      </w:r>
      <w:r w:rsidR="000711A1">
        <w:t xml:space="preserve"> </w:t>
      </w:r>
      <w:r w:rsidR="00854968">
        <w:t>evaluated</w:t>
      </w:r>
      <w:r w:rsidR="000711A1">
        <w:t xml:space="preserve"> Hg concentrations in amphibians, </w:t>
      </w:r>
      <w:r w:rsidR="00F8442D">
        <w:t>with</w:t>
      </w:r>
      <w:r w:rsidR="00854968">
        <w:t xml:space="preserve"> </w:t>
      </w:r>
      <w:r w:rsidR="000711A1">
        <w:t xml:space="preserve">both </w:t>
      </w:r>
      <w:r w:rsidR="00854968">
        <w:t xml:space="preserve">studies </w:t>
      </w:r>
      <w:r w:rsidR="00F8442D">
        <w:t xml:space="preserve">sampling </w:t>
      </w:r>
      <w:r w:rsidR="00654427">
        <w:t xml:space="preserve">developing </w:t>
      </w:r>
      <w:r w:rsidR="000711A1">
        <w:t>wood frog</w:t>
      </w:r>
      <w:r w:rsidR="00654427">
        <w:t>s</w:t>
      </w:r>
      <w:r w:rsidR="00854968">
        <w:t xml:space="preserve">. </w:t>
      </w:r>
      <w:r w:rsidR="00FF78B6">
        <w:t>We found n</w:t>
      </w:r>
      <w:r w:rsidR="009A3F70">
        <w:t xml:space="preserve">o studies </w:t>
      </w:r>
      <w:r w:rsidR="00FF78B6">
        <w:t>reporting on</w:t>
      </w:r>
      <w:r w:rsidR="009A3F70">
        <w:t xml:space="preserve"> Hg concentrations in adult wood frogs or </w:t>
      </w:r>
      <w:r w:rsidR="00FF78B6">
        <w:t xml:space="preserve">vernal </w:t>
      </w:r>
      <w:r w:rsidR="009A3F70">
        <w:t xml:space="preserve">pool-breeding </w:t>
      </w:r>
      <w:proofErr w:type="spellStart"/>
      <w:r w:rsidR="009A3F70" w:rsidRPr="00FF78B6">
        <w:rPr>
          <w:i/>
        </w:rPr>
        <w:t>Ambystom</w:t>
      </w:r>
      <w:r w:rsidR="00FF78B6" w:rsidRPr="00FF78B6">
        <w:rPr>
          <w:i/>
        </w:rPr>
        <w:t>id</w:t>
      </w:r>
      <w:proofErr w:type="spellEnd"/>
      <w:r w:rsidR="00FF78B6">
        <w:t xml:space="preserve"> salamanders at any life stage. </w:t>
      </w:r>
      <w:r w:rsidR="00ED3C81">
        <w:t xml:space="preserve">In Maine vernal pools, </w:t>
      </w:r>
      <w:r w:rsidR="00F8442D">
        <w:t>total Hg (</w:t>
      </w:r>
      <w:proofErr w:type="spellStart"/>
      <w:r w:rsidR="00F8442D">
        <w:t>THg</w:t>
      </w:r>
      <w:proofErr w:type="spellEnd"/>
      <w:r w:rsidR="00F8442D">
        <w:t xml:space="preserve">) concentrations in </w:t>
      </w:r>
      <w:r w:rsidR="00F930F7">
        <w:t xml:space="preserve">wood frog larvae were correlated with </w:t>
      </w:r>
      <w:proofErr w:type="spellStart"/>
      <w:r w:rsidR="00F930F7">
        <w:t>THg</w:t>
      </w:r>
      <w:proofErr w:type="spellEnd"/>
      <w:r w:rsidR="00F930F7">
        <w:t xml:space="preserve"> in pool water, which</w:t>
      </w:r>
      <w:r w:rsidR="00F8442D">
        <w:t xml:space="preserve"> increased during April to June when amphibian embryos and larvae </w:t>
      </w:r>
      <w:r w:rsidR="00F930F7">
        <w:t>we</w:t>
      </w:r>
      <w:r w:rsidR="00F8442D">
        <w:t xml:space="preserve">re </w:t>
      </w:r>
      <w:r w:rsidR="006D400C">
        <w:t>developing</w:t>
      </w:r>
      <w:r w:rsidR="00B432DF" w:rsidRPr="00B432DF">
        <w:t xml:space="preserve"> </w:t>
      </w:r>
      <w:r w:rsidR="00B432DF">
        <w:t>(</w:t>
      </w:r>
      <w:proofErr w:type="spellStart"/>
      <w:r w:rsidR="00B432DF">
        <w:t>Loftin</w:t>
      </w:r>
      <w:proofErr w:type="spellEnd"/>
      <w:r w:rsidR="00B432DF">
        <w:t xml:space="preserve"> et al. 2012)</w:t>
      </w:r>
      <w:r w:rsidR="001F2B21">
        <w:t xml:space="preserve">. </w:t>
      </w:r>
      <w:r w:rsidR="00ED3C81">
        <w:t>I</w:t>
      </w:r>
      <w:r w:rsidR="00D55EF4">
        <w:t>n</w:t>
      </w:r>
      <w:r w:rsidR="00ED3C81">
        <w:t xml:space="preserve"> New York and Vermont pools, </w:t>
      </w:r>
      <w:r w:rsidR="0073131F">
        <w:t xml:space="preserve">Davis (2013) found that </w:t>
      </w:r>
      <w:proofErr w:type="spellStart"/>
      <w:r w:rsidR="00F930F7">
        <w:t>THg</w:t>
      </w:r>
      <w:proofErr w:type="spellEnd"/>
      <w:r w:rsidR="00F930F7">
        <w:t xml:space="preserve">, </w:t>
      </w:r>
      <w:proofErr w:type="spellStart"/>
      <w:r w:rsidR="0073131F">
        <w:t>MeHg</w:t>
      </w:r>
      <w:proofErr w:type="spellEnd"/>
      <w:r w:rsidR="00F930F7">
        <w:t>,</w:t>
      </w:r>
      <w:r w:rsidR="0073131F">
        <w:t xml:space="preserve"> </w:t>
      </w:r>
      <w:r w:rsidR="001F2B21">
        <w:t>and</w:t>
      </w:r>
      <w:r w:rsidR="0073131F">
        <w:t xml:space="preserve"> methylation efficiency </w:t>
      </w:r>
      <w:r w:rsidR="00104F0E">
        <w:t xml:space="preserve">of pool water </w:t>
      </w:r>
      <w:r w:rsidR="00ED3C81">
        <w:t xml:space="preserve">also </w:t>
      </w:r>
      <w:r w:rsidR="0073131F">
        <w:t xml:space="preserve">increased </w:t>
      </w:r>
      <w:r w:rsidR="00F930F7">
        <w:t>during the spring</w:t>
      </w:r>
      <w:r w:rsidR="001F2B21">
        <w:t xml:space="preserve">, with mean methylation efficiencies </w:t>
      </w:r>
      <w:r w:rsidR="00ED3C81">
        <w:t>reaching</w:t>
      </w:r>
      <w:r w:rsidR="001F2B21">
        <w:t xml:space="preserve"> 43% to 58%</w:t>
      </w:r>
      <w:r w:rsidR="0073131F">
        <w:t>.</w:t>
      </w:r>
      <w:r w:rsidR="00B70315">
        <w:t xml:space="preserve"> </w:t>
      </w:r>
      <w:r w:rsidR="00F960B0">
        <w:t xml:space="preserve">Methylation efficiencies exceeding 10% have been linked to elevated levels of </w:t>
      </w:r>
      <w:proofErr w:type="spellStart"/>
      <w:r w:rsidR="00F960B0">
        <w:t>MeHg</w:t>
      </w:r>
      <w:proofErr w:type="spellEnd"/>
      <w:r w:rsidR="00F960B0">
        <w:t xml:space="preserve"> in b</w:t>
      </w:r>
      <w:r w:rsidR="001F2B21">
        <w:t>iota (</w:t>
      </w:r>
      <w:proofErr w:type="spellStart"/>
      <w:r w:rsidR="001F2B21">
        <w:t>Krabbenhoft</w:t>
      </w:r>
      <w:proofErr w:type="spellEnd"/>
      <w:r w:rsidR="001F2B21">
        <w:t xml:space="preserve"> et al. 1999)</w:t>
      </w:r>
      <w:r w:rsidR="00A7071A">
        <w:t xml:space="preserve">, suggesting that </w:t>
      </w:r>
      <w:r w:rsidR="00825591">
        <w:t xml:space="preserve">amphibian </w:t>
      </w:r>
      <w:proofErr w:type="spellStart"/>
      <w:r w:rsidR="00825591">
        <w:t>metamorphs</w:t>
      </w:r>
      <w:proofErr w:type="spellEnd"/>
      <w:r w:rsidR="00825591">
        <w:t xml:space="preserve"> </w:t>
      </w:r>
      <w:r w:rsidR="00A7071A">
        <w:t xml:space="preserve">may </w:t>
      </w:r>
      <w:r w:rsidR="00654427">
        <w:t>ex</w:t>
      </w:r>
      <w:r w:rsidR="00A7071A">
        <w:t xml:space="preserve">port significant </w:t>
      </w:r>
      <w:proofErr w:type="spellStart"/>
      <w:r w:rsidR="00A7071A">
        <w:t>MeHg</w:t>
      </w:r>
      <w:proofErr w:type="spellEnd"/>
      <w:r w:rsidR="00A7071A">
        <w:t xml:space="preserve"> into surrounding terrestrial systems</w:t>
      </w:r>
      <w:r w:rsidR="00825591">
        <w:t>,</w:t>
      </w:r>
      <w:r w:rsidR="00A7071A">
        <w:t xml:space="preserve"> especially given th</w:t>
      </w:r>
      <w:r w:rsidR="00B432DF">
        <w:t>e</w:t>
      </w:r>
      <w:r w:rsidR="00A7071A">
        <w:t xml:space="preserve"> </w:t>
      </w:r>
      <w:r w:rsidR="00B432DF">
        <w:t xml:space="preserve">significant amount of biomass that emerging </w:t>
      </w:r>
      <w:r w:rsidR="00A7071A">
        <w:t xml:space="preserve">amphibians </w:t>
      </w:r>
      <w:r w:rsidR="00825591">
        <w:t>contribute into forested uplands surrounding vernal pools (</w:t>
      </w:r>
      <w:proofErr w:type="spellStart"/>
      <w:r w:rsidR="00825591">
        <w:t>Windmiller</w:t>
      </w:r>
      <w:proofErr w:type="spellEnd"/>
      <w:r w:rsidR="00825591">
        <w:t xml:space="preserve"> 1996</w:t>
      </w:r>
      <w:r w:rsidR="00104F0E">
        <w:t xml:space="preserve">, </w:t>
      </w:r>
      <w:proofErr w:type="spellStart"/>
      <w:r w:rsidR="00104F0E">
        <w:t>Berven</w:t>
      </w:r>
      <w:proofErr w:type="spellEnd"/>
      <w:r w:rsidR="00104F0E">
        <w:t xml:space="preserve"> 2009</w:t>
      </w:r>
      <w:r w:rsidR="00825591">
        <w:t>)</w:t>
      </w:r>
      <w:r w:rsidR="001F2B21">
        <w:t>.</w:t>
      </w:r>
      <w:r w:rsidR="00ED3C81">
        <w:t xml:space="preserve"> </w:t>
      </w:r>
      <w:r w:rsidR="00063E72">
        <w:t xml:space="preserve">In addition, </w:t>
      </w:r>
      <w:r w:rsidR="004555E0">
        <w:t xml:space="preserve">water from </w:t>
      </w:r>
      <w:r w:rsidR="00063E72">
        <w:t>p</w:t>
      </w:r>
      <w:r w:rsidR="00063E72" w:rsidRPr="005F7E55">
        <w:t xml:space="preserve">ools in coniferous forests were found to have higher </w:t>
      </w:r>
      <w:proofErr w:type="spellStart"/>
      <w:r w:rsidR="00063E72">
        <w:t>T</w:t>
      </w:r>
      <w:r w:rsidR="00063E72" w:rsidRPr="005F7E55">
        <w:t>Hg</w:t>
      </w:r>
      <w:proofErr w:type="spellEnd"/>
      <w:r w:rsidR="00063E72" w:rsidRPr="005F7E55">
        <w:t xml:space="preserve"> than those surrounded by hardwoods</w:t>
      </w:r>
      <w:r w:rsidR="00063E72">
        <w:t xml:space="preserve"> (</w:t>
      </w:r>
      <w:proofErr w:type="spellStart"/>
      <w:r w:rsidR="00063E72">
        <w:t>Loftin</w:t>
      </w:r>
      <w:proofErr w:type="spellEnd"/>
      <w:r w:rsidR="00063E72">
        <w:t xml:space="preserve"> et al. 2012)</w:t>
      </w:r>
      <w:r w:rsidR="00063E72" w:rsidRPr="005F7E55">
        <w:t xml:space="preserve">, which is consistent with higher </w:t>
      </w:r>
      <w:proofErr w:type="spellStart"/>
      <w:r w:rsidR="00063E72" w:rsidRPr="005F7E55">
        <w:t>throughfall</w:t>
      </w:r>
      <w:proofErr w:type="spellEnd"/>
      <w:r w:rsidR="00063E72" w:rsidRPr="005F7E55">
        <w:t xml:space="preserve"> and Hg capture by coniferous trees</w:t>
      </w:r>
      <w:r w:rsidR="00063E72">
        <w:t xml:space="preserve"> (</w:t>
      </w:r>
      <w:proofErr w:type="spellStart"/>
      <w:r w:rsidR="00063E72">
        <w:t>Risch</w:t>
      </w:r>
      <w:proofErr w:type="spellEnd"/>
      <w:r w:rsidR="00063E72">
        <w:t xml:space="preserve"> et al. 2012).</w:t>
      </w:r>
      <w:r w:rsidR="00513398">
        <w:t xml:space="preserve"> This could have negative implications for amphibian larvae and </w:t>
      </w:r>
      <w:proofErr w:type="spellStart"/>
      <w:r w:rsidR="00513398">
        <w:t>metamorph</w:t>
      </w:r>
      <w:proofErr w:type="spellEnd"/>
      <w:r w:rsidR="00513398">
        <w:t xml:space="preserve"> survival (</w:t>
      </w:r>
      <w:proofErr w:type="spellStart"/>
      <w:r w:rsidR="00513398">
        <w:t>Unrine</w:t>
      </w:r>
      <w:proofErr w:type="spellEnd"/>
      <w:r w:rsidR="00513398">
        <w:t xml:space="preserve"> et al. 2004) in pools surrounded by coniferous forests, </w:t>
      </w:r>
      <w:r w:rsidR="0085576A">
        <w:t>as well as</w:t>
      </w:r>
      <w:r w:rsidR="00513398">
        <w:t xml:space="preserve"> </w:t>
      </w:r>
      <w:r w:rsidR="0085576A">
        <w:t xml:space="preserve">for increased </w:t>
      </w:r>
      <w:r w:rsidR="00513398">
        <w:t>Hg export into the terrestrial environment.</w:t>
      </w:r>
    </w:p>
    <w:p w14:paraId="69776F4C" w14:textId="77777777" w:rsidR="0081215F" w:rsidRDefault="0081215F" w:rsidP="00B432DF">
      <w:pPr>
        <w:spacing w:line="480" w:lineRule="auto"/>
      </w:pPr>
    </w:p>
    <w:p w14:paraId="25F5B53D" w14:textId="77777777" w:rsidR="0081215F" w:rsidRDefault="0081215F" w:rsidP="00B432DF">
      <w:pPr>
        <w:spacing w:line="480" w:lineRule="auto"/>
      </w:pPr>
      <w:r>
        <w:t xml:space="preserve">As part of a broader study </w:t>
      </w:r>
      <w:r w:rsidRPr="0081215F">
        <w:t xml:space="preserve">to evaluate the role of landscape characteristics and land-use on the production and transfer of </w:t>
      </w:r>
      <w:proofErr w:type="spellStart"/>
      <w:r w:rsidRPr="0081215F">
        <w:t>MeHg</w:t>
      </w:r>
      <w:proofErr w:type="spellEnd"/>
      <w:r w:rsidRPr="0081215F">
        <w:t xml:space="preserve"> in </w:t>
      </w:r>
      <w:r>
        <w:t xml:space="preserve">Vermont </w:t>
      </w:r>
      <w:r w:rsidRPr="0081215F">
        <w:t>vernal pools</w:t>
      </w:r>
      <w:r>
        <w:t xml:space="preserve">, this study focused on the bioaccumulation of </w:t>
      </w:r>
      <w:proofErr w:type="spellStart"/>
      <w:r>
        <w:t>MeHg</w:t>
      </w:r>
      <w:proofErr w:type="spellEnd"/>
      <w:r w:rsidR="005F7E55">
        <w:t xml:space="preserve"> in wood frog and spotted salamander</w:t>
      </w:r>
      <w:r>
        <w:t xml:space="preserve"> (</w:t>
      </w:r>
      <w:proofErr w:type="spellStart"/>
      <w:r w:rsidRPr="005F7E55">
        <w:rPr>
          <w:i/>
        </w:rPr>
        <w:t>Ambystoma</w:t>
      </w:r>
      <w:proofErr w:type="spellEnd"/>
      <w:r w:rsidRPr="005F7E55">
        <w:rPr>
          <w:i/>
        </w:rPr>
        <w:t xml:space="preserve"> </w:t>
      </w:r>
      <w:proofErr w:type="spellStart"/>
      <w:r w:rsidRPr="005F7E55">
        <w:rPr>
          <w:i/>
        </w:rPr>
        <w:t>maculatum</w:t>
      </w:r>
      <w:proofErr w:type="spellEnd"/>
      <w:r>
        <w:t>)</w:t>
      </w:r>
      <w:r w:rsidR="005F7E55">
        <w:t xml:space="preserve"> eggs, </w:t>
      </w:r>
      <w:r w:rsidR="005F7E55">
        <w:lastRenderedPageBreak/>
        <w:t xml:space="preserve">larvae, and adults, and </w:t>
      </w:r>
      <w:r w:rsidR="007B5CB2">
        <w:t>investigat</w:t>
      </w:r>
      <w:r w:rsidR="009E291A">
        <w:t xml:space="preserve">ed relationships among </w:t>
      </w:r>
      <w:r w:rsidR="007B5CB2">
        <w:t xml:space="preserve">Hg, </w:t>
      </w:r>
      <w:r w:rsidR="0085576A">
        <w:t xml:space="preserve">water </w:t>
      </w:r>
      <w:r w:rsidR="009E291A">
        <w:t>chemi</w:t>
      </w:r>
      <w:r w:rsidR="0085576A">
        <w:t>stry</w:t>
      </w:r>
      <w:r w:rsidR="009E291A">
        <w:t xml:space="preserve"> </w:t>
      </w:r>
      <w:r w:rsidR="007B5CB2">
        <w:t xml:space="preserve">(pH, DOC, aluminum), </w:t>
      </w:r>
      <w:r w:rsidR="009E291A">
        <w:t xml:space="preserve">and </w:t>
      </w:r>
      <w:r w:rsidR="005F7E55">
        <w:t xml:space="preserve">forest cover </w:t>
      </w:r>
      <w:r w:rsidR="00063E72">
        <w:t>type</w:t>
      </w:r>
      <w:r w:rsidR="007B5CB2">
        <w:t xml:space="preserve"> surrounding pools</w:t>
      </w:r>
      <w:r w:rsidR="005F7E55">
        <w:t xml:space="preserve">. </w:t>
      </w:r>
      <w:r w:rsidR="00075EF7">
        <w:t xml:space="preserve">We hypothesized that </w:t>
      </w:r>
      <w:proofErr w:type="spellStart"/>
      <w:r w:rsidR="00075EF7">
        <w:t>MeHg</w:t>
      </w:r>
      <w:proofErr w:type="spellEnd"/>
      <w:r w:rsidR="00075EF7">
        <w:t xml:space="preserve"> in amphibian larvae would increase as they developed, and that predatory salamander larvae, which feed at a higher trophic level, would have higher concentrations of </w:t>
      </w:r>
      <w:proofErr w:type="spellStart"/>
      <w:r w:rsidR="00075EF7">
        <w:t>MeHg</w:t>
      </w:r>
      <w:proofErr w:type="spellEnd"/>
      <w:r w:rsidR="00075EF7">
        <w:t xml:space="preserve"> than omnivorous wood frog larvae due to </w:t>
      </w:r>
      <w:proofErr w:type="spellStart"/>
      <w:r w:rsidR="00075EF7">
        <w:t>biomagnification</w:t>
      </w:r>
      <w:proofErr w:type="spellEnd"/>
      <w:r w:rsidR="00075EF7">
        <w:t xml:space="preserve">. We also hypothesized that water in pools surrounded by conifers would have higher Hg concentrations compared to those in deciduous stands, and that this would correlate with amphibian Hg </w:t>
      </w:r>
      <w:r w:rsidR="00777385">
        <w:t>burdens</w:t>
      </w:r>
      <w:r w:rsidR="00075EF7">
        <w:t>.</w:t>
      </w:r>
      <w:r w:rsidR="00777385">
        <w:t xml:space="preserve"> And finally, because</w:t>
      </w:r>
      <w:r w:rsidR="00777385" w:rsidRPr="00777385">
        <w:t xml:space="preserve"> Hg </w:t>
      </w:r>
      <w:proofErr w:type="spellStart"/>
      <w:r w:rsidR="00777385">
        <w:t>bio</w:t>
      </w:r>
      <w:r w:rsidR="00777385" w:rsidRPr="00777385">
        <w:t>accumulates</w:t>
      </w:r>
      <w:proofErr w:type="spellEnd"/>
      <w:r w:rsidR="00777385" w:rsidRPr="00777385">
        <w:t xml:space="preserve"> and is not easily eliminated from the body</w:t>
      </w:r>
      <w:r w:rsidR="00777385">
        <w:t xml:space="preserve"> (Bergeron et al. 2010)</w:t>
      </w:r>
      <w:r w:rsidR="00777385" w:rsidRPr="00777385">
        <w:t xml:space="preserve">, </w:t>
      </w:r>
      <w:r w:rsidR="00777385">
        <w:t xml:space="preserve">we hypothesized that longer-lived </w:t>
      </w:r>
      <w:r w:rsidR="00777385" w:rsidRPr="00777385">
        <w:t xml:space="preserve">spotted salamander </w:t>
      </w:r>
      <w:r w:rsidR="00777385">
        <w:t>adults would</w:t>
      </w:r>
      <w:r w:rsidR="00777385" w:rsidRPr="00777385">
        <w:t xml:space="preserve"> have higher Hg concentrations compared to shorter-lived</w:t>
      </w:r>
      <w:r w:rsidR="00777385">
        <w:t xml:space="preserve"> wood frog adults.</w:t>
      </w:r>
    </w:p>
    <w:p w14:paraId="5E36BDF3" w14:textId="77777777" w:rsidR="00C83A2B" w:rsidRDefault="00C83A2B" w:rsidP="00B432DF">
      <w:pPr>
        <w:spacing w:line="480" w:lineRule="auto"/>
      </w:pPr>
    </w:p>
    <w:p w14:paraId="7521F67B" w14:textId="77777777" w:rsidR="00814E3D" w:rsidRDefault="00814E3D" w:rsidP="00B432DF">
      <w:pPr>
        <w:spacing w:line="480" w:lineRule="auto"/>
      </w:pPr>
    </w:p>
    <w:p w14:paraId="32F9B968" w14:textId="77777777" w:rsidR="00C83A2B" w:rsidRPr="000F60CF" w:rsidRDefault="00C83A2B" w:rsidP="00B432DF">
      <w:pPr>
        <w:spacing w:line="480" w:lineRule="auto"/>
        <w:rPr>
          <w:b/>
        </w:rPr>
      </w:pPr>
      <w:r w:rsidRPr="000F60CF">
        <w:rPr>
          <w:b/>
        </w:rPr>
        <w:t>Methods</w:t>
      </w:r>
    </w:p>
    <w:p w14:paraId="314A93D6" w14:textId="77777777" w:rsidR="00814E3D" w:rsidRDefault="00814E3D" w:rsidP="00B432DF">
      <w:pPr>
        <w:spacing w:line="480" w:lineRule="auto"/>
      </w:pPr>
    </w:p>
    <w:p w14:paraId="15165668" w14:textId="77777777" w:rsidR="00C83A2B" w:rsidRPr="0057510B" w:rsidRDefault="00814E3D" w:rsidP="00B432DF">
      <w:pPr>
        <w:spacing w:line="480" w:lineRule="auto"/>
      </w:pPr>
      <w:r w:rsidRPr="0057510B">
        <w:t>Study Sites</w:t>
      </w:r>
    </w:p>
    <w:p w14:paraId="14FD8935" w14:textId="77777777" w:rsidR="00814E3D" w:rsidRDefault="00814E3D" w:rsidP="00B432DF">
      <w:pPr>
        <w:spacing w:line="480" w:lineRule="auto"/>
      </w:pPr>
    </w:p>
    <w:p w14:paraId="5D857D49" w14:textId="77777777" w:rsidR="00814E3D" w:rsidRDefault="007A56BE" w:rsidP="00B432DF">
      <w:pPr>
        <w:spacing w:line="480" w:lineRule="auto"/>
      </w:pPr>
      <w:r>
        <w:t>For this study, six vernal pools (three located in coniferous forests and three in deciduous forests) were selected from</w:t>
      </w:r>
      <w:r w:rsidR="00814E3D">
        <w:t xml:space="preserve"> the Vermont Vernal Pool Mapping Project database</w:t>
      </w:r>
      <w:r>
        <w:t xml:space="preserve"> (</w:t>
      </w:r>
      <w:proofErr w:type="spellStart"/>
      <w:r>
        <w:t>Faccio</w:t>
      </w:r>
      <w:proofErr w:type="spellEnd"/>
      <w:r>
        <w:t xml:space="preserve"> et al. 2013)</w:t>
      </w:r>
      <w:r w:rsidR="006F6062">
        <w:t xml:space="preserve"> (Table 1)</w:t>
      </w:r>
      <w:r w:rsidR="00814E3D">
        <w:t>.</w:t>
      </w:r>
      <w:r w:rsidR="006F6062" w:rsidRPr="006F6062">
        <w:t xml:space="preserve"> </w:t>
      </w:r>
      <w:r w:rsidR="006F6062">
        <w:t xml:space="preserve">All pools were located </w:t>
      </w:r>
      <w:r w:rsidR="00552F2D">
        <w:t xml:space="preserve">in </w:t>
      </w:r>
      <w:r w:rsidR="006F6062">
        <w:t>east-central Vermont</w:t>
      </w:r>
      <w:r w:rsidR="000F60CF">
        <w:t xml:space="preserve"> (N43</w:t>
      </w:r>
      <w:r w:rsidR="000F60CF">
        <w:rPr>
          <w:rFonts w:cstheme="minorHAnsi"/>
        </w:rPr>
        <w:t>°</w:t>
      </w:r>
      <w:r w:rsidR="00117BB5">
        <w:rPr>
          <w:rFonts w:cstheme="minorHAnsi"/>
        </w:rPr>
        <w:t>53’</w:t>
      </w:r>
      <w:r w:rsidR="000F60CF">
        <w:t>,</w:t>
      </w:r>
      <w:r w:rsidR="00117BB5">
        <w:t xml:space="preserve"> N43</w:t>
      </w:r>
      <w:r w:rsidR="00117BB5" w:rsidRPr="00117BB5">
        <w:t>°</w:t>
      </w:r>
      <w:r w:rsidR="00117BB5">
        <w:t>42’;</w:t>
      </w:r>
      <w:r w:rsidR="000F60CF">
        <w:t xml:space="preserve"> W72</w:t>
      </w:r>
      <w:r w:rsidR="000F60CF" w:rsidRPr="000F60CF">
        <w:t>°</w:t>
      </w:r>
      <w:r w:rsidR="00117BB5">
        <w:t>27’, W72</w:t>
      </w:r>
      <w:r w:rsidR="00117BB5" w:rsidRPr="00117BB5">
        <w:t>°</w:t>
      </w:r>
      <w:r w:rsidR="00117BB5">
        <w:t xml:space="preserve"> 16’</w:t>
      </w:r>
      <w:r w:rsidR="000F60CF">
        <w:t>)</w:t>
      </w:r>
      <w:r w:rsidR="006F6062">
        <w:t xml:space="preserve">, with four </w:t>
      </w:r>
      <w:r w:rsidR="00552F2D">
        <w:t xml:space="preserve">pools located </w:t>
      </w:r>
      <w:r w:rsidR="006F6062">
        <w:t>in south-eastern Orange Co., and two in northeastern Windsor Co.</w:t>
      </w:r>
      <w:r w:rsidR="00675E66">
        <w:t xml:space="preserve"> </w:t>
      </w:r>
      <w:r w:rsidR="004B36AC">
        <w:t xml:space="preserve">The </w:t>
      </w:r>
      <w:r w:rsidR="00117BB5">
        <w:t>largely forested, rural landscape is characterized by moderate hills with numerous wetlands and vernal pools. The forest</w:t>
      </w:r>
      <w:r w:rsidR="00604615">
        <w:t xml:space="preserve"> in this region </w:t>
      </w:r>
      <w:r w:rsidR="00DB70BD">
        <w:t>is</w:t>
      </w:r>
      <w:r w:rsidR="00117BB5">
        <w:t xml:space="preserve"> actively logged second-growth dominated by mixed northern hardwoods</w:t>
      </w:r>
      <w:r w:rsidR="00475D13">
        <w:t xml:space="preserve"> of maple (</w:t>
      </w:r>
      <w:r w:rsidR="00475D13" w:rsidRPr="00475D13">
        <w:rPr>
          <w:i/>
        </w:rPr>
        <w:t>Acer</w:t>
      </w:r>
      <w:r w:rsidR="00475D13">
        <w:t xml:space="preserve"> spp.), American beech (</w:t>
      </w:r>
      <w:r w:rsidR="00475D13" w:rsidRPr="00475D13">
        <w:rPr>
          <w:i/>
        </w:rPr>
        <w:t xml:space="preserve">Fagus </w:t>
      </w:r>
      <w:proofErr w:type="spellStart"/>
      <w:r w:rsidR="00475D13" w:rsidRPr="00475D13">
        <w:rPr>
          <w:i/>
        </w:rPr>
        <w:t>grandifolia</w:t>
      </w:r>
      <w:proofErr w:type="spellEnd"/>
      <w:r w:rsidR="00475D13">
        <w:t>), birch (</w:t>
      </w:r>
      <w:proofErr w:type="spellStart"/>
      <w:r w:rsidR="00475D13" w:rsidRPr="00475D13">
        <w:rPr>
          <w:i/>
        </w:rPr>
        <w:t>Betula</w:t>
      </w:r>
      <w:proofErr w:type="spellEnd"/>
      <w:r w:rsidR="00475D13">
        <w:t xml:space="preserve"> </w:t>
      </w:r>
      <w:r w:rsidR="00475D13">
        <w:lastRenderedPageBreak/>
        <w:t xml:space="preserve">spp.), </w:t>
      </w:r>
      <w:r w:rsidR="0057510B">
        <w:t>ash (</w:t>
      </w:r>
      <w:proofErr w:type="spellStart"/>
      <w:r w:rsidR="0057510B" w:rsidRPr="0057510B">
        <w:rPr>
          <w:i/>
        </w:rPr>
        <w:t>Fraxinus</w:t>
      </w:r>
      <w:proofErr w:type="spellEnd"/>
      <w:r w:rsidR="0057510B">
        <w:t xml:space="preserve"> spp.), </w:t>
      </w:r>
      <w:r w:rsidR="00475D13">
        <w:t>eastern hemlock (</w:t>
      </w:r>
      <w:proofErr w:type="spellStart"/>
      <w:r w:rsidR="00475D13" w:rsidRPr="00475D13">
        <w:rPr>
          <w:i/>
        </w:rPr>
        <w:t>Tsuga</w:t>
      </w:r>
      <w:proofErr w:type="spellEnd"/>
      <w:r w:rsidR="00475D13" w:rsidRPr="00475D13">
        <w:rPr>
          <w:i/>
        </w:rPr>
        <w:t xml:space="preserve"> </w:t>
      </w:r>
      <w:proofErr w:type="spellStart"/>
      <w:r w:rsidR="00475D13">
        <w:rPr>
          <w:i/>
        </w:rPr>
        <w:t>c</w:t>
      </w:r>
      <w:r w:rsidR="00475D13" w:rsidRPr="00475D13">
        <w:rPr>
          <w:i/>
        </w:rPr>
        <w:t>anadensis</w:t>
      </w:r>
      <w:proofErr w:type="spellEnd"/>
      <w:r w:rsidR="00475D13">
        <w:t>), and pine (</w:t>
      </w:r>
      <w:proofErr w:type="spellStart"/>
      <w:r w:rsidR="00475D13" w:rsidRPr="00475D13">
        <w:rPr>
          <w:i/>
        </w:rPr>
        <w:t>Pinus</w:t>
      </w:r>
      <w:proofErr w:type="spellEnd"/>
      <w:r w:rsidR="00475D13">
        <w:t xml:space="preserve"> spp.)</w:t>
      </w:r>
      <w:r w:rsidR="00117BB5">
        <w:t xml:space="preserve">. </w:t>
      </w:r>
      <w:r w:rsidR="00675E66">
        <w:t xml:space="preserve">All pools were located in interior forests </w:t>
      </w:r>
      <w:r w:rsidR="00604615">
        <w:rPr>
          <w:rFonts w:cstheme="minorHAnsi"/>
        </w:rPr>
        <w:t>≥</w:t>
      </w:r>
      <w:r w:rsidR="00675E66">
        <w:t>1</w:t>
      </w:r>
      <w:r w:rsidR="00730536">
        <w:t>4</w:t>
      </w:r>
      <w:r w:rsidR="00675E66">
        <w:t>0</w:t>
      </w:r>
      <w:r w:rsidR="00604615">
        <w:t xml:space="preserve"> </w:t>
      </w:r>
      <w:r w:rsidR="00475D13">
        <w:t xml:space="preserve">m </w:t>
      </w:r>
      <w:r w:rsidR="00604615">
        <w:t>from</w:t>
      </w:r>
      <w:r w:rsidR="00475D13">
        <w:t xml:space="preserve"> </w:t>
      </w:r>
      <w:r w:rsidR="00730536">
        <w:t xml:space="preserve">the nearest </w:t>
      </w:r>
      <w:r w:rsidR="00675E66">
        <w:t>road or building.</w:t>
      </w:r>
    </w:p>
    <w:p w14:paraId="65243AD9" w14:textId="77777777" w:rsidR="0057510B" w:rsidRDefault="0057510B" w:rsidP="00B432DF">
      <w:pPr>
        <w:spacing w:line="480" w:lineRule="auto"/>
      </w:pPr>
    </w:p>
    <w:p w14:paraId="39F29529" w14:textId="77777777" w:rsidR="0057510B" w:rsidRDefault="0057510B" w:rsidP="00B432DF">
      <w:pPr>
        <w:spacing w:line="480" w:lineRule="auto"/>
      </w:pPr>
      <w:r>
        <w:t>Water Sampling</w:t>
      </w:r>
    </w:p>
    <w:p w14:paraId="2A51292D" w14:textId="77777777" w:rsidR="0057510B" w:rsidRDefault="0057510B" w:rsidP="00B432DF">
      <w:pPr>
        <w:spacing w:line="480" w:lineRule="auto"/>
      </w:pPr>
    </w:p>
    <w:p w14:paraId="06A570AD" w14:textId="77777777" w:rsidR="0057510B" w:rsidRDefault="0057510B" w:rsidP="00B432DF">
      <w:pPr>
        <w:spacing w:line="480" w:lineRule="auto"/>
      </w:pPr>
      <w:r>
        <w:t xml:space="preserve">Water samples </w:t>
      </w:r>
      <w:r w:rsidR="00A841CB">
        <w:t xml:space="preserve">for Hg analysis </w:t>
      </w:r>
      <w:r>
        <w:t>were collected using clean</w:t>
      </w:r>
      <w:r w:rsidRPr="0057510B">
        <w:t xml:space="preserve"> Hg sampling techniques</w:t>
      </w:r>
      <w:r>
        <w:t>, and were</w:t>
      </w:r>
      <w:r w:rsidRPr="0057510B">
        <w:t xml:space="preserve"> filtered to 0.2</w:t>
      </w:r>
      <w:r w:rsidR="00604615">
        <w:t xml:space="preserve"> </w:t>
      </w:r>
      <w:r w:rsidRPr="0057510B">
        <w:t xml:space="preserve">µm, preserved in 0.5% </w:t>
      </w:r>
      <w:proofErr w:type="spellStart"/>
      <w:r w:rsidRPr="0057510B">
        <w:t>HCl</w:t>
      </w:r>
      <w:proofErr w:type="spellEnd"/>
      <w:r w:rsidRPr="0057510B">
        <w:t xml:space="preserve">, and stored in the dark prior </w:t>
      </w:r>
      <w:r w:rsidR="00A841CB">
        <w:t xml:space="preserve">to </w:t>
      </w:r>
      <w:r w:rsidRPr="0057510B">
        <w:t>analysis.</w:t>
      </w:r>
      <w:r w:rsidR="00A841CB" w:rsidRPr="00A841CB">
        <w:t xml:space="preserve"> </w:t>
      </w:r>
      <w:r w:rsidR="00A841CB">
        <w:t>I</w:t>
      </w:r>
      <w:r w:rsidR="00A841CB" w:rsidRPr="00A841CB">
        <w:t xml:space="preserve">ndependent </w:t>
      </w:r>
      <w:r w:rsidR="00A841CB">
        <w:t xml:space="preserve">water </w:t>
      </w:r>
      <w:r w:rsidR="00A841CB" w:rsidRPr="00A841CB">
        <w:t>sample</w:t>
      </w:r>
      <w:r w:rsidR="00A841CB">
        <w:t>s</w:t>
      </w:r>
      <w:r w:rsidR="00A841CB" w:rsidRPr="00A841CB">
        <w:t xml:space="preserve"> </w:t>
      </w:r>
      <w:r w:rsidR="00A841CB">
        <w:t xml:space="preserve">at each pool </w:t>
      </w:r>
      <w:r w:rsidR="00A841CB" w:rsidRPr="00A841CB">
        <w:t>w</w:t>
      </w:r>
      <w:r w:rsidR="00A841CB">
        <w:t xml:space="preserve">ere </w:t>
      </w:r>
      <w:r w:rsidR="00A841CB" w:rsidRPr="00A841CB">
        <w:t>collected for total suspended solids and ancillary water chemistry analyses</w:t>
      </w:r>
      <w:r w:rsidR="00D21D6E">
        <w:t xml:space="preserve">, and </w:t>
      </w:r>
      <w:r w:rsidR="00D21D6E" w:rsidRPr="00D21D6E">
        <w:t xml:space="preserve">temperature, pH and oxidation reduction potential </w:t>
      </w:r>
      <w:r w:rsidR="00D21D6E">
        <w:t>were</w:t>
      </w:r>
      <w:r w:rsidR="00D21D6E" w:rsidRPr="00D21D6E">
        <w:t xml:space="preserve"> measured at the site</w:t>
      </w:r>
      <w:r w:rsidR="00A841CB">
        <w:t xml:space="preserve">. Water sampling was initiated at all pools immediately </w:t>
      </w:r>
      <w:r w:rsidR="005742F2">
        <w:t>following</w:t>
      </w:r>
      <w:r w:rsidR="00A841CB">
        <w:t xml:space="preserve"> ice-out in April, 2015</w:t>
      </w:r>
      <w:r w:rsidR="0096579F">
        <w:t xml:space="preserve">, when water levels were at or near peak. Sampling at four pools continued monthly </w:t>
      </w:r>
      <w:r w:rsidR="005742F2">
        <w:t xml:space="preserve">through July </w:t>
      </w:r>
      <w:r w:rsidR="0096579F">
        <w:t>until pools were dry</w:t>
      </w:r>
      <w:r w:rsidR="005742F2">
        <w:t xml:space="preserve"> (all pools were dry by August)</w:t>
      </w:r>
      <w:r w:rsidR="0096579F">
        <w:t>, and then were sampled once after re-w</w:t>
      </w:r>
      <w:r w:rsidR="00D21D6E">
        <w:t xml:space="preserve">etting in November 2015. </w:t>
      </w:r>
      <w:r w:rsidR="0096579F">
        <w:t xml:space="preserve">At two pools (one coniferous, one deciduous), samples were collected </w:t>
      </w:r>
      <w:r w:rsidR="005742F2">
        <w:t>ca. every 7-10 days to more carefully monitor temporal trends of Hg species and water chemistry.</w:t>
      </w:r>
    </w:p>
    <w:p w14:paraId="13E061B6" w14:textId="77777777" w:rsidR="005742F2" w:rsidRDefault="005742F2" w:rsidP="00B432DF">
      <w:pPr>
        <w:spacing w:line="480" w:lineRule="auto"/>
      </w:pPr>
    </w:p>
    <w:p w14:paraId="221133D3" w14:textId="77777777" w:rsidR="005742F2" w:rsidRDefault="005742F2" w:rsidP="00B432DF">
      <w:pPr>
        <w:spacing w:line="480" w:lineRule="auto"/>
      </w:pPr>
      <w:r>
        <w:t>Amphibian Sampling</w:t>
      </w:r>
    </w:p>
    <w:p w14:paraId="08FDDBAE" w14:textId="77777777" w:rsidR="005742F2" w:rsidRDefault="005742F2" w:rsidP="00B432DF">
      <w:pPr>
        <w:spacing w:line="480" w:lineRule="auto"/>
      </w:pPr>
    </w:p>
    <w:p w14:paraId="0DE15444" w14:textId="77777777" w:rsidR="000D3751" w:rsidRDefault="009F6025" w:rsidP="000D3751">
      <w:pPr>
        <w:spacing w:line="480" w:lineRule="auto"/>
      </w:pPr>
      <w:r>
        <w:t>Following spring immigration to pools for breeding, a</w:t>
      </w:r>
      <w:r w:rsidR="005742F2">
        <w:t>dult wood frog</w:t>
      </w:r>
      <w:r>
        <w:t>s</w:t>
      </w:r>
      <w:r w:rsidR="005742F2">
        <w:t xml:space="preserve"> and spotted salamanders (n=4/pool/spp.) </w:t>
      </w:r>
      <w:r>
        <w:t xml:space="preserve">were captured </w:t>
      </w:r>
      <w:r w:rsidR="00B46200">
        <w:t xml:space="preserve">between 20 Apr and 12 May, 2015 </w:t>
      </w:r>
      <w:r>
        <w:t>using dip nets</w:t>
      </w:r>
      <w:r w:rsidR="00283B66">
        <w:t xml:space="preserve"> or</w:t>
      </w:r>
      <w:r>
        <w:t xml:space="preserve"> funnel traps </w:t>
      </w:r>
      <w:r w:rsidR="00283B66">
        <w:t xml:space="preserve">that were </w:t>
      </w:r>
      <w:r>
        <w:t>partially submerged 16-24 hours prior</w:t>
      </w:r>
      <w:r w:rsidR="00283B66">
        <w:t>. Salamanders (n=8) at four pools were found by turning over logs around pool edge</w:t>
      </w:r>
      <w:r>
        <w:t>. After each individual</w:t>
      </w:r>
      <w:r w:rsidR="00B70B18">
        <w:t xml:space="preserve"> was measured (snout</w:t>
      </w:r>
      <w:r>
        <w:t>-</w:t>
      </w:r>
      <w:r w:rsidR="00B70B18">
        <w:t>to-vent length</w:t>
      </w:r>
      <w:r>
        <w:t>, and total length), weighed</w:t>
      </w:r>
      <w:r w:rsidR="00C37F5A">
        <w:t xml:space="preserve"> to the nearest 0.1</w:t>
      </w:r>
      <w:r w:rsidR="000D0613">
        <w:t xml:space="preserve"> </w:t>
      </w:r>
      <w:r w:rsidR="00C37F5A">
        <w:t>g</w:t>
      </w:r>
      <w:r>
        <w:t>, and sexed (based on external characteristics), a tissue and blood sample was collected</w:t>
      </w:r>
      <w:r w:rsidR="00E10F12">
        <w:t xml:space="preserve"> for Hg analysis</w:t>
      </w:r>
      <w:r>
        <w:t>.</w:t>
      </w:r>
      <w:r w:rsidR="00E10F12">
        <w:t xml:space="preserve"> Tissue samples from wood frogs </w:t>
      </w:r>
      <w:r w:rsidR="00E10F12">
        <w:lastRenderedPageBreak/>
        <w:t>consisted of a ca. 4-</w:t>
      </w:r>
      <w:r w:rsidR="00B70B18">
        <w:t>7</w:t>
      </w:r>
      <w:r w:rsidR="000D3751">
        <w:t xml:space="preserve"> </w:t>
      </w:r>
      <w:r w:rsidR="00E10F12">
        <w:t>mm toe-clip</w:t>
      </w:r>
      <w:r w:rsidR="00604615">
        <w:t>,</w:t>
      </w:r>
      <w:r w:rsidR="00E10F12">
        <w:t xml:space="preserve"> </w:t>
      </w:r>
      <w:r w:rsidR="00604615">
        <w:t xml:space="preserve">distal to the webbing, </w:t>
      </w:r>
      <w:r w:rsidR="00E10F12">
        <w:t>of the 4</w:t>
      </w:r>
      <w:r w:rsidR="00E10F12" w:rsidRPr="00E10F12">
        <w:rPr>
          <w:vertAlign w:val="superscript"/>
        </w:rPr>
        <w:t>th</w:t>
      </w:r>
      <w:r w:rsidR="00E10F12">
        <w:t xml:space="preserve"> (longest) toe </w:t>
      </w:r>
      <w:r w:rsidR="00604615">
        <w:t>from</w:t>
      </w:r>
      <w:r w:rsidR="00E10F12">
        <w:t xml:space="preserve"> </w:t>
      </w:r>
      <w:r w:rsidR="00283B66">
        <w:t>a single</w:t>
      </w:r>
      <w:r w:rsidR="00E10F12">
        <w:t xml:space="preserve"> hind foot. Frog </w:t>
      </w:r>
      <w:r w:rsidR="00B70B18">
        <w:t>digits</w:t>
      </w:r>
      <w:r w:rsidR="00E10F12">
        <w:t xml:space="preserve"> were anesthetized prior to amputation using topical lidocaine</w:t>
      </w:r>
      <w:r w:rsidR="00B70B18">
        <w:t xml:space="preserve">, and the remaining digit was treated with antibiotic cream afterward. </w:t>
      </w:r>
      <w:r w:rsidR="000D3751">
        <w:t>From each frog, a 30-</w:t>
      </w:r>
      <w:r w:rsidR="000D0613">
        <w:t>6</w:t>
      </w:r>
      <w:r w:rsidR="000D3751">
        <w:t xml:space="preserve">0 </w:t>
      </w:r>
      <w:r w:rsidR="000D3751">
        <w:rPr>
          <w:rFonts w:cstheme="minorHAnsi"/>
        </w:rPr>
        <w:t>µ</w:t>
      </w:r>
      <w:r w:rsidR="000D3751">
        <w:t>l</w:t>
      </w:r>
      <w:r w:rsidR="006976AD">
        <w:t xml:space="preserve"> b</w:t>
      </w:r>
      <w:r w:rsidR="00362B4B">
        <w:t>lood sample</w:t>
      </w:r>
      <w:r w:rsidR="006976AD">
        <w:t xml:space="preserve"> was collected</w:t>
      </w:r>
      <w:r w:rsidR="008A4B4E">
        <w:t xml:space="preserve"> in </w:t>
      </w:r>
      <w:r w:rsidR="006976AD">
        <w:t xml:space="preserve">a </w:t>
      </w:r>
      <w:r w:rsidR="000D3751">
        <w:t xml:space="preserve">75 </w:t>
      </w:r>
      <w:r w:rsidR="000D3751" w:rsidRPr="000D3751">
        <w:t>µl</w:t>
      </w:r>
      <w:r w:rsidR="000D3751">
        <w:t xml:space="preserve"> heparinized </w:t>
      </w:r>
      <w:r w:rsidR="008A4B4E">
        <w:t xml:space="preserve">capillary tube </w:t>
      </w:r>
      <w:r w:rsidR="000D3751">
        <w:t>by</w:t>
      </w:r>
      <w:r w:rsidR="00362B4B">
        <w:t xml:space="preserve"> </w:t>
      </w:r>
      <w:r w:rsidR="000D3751">
        <w:t xml:space="preserve">puncturing the </w:t>
      </w:r>
      <w:r w:rsidR="00362B4B">
        <w:t>facial vein</w:t>
      </w:r>
      <w:r w:rsidR="000D3751">
        <w:t xml:space="preserve"> with a </w:t>
      </w:r>
      <w:proofErr w:type="gramStart"/>
      <w:r w:rsidR="000D3751">
        <w:t>30 gauge</w:t>
      </w:r>
      <w:proofErr w:type="gramEnd"/>
      <w:r w:rsidR="000D3751">
        <w:t xml:space="preserve"> needle</w:t>
      </w:r>
      <w:r w:rsidR="006976AD">
        <w:t>,</w:t>
      </w:r>
      <w:r w:rsidR="008A4B4E">
        <w:t xml:space="preserve"> following the methods outlined in </w:t>
      </w:r>
      <w:proofErr w:type="spellStart"/>
      <w:r w:rsidR="008A4B4E">
        <w:t>Forzan</w:t>
      </w:r>
      <w:proofErr w:type="spellEnd"/>
      <w:r w:rsidR="008A4B4E">
        <w:t xml:space="preserve"> et al. (2012).</w:t>
      </w:r>
      <w:r w:rsidR="000D3751" w:rsidRPr="000D3751">
        <w:t xml:space="preserve"> </w:t>
      </w:r>
      <w:r w:rsidR="000D3751">
        <w:t xml:space="preserve">Capillary tubes were sealed on both ends with </w:t>
      </w:r>
      <w:proofErr w:type="spellStart"/>
      <w:r w:rsidR="000D3751">
        <w:t>Critocaps</w:t>
      </w:r>
      <w:proofErr w:type="spellEnd"/>
      <w:r w:rsidR="00604615">
        <w:rPr>
          <w:rFonts w:cstheme="minorHAnsi"/>
        </w:rPr>
        <w:t>®</w:t>
      </w:r>
      <w:r w:rsidR="000D3751">
        <w:t>.</w:t>
      </w:r>
      <w:r w:rsidR="00264BFE">
        <w:t xml:space="preserve"> Tissue samples were collected </w:t>
      </w:r>
      <w:r w:rsidR="00C37F5A">
        <w:t xml:space="preserve">from adult spotted salamanders </w:t>
      </w:r>
      <w:r w:rsidR="00264BFE">
        <w:t>by</w:t>
      </w:r>
      <w:r w:rsidR="00C37F5A">
        <w:t xml:space="preserve"> </w:t>
      </w:r>
      <w:r w:rsidR="00264BFE">
        <w:t>amputat</w:t>
      </w:r>
      <w:r w:rsidR="00C37F5A">
        <w:t xml:space="preserve">ing ca. 1-2 cm of tail tip using either a </w:t>
      </w:r>
      <w:r w:rsidR="00264BFE">
        <w:t xml:space="preserve">scalpel or </w:t>
      </w:r>
      <w:r w:rsidR="00C37F5A">
        <w:t xml:space="preserve">surgical scissors. </w:t>
      </w:r>
      <w:r w:rsidR="00264BFE" w:rsidRPr="00264BFE">
        <w:t xml:space="preserve">Blood </w:t>
      </w:r>
      <w:r w:rsidR="00264BFE">
        <w:t xml:space="preserve">samples </w:t>
      </w:r>
      <w:r w:rsidR="00264BFE" w:rsidRPr="00264BFE">
        <w:t>(&lt;</w:t>
      </w:r>
      <w:r w:rsidR="000D0613">
        <w:t>5</w:t>
      </w:r>
      <w:r w:rsidR="00264BFE" w:rsidRPr="00264BFE">
        <w:t xml:space="preserve">0 </w:t>
      </w:r>
      <w:proofErr w:type="spellStart"/>
      <w:r w:rsidR="00264BFE" w:rsidRPr="00264BFE">
        <w:t>μl</w:t>
      </w:r>
      <w:proofErr w:type="spellEnd"/>
      <w:r w:rsidR="00264BFE" w:rsidRPr="00264BFE">
        <w:t xml:space="preserve">) </w:t>
      </w:r>
      <w:r w:rsidR="00264BFE">
        <w:t>were</w:t>
      </w:r>
      <w:r w:rsidR="00264BFE" w:rsidRPr="00264BFE">
        <w:t xml:space="preserve"> collected from tail wound</w:t>
      </w:r>
      <w:r w:rsidR="00264BFE">
        <w:t>s</w:t>
      </w:r>
      <w:r w:rsidR="00264BFE" w:rsidRPr="00264BFE">
        <w:t xml:space="preserve"> using heparinized capillary tubes.</w:t>
      </w:r>
      <w:r w:rsidR="00264BFE">
        <w:t xml:space="preserve"> </w:t>
      </w:r>
      <w:r w:rsidR="00C37F5A">
        <w:t xml:space="preserve">Salamander tails were </w:t>
      </w:r>
      <w:r w:rsidR="00C37F5A" w:rsidRPr="00C37F5A">
        <w:t>anesthetized prior to amputation using topical lidocaine, and</w:t>
      </w:r>
      <w:r w:rsidR="00264BFE">
        <w:t xml:space="preserve"> the wound was treated with antibiotic cream afterward. All </w:t>
      </w:r>
      <w:r w:rsidR="000D0613">
        <w:t xml:space="preserve">tissue and blood sampling </w:t>
      </w:r>
      <w:proofErr w:type="gramStart"/>
      <w:r w:rsidR="000D0613">
        <w:t>was</w:t>
      </w:r>
      <w:proofErr w:type="gramEnd"/>
      <w:r w:rsidR="000D0613">
        <w:t xml:space="preserve"> conducted in the field</w:t>
      </w:r>
      <w:r w:rsidR="00AA3299">
        <w:t>,</w:t>
      </w:r>
      <w:r w:rsidR="000D0613">
        <w:t xml:space="preserve"> and </w:t>
      </w:r>
      <w:r w:rsidR="00264BFE">
        <w:t xml:space="preserve">animals were held for </w:t>
      </w:r>
      <w:r w:rsidR="000D0613">
        <w:t>a short period (ca. 15-80 minutes) before being released back to point of capture.</w:t>
      </w:r>
    </w:p>
    <w:p w14:paraId="186A7512" w14:textId="77777777" w:rsidR="007843B1" w:rsidRDefault="007843B1" w:rsidP="000D3751">
      <w:pPr>
        <w:spacing w:line="480" w:lineRule="auto"/>
      </w:pPr>
    </w:p>
    <w:p w14:paraId="4719E823" w14:textId="77777777" w:rsidR="00C810EE" w:rsidRDefault="000B414D" w:rsidP="000D3751">
      <w:pPr>
        <w:spacing w:line="480" w:lineRule="auto"/>
      </w:pPr>
      <w:r>
        <w:t xml:space="preserve">Wood frog and spotted salamander embryos were collected </w:t>
      </w:r>
      <w:r w:rsidR="00F45ABC">
        <w:t xml:space="preserve">for Hg analysis </w:t>
      </w:r>
      <w:r>
        <w:t xml:space="preserve">between </w:t>
      </w:r>
      <w:r w:rsidR="00F05183">
        <w:t xml:space="preserve">9 and </w:t>
      </w:r>
      <w:r>
        <w:t xml:space="preserve">12 May, 2015. Wood frog </w:t>
      </w:r>
      <w:r w:rsidR="00C810EE">
        <w:t xml:space="preserve">egg </w:t>
      </w:r>
      <w:r>
        <w:t xml:space="preserve">samples were only collected </w:t>
      </w:r>
      <w:r w:rsidR="00F05183">
        <w:t>at</w:t>
      </w:r>
      <w:r>
        <w:t xml:space="preserve"> three pools</w:t>
      </w:r>
      <w:r w:rsidR="00F45ABC">
        <w:t xml:space="preserve"> </w:t>
      </w:r>
      <w:r w:rsidR="00E06232">
        <w:t>(n=4/pool; 12 samples</w:t>
      </w:r>
      <w:r w:rsidR="00E06232" w:rsidRPr="00E06232">
        <w:t xml:space="preserve"> </w:t>
      </w:r>
      <w:r w:rsidR="00E06232">
        <w:t>total)</w:t>
      </w:r>
      <w:r>
        <w:t xml:space="preserve">, while salamander </w:t>
      </w:r>
      <w:r w:rsidR="00E06232">
        <w:t>sample</w:t>
      </w:r>
      <w:r>
        <w:t xml:space="preserve">s were collected </w:t>
      </w:r>
      <w:r w:rsidR="00F05183">
        <w:t>at</w:t>
      </w:r>
      <w:r>
        <w:t xml:space="preserve"> all six pools</w:t>
      </w:r>
      <w:r w:rsidR="00E06232">
        <w:t xml:space="preserve"> (n=4/pool; 24 samples total)</w:t>
      </w:r>
      <w:r>
        <w:t xml:space="preserve">. </w:t>
      </w:r>
      <w:r w:rsidR="00F05183">
        <w:t>A sample consisted of 10-15 embryos collected from a single egg mass; for a total of 40</w:t>
      </w:r>
      <w:r w:rsidR="00C810EE">
        <w:t>-60</w:t>
      </w:r>
      <w:r w:rsidR="00F05183">
        <w:t xml:space="preserve"> embryos/species/pool. </w:t>
      </w:r>
    </w:p>
    <w:p w14:paraId="47EB742F" w14:textId="77777777" w:rsidR="00C810EE" w:rsidRDefault="00C810EE" w:rsidP="000D3751">
      <w:pPr>
        <w:spacing w:line="480" w:lineRule="auto"/>
      </w:pPr>
    </w:p>
    <w:p w14:paraId="2ED51760" w14:textId="77777777" w:rsidR="007843B1" w:rsidRDefault="00D03443" w:rsidP="000D3751">
      <w:pPr>
        <w:spacing w:line="480" w:lineRule="auto"/>
      </w:pPr>
      <w:r>
        <w:t>Wood frog and spotted salamander larvae were collected for Hg analysis between 12 May and 8 July, 2015</w:t>
      </w:r>
      <w:r w:rsidR="004D5EC5">
        <w:t>.</w:t>
      </w:r>
      <w:r>
        <w:t xml:space="preserve"> </w:t>
      </w:r>
      <w:r w:rsidR="004D5EC5">
        <w:t>U</w:t>
      </w:r>
      <w:r>
        <w:t>sing dip nets</w:t>
      </w:r>
      <w:r w:rsidR="004D5EC5">
        <w:t>, l</w:t>
      </w:r>
      <w:r w:rsidRPr="00D03443">
        <w:t xml:space="preserve">arvae </w:t>
      </w:r>
      <w:r>
        <w:t>were</w:t>
      </w:r>
      <w:r w:rsidRPr="00D03443">
        <w:t xml:space="preserve"> collected during two sampling periods; the first </w:t>
      </w:r>
      <w:r w:rsidR="004D5EC5">
        <w:t xml:space="preserve">(12 May to 6 June) was </w:t>
      </w:r>
      <w:r w:rsidRPr="00D03443">
        <w:t xml:space="preserve">ca. </w:t>
      </w:r>
      <w:proofErr w:type="gramStart"/>
      <w:r w:rsidRPr="00D03443">
        <w:t>1 week</w:t>
      </w:r>
      <w:proofErr w:type="gramEnd"/>
      <w:r w:rsidRPr="00D03443">
        <w:t xml:space="preserve"> </w:t>
      </w:r>
      <w:r>
        <w:t>post-</w:t>
      </w:r>
      <w:r w:rsidRPr="00D03443">
        <w:t xml:space="preserve">hatching, the second </w:t>
      </w:r>
      <w:r w:rsidR="004D5EC5">
        <w:t xml:space="preserve">(6 to 8 July) was </w:t>
      </w:r>
      <w:r w:rsidRPr="00D03443">
        <w:t xml:space="preserve">ca. </w:t>
      </w:r>
      <w:r w:rsidR="004D5EC5">
        <w:t>5</w:t>
      </w:r>
      <w:r w:rsidRPr="00D03443">
        <w:t>-</w:t>
      </w:r>
      <w:r w:rsidR="00C810EE">
        <w:t>8</w:t>
      </w:r>
      <w:r w:rsidRPr="00D03443">
        <w:t xml:space="preserve"> weeks post-hatching. Larvae </w:t>
      </w:r>
      <w:r>
        <w:t>were</w:t>
      </w:r>
      <w:r w:rsidR="004615AE">
        <w:t xml:space="preserve"> placed in </w:t>
      </w:r>
      <w:proofErr w:type="spellStart"/>
      <w:r w:rsidR="004615AE">
        <w:t>ziplock</w:t>
      </w:r>
      <w:proofErr w:type="spellEnd"/>
      <w:r w:rsidR="004615AE">
        <w:t xml:space="preserve"> bags filled with pool water </w:t>
      </w:r>
      <w:r w:rsidR="004D5EC5">
        <w:t>and</w:t>
      </w:r>
      <w:r w:rsidR="004615AE">
        <w:t xml:space="preserve"> returned to the lab where </w:t>
      </w:r>
      <w:r w:rsidR="004615AE">
        <w:lastRenderedPageBreak/>
        <w:t>they were</w:t>
      </w:r>
      <w:r w:rsidRPr="00D03443">
        <w:t xml:space="preserve"> examined under a dissecting scope, inspected for developmental abnormalities, </w:t>
      </w:r>
      <w:proofErr w:type="spellStart"/>
      <w:r w:rsidRPr="00D03443">
        <w:t>Gosner</w:t>
      </w:r>
      <w:proofErr w:type="spellEnd"/>
      <w:r w:rsidRPr="00D03443">
        <w:t xml:space="preserve"> stage </w:t>
      </w:r>
      <w:r w:rsidR="004615AE">
        <w:t>(</w:t>
      </w:r>
      <w:proofErr w:type="spellStart"/>
      <w:r w:rsidR="004615AE">
        <w:t>Gosner</w:t>
      </w:r>
      <w:proofErr w:type="spellEnd"/>
      <w:r w:rsidR="004615AE">
        <w:t xml:space="preserve"> 1960) </w:t>
      </w:r>
      <w:r w:rsidR="004D5EC5" w:rsidRPr="00D03443">
        <w:t xml:space="preserve">established </w:t>
      </w:r>
      <w:r w:rsidRPr="00D03443">
        <w:t>for wood frogs</w:t>
      </w:r>
      <w:r w:rsidR="004615AE">
        <w:t>, and then frozen</w:t>
      </w:r>
      <w:r w:rsidRPr="00D03443">
        <w:t>.</w:t>
      </w:r>
      <w:r w:rsidR="00307CD2">
        <w:t xml:space="preserve"> At each pool, four early</w:t>
      </w:r>
      <w:r w:rsidR="001A5B11">
        <w:t>- and late-</w:t>
      </w:r>
      <w:r w:rsidR="00307CD2">
        <w:t>stage wood frog larvae were collected for a total of 48 samples. A total of 27 spotted salamander larvae were collected at five pools</w:t>
      </w:r>
      <w:r w:rsidR="001A5B11">
        <w:t>, including early-</w:t>
      </w:r>
      <w:r w:rsidR="000C6DF9">
        <w:t>stage</w:t>
      </w:r>
      <w:r w:rsidR="00307CD2">
        <w:t xml:space="preserve"> </w:t>
      </w:r>
      <w:r w:rsidR="000C6DF9">
        <w:t xml:space="preserve">larvae </w:t>
      </w:r>
      <w:r w:rsidR="00307CD2">
        <w:t>(n=12</w:t>
      </w:r>
      <w:r w:rsidR="001A5B11">
        <w:t>) at three pools, and late-</w:t>
      </w:r>
      <w:r w:rsidR="000C6DF9">
        <w:t>stage larvae (</w:t>
      </w:r>
      <w:r w:rsidR="00307CD2">
        <w:t>n=15)</w:t>
      </w:r>
      <w:r w:rsidR="000C6DF9">
        <w:t xml:space="preserve"> at five pools</w:t>
      </w:r>
      <w:r w:rsidR="00307CD2">
        <w:t>.</w:t>
      </w:r>
    </w:p>
    <w:p w14:paraId="3FEE91B8" w14:textId="77777777" w:rsidR="000C6DF9" w:rsidRDefault="000C6DF9" w:rsidP="000D3751">
      <w:pPr>
        <w:spacing w:line="480" w:lineRule="auto"/>
      </w:pPr>
    </w:p>
    <w:p w14:paraId="3E592380" w14:textId="77777777" w:rsidR="000C6DF9" w:rsidRDefault="00C72A07" w:rsidP="000D3751">
      <w:pPr>
        <w:spacing w:line="480" w:lineRule="auto"/>
      </w:pPr>
      <w:r>
        <w:t xml:space="preserve">We followed clean-Hg sampling protocols to prevent contamination of field samples. Sterile gloves were used when collecting field samples, and all samples were placed in sterile </w:t>
      </w:r>
      <w:proofErr w:type="spellStart"/>
      <w:r>
        <w:t>ziplock</w:t>
      </w:r>
      <w:proofErr w:type="spellEnd"/>
      <w:r>
        <w:t xml:space="preserve"> bag</w:t>
      </w:r>
      <w:r w:rsidR="00D90D3B">
        <w:t>s</w:t>
      </w:r>
      <w:r>
        <w:t xml:space="preserve"> or </w:t>
      </w:r>
      <w:r w:rsidR="00D90D3B">
        <w:t xml:space="preserve">plastic </w:t>
      </w:r>
      <w:r>
        <w:t>containers that had been acid-washed</w:t>
      </w:r>
      <w:r w:rsidR="00D90D3B">
        <w:t xml:space="preserve"> and transported to field sites in clean plastic bags. We also followed guidelines for decontamination of boots, nets, and other </w:t>
      </w:r>
      <w:r w:rsidR="000C06D1">
        <w:t>field</w:t>
      </w:r>
      <w:r w:rsidR="00D90D3B">
        <w:t xml:space="preserve"> </w:t>
      </w:r>
      <w:r w:rsidR="000C06D1">
        <w:t>equipment</w:t>
      </w:r>
      <w:r w:rsidR="00D90D3B">
        <w:t xml:space="preserve"> to minimize the risk of spreading </w:t>
      </w:r>
      <w:proofErr w:type="spellStart"/>
      <w:r w:rsidR="00D90D3B">
        <w:t>Chytridiomycosis</w:t>
      </w:r>
      <w:proofErr w:type="spellEnd"/>
      <w:r w:rsidR="00D90D3B">
        <w:t xml:space="preserve"> and </w:t>
      </w:r>
      <w:proofErr w:type="spellStart"/>
      <w:r w:rsidR="00D90D3B">
        <w:t>Ranavirus</w:t>
      </w:r>
      <w:proofErr w:type="spellEnd"/>
      <w:r w:rsidR="00D90D3B">
        <w:t xml:space="preserve"> between pools (NEPARC 2014).</w:t>
      </w:r>
    </w:p>
    <w:p w14:paraId="7CB3AF4D" w14:textId="77777777" w:rsidR="00564FD0" w:rsidRDefault="00564FD0" w:rsidP="000D3751">
      <w:pPr>
        <w:spacing w:line="480" w:lineRule="auto"/>
      </w:pPr>
    </w:p>
    <w:p w14:paraId="145919F5" w14:textId="77777777" w:rsidR="00564FD0" w:rsidRDefault="00564FD0" w:rsidP="000D3751">
      <w:pPr>
        <w:spacing w:line="480" w:lineRule="auto"/>
      </w:pPr>
      <w:r>
        <w:t>Chemical Analyses</w:t>
      </w:r>
    </w:p>
    <w:p w14:paraId="39457E95" w14:textId="77777777" w:rsidR="00564FD0" w:rsidRDefault="00564FD0" w:rsidP="000D3751">
      <w:pPr>
        <w:spacing w:line="480" w:lineRule="auto"/>
      </w:pPr>
    </w:p>
    <w:p w14:paraId="3A15E4E8" w14:textId="77777777" w:rsidR="00564FD0" w:rsidRDefault="00564FD0" w:rsidP="000D3751">
      <w:pPr>
        <w:spacing w:line="480" w:lineRule="auto"/>
      </w:pPr>
      <w:r>
        <w:t>All inorganic mercury (</w:t>
      </w:r>
      <w:proofErr w:type="spellStart"/>
      <w:r>
        <w:t>IHg</w:t>
      </w:r>
      <w:proofErr w:type="spellEnd"/>
      <w:r>
        <w:t xml:space="preserve">) and </w:t>
      </w:r>
      <w:proofErr w:type="spellStart"/>
      <w:r>
        <w:t>MeHg</w:t>
      </w:r>
      <w:proofErr w:type="spellEnd"/>
      <w:r>
        <w:t xml:space="preserve"> measurements were conducted at the Dartmouth Trace Element Analysis Core Facility. </w:t>
      </w:r>
      <w:proofErr w:type="spellStart"/>
      <w:r>
        <w:t>MeHg</w:t>
      </w:r>
      <w:proofErr w:type="spellEnd"/>
      <w:r>
        <w:t xml:space="preserve"> analysis was done by species-specific</w:t>
      </w:r>
      <w:r w:rsidRPr="00564FD0">
        <w:t xml:space="preserve"> isotope dilution </w:t>
      </w:r>
      <w:r>
        <w:t xml:space="preserve">using </w:t>
      </w:r>
      <w:r w:rsidRPr="00564FD0">
        <w:t>an automated MERX-M interfaced with an Element 2 ICP-Mass Spectrometer</w:t>
      </w:r>
      <w:r>
        <w:t>,</w:t>
      </w:r>
      <w:r w:rsidRPr="00564FD0">
        <w:t xml:space="preserve"> and </w:t>
      </w:r>
      <w:proofErr w:type="spellStart"/>
      <w:r w:rsidRPr="00564FD0">
        <w:t>THg</w:t>
      </w:r>
      <w:proofErr w:type="spellEnd"/>
      <w:r w:rsidRPr="00564FD0">
        <w:t xml:space="preserve"> </w:t>
      </w:r>
      <w:r w:rsidR="00D21D6E">
        <w:t xml:space="preserve">analysis was done </w:t>
      </w:r>
      <w:r>
        <w:t>using cold vapor atomic fluorescence</w:t>
      </w:r>
      <w:r w:rsidRPr="00564FD0">
        <w:t xml:space="preserve">. </w:t>
      </w:r>
    </w:p>
    <w:p w14:paraId="74FB7CC2" w14:textId="77777777" w:rsidR="00DB70BD" w:rsidRDefault="00DB70BD" w:rsidP="000D3751">
      <w:pPr>
        <w:spacing w:line="480" w:lineRule="auto"/>
      </w:pPr>
    </w:p>
    <w:p w14:paraId="6EEE0E91" w14:textId="77777777" w:rsidR="00DB70BD" w:rsidRDefault="00DB70BD" w:rsidP="00DB70BD">
      <w:pPr>
        <w:spacing w:line="480" w:lineRule="auto"/>
      </w:pPr>
      <w:r>
        <w:t>Statistical Analyses</w:t>
      </w:r>
    </w:p>
    <w:p w14:paraId="3DB1C6B0" w14:textId="77777777" w:rsidR="00DB70BD" w:rsidRDefault="00914756" w:rsidP="000D3751">
      <w:pPr>
        <w:spacing w:line="480" w:lineRule="auto"/>
      </w:pPr>
      <w:r>
        <w:t>We used t-tests to examine differences in pool basin morphology and water chemistry metrics by forest cover type.</w:t>
      </w:r>
      <w:r w:rsidR="00B431F9">
        <w:t xml:space="preserve"> Relationships between pool physiochemical attributes and </w:t>
      </w:r>
      <w:proofErr w:type="spellStart"/>
      <w:r w:rsidR="00B431F9">
        <w:t>MeHg</w:t>
      </w:r>
      <w:proofErr w:type="spellEnd"/>
      <w:r w:rsidR="00B431F9">
        <w:t xml:space="preserve"> </w:t>
      </w:r>
      <w:r w:rsidR="00B431F9">
        <w:lastRenderedPageBreak/>
        <w:t xml:space="preserve">concentrations were examined using Spearman rank-order correlations. Bioaccumulation factors </w:t>
      </w:r>
      <w:r w:rsidR="009100E8">
        <w:t xml:space="preserve">(BAF) </w:t>
      </w:r>
      <w:r w:rsidR="00B431F9">
        <w:t xml:space="preserve">were calculated for pools as the ratio of the concentration of </w:t>
      </w:r>
      <w:proofErr w:type="spellStart"/>
      <w:r w:rsidR="00B431F9">
        <w:t>MeHg</w:t>
      </w:r>
      <w:proofErr w:type="spellEnd"/>
      <w:r w:rsidR="00B431F9">
        <w:t xml:space="preserve"> in amphibian eggs and larvae to the concentration of </w:t>
      </w:r>
      <w:proofErr w:type="spellStart"/>
      <w:r w:rsidR="00B431F9">
        <w:t>MeHg</w:t>
      </w:r>
      <w:proofErr w:type="spellEnd"/>
      <w:r w:rsidR="00B431F9">
        <w:t xml:space="preserve"> in pool water.</w:t>
      </w:r>
      <w:r w:rsidR="009100E8">
        <w:t xml:space="preserve"> The effect of forest cover type on BAF within species and life stages were examined using t-tests, or Mann-Whitney U-tests if data failed to normalize. Significant differences were assigned for </w:t>
      </w:r>
      <w:r w:rsidR="009100E8" w:rsidRPr="009100E8">
        <w:rPr>
          <w:i/>
        </w:rPr>
        <w:t>P</w:t>
      </w:r>
      <w:r w:rsidR="009100E8">
        <w:rPr>
          <w:rFonts w:cstheme="minorHAnsi"/>
        </w:rPr>
        <w:t>≤</w:t>
      </w:r>
      <w:r w:rsidR="009100E8">
        <w:t>0.05.</w:t>
      </w:r>
    </w:p>
    <w:p w14:paraId="68202B12" w14:textId="77777777" w:rsidR="009100E8" w:rsidRDefault="009100E8" w:rsidP="000D3751">
      <w:pPr>
        <w:spacing w:line="480" w:lineRule="auto"/>
      </w:pPr>
    </w:p>
    <w:p w14:paraId="35214947" w14:textId="77777777" w:rsidR="009100E8" w:rsidRDefault="009100E8" w:rsidP="000D3751">
      <w:pPr>
        <w:spacing w:line="480" w:lineRule="auto"/>
      </w:pPr>
      <w:commentRangeStart w:id="0"/>
      <w:r>
        <w:t xml:space="preserve">Some sort of multivariate models </w:t>
      </w:r>
      <w:proofErr w:type="gramStart"/>
      <w:r>
        <w:t>were</w:t>
      </w:r>
      <w:proofErr w:type="gramEnd"/>
      <w:r>
        <w:t xml:space="preserve"> used to confuse the hell out of the senior author.</w:t>
      </w:r>
      <w:commentRangeEnd w:id="0"/>
      <w:r w:rsidR="002C3B4D">
        <w:rPr>
          <w:rStyle w:val="CommentReference"/>
        </w:rPr>
        <w:commentReference w:id="0"/>
      </w:r>
    </w:p>
    <w:p w14:paraId="2C044369" w14:textId="2F8633F3" w:rsidR="00B71F19" w:rsidRDefault="00B71F19">
      <w:pPr>
        <w:spacing w:line="480" w:lineRule="auto"/>
        <w:ind w:firstLine="720"/>
        <w:rPr>
          <w:ins w:id="1" w:author="John Lloyd" w:date="2018-02-16T09:15:00Z"/>
        </w:rPr>
        <w:pPrChange w:id="2" w:author="John Lloyd" w:date="2018-02-16T09:16:00Z">
          <w:pPr>
            <w:spacing w:line="480" w:lineRule="auto"/>
          </w:pPr>
        </w:pPrChange>
      </w:pPr>
      <w:ins w:id="3" w:author="John Lloyd" w:date="2018-02-09T15:44:00Z">
        <w:r>
          <w:t xml:space="preserve">We </w:t>
        </w:r>
      </w:ins>
      <w:ins w:id="4" w:author="John Lloyd" w:date="2018-02-09T15:45:00Z">
        <w:r>
          <w:t>used generalized linear</w:t>
        </w:r>
      </w:ins>
      <w:ins w:id="5" w:author="John Lloyd" w:date="2018-02-16T09:10:00Z">
        <w:r w:rsidR="00422311">
          <w:t xml:space="preserve"> mixed</w:t>
        </w:r>
      </w:ins>
      <w:ins w:id="6" w:author="John Lloyd" w:date="2018-02-09T15:45:00Z">
        <w:r>
          <w:t xml:space="preserve"> models </w:t>
        </w:r>
      </w:ins>
      <w:ins w:id="7" w:author="John Lloyd" w:date="2018-02-16T09:10:00Z">
        <w:r w:rsidR="00422311">
          <w:t xml:space="preserve">to </w:t>
        </w:r>
      </w:ins>
      <w:ins w:id="8" w:author="John Lloyd" w:date="2018-02-20T13:34:00Z">
        <w:r w:rsidR="00DB2BEA">
          <w:t>examine causes of</w:t>
        </w:r>
      </w:ins>
      <w:ins w:id="9" w:author="John Lloyd" w:date="2018-02-16T09:10:00Z">
        <w:r w:rsidR="00422311">
          <w:t xml:space="preserve"> variation in </w:t>
        </w:r>
      </w:ins>
      <w:ins w:id="10" w:author="John Lloyd" w:date="2018-02-16T09:11:00Z">
        <w:r w:rsidR="00422311">
          <w:t>methylmercury</w:t>
        </w:r>
      </w:ins>
      <w:ins w:id="11" w:author="John Lloyd" w:date="2018-02-16T09:10:00Z">
        <w:r w:rsidR="00422311">
          <w:t xml:space="preserve"> </w:t>
        </w:r>
      </w:ins>
      <w:ins w:id="12" w:author="John Lloyd" w:date="2018-02-20T13:34:00Z">
        <w:r w:rsidR="00DB2BEA">
          <w:t>loads in</w:t>
        </w:r>
      </w:ins>
      <w:ins w:id="13" w:author="John Lloyd" w:date="2018-02-16T09:11:00Z">
        <w:r w:rsidR="00422311">
          <w:t xml:space="preserve"> eggs, larvae, and adults. We ran separate analyses for eggs and larvae and for adults because we believed that the causes of variation likely differed between the juvenile and adult life stages. </w:t>
        </w:r>
      </w:ins>
      <w:ins w:id="14" w:author="John Lloyd" w:date="2018-02-16T09:12:00Z">
        <w:r w:rsidR="00422311">
          <w:t xml:space="preserve">In particular, we expected that methylmercury in eggs and larvae might </w:t>
        </w:r>
      </w:ins>
      <w:ins w:id="15" w:author="John Lloyd" w:date="2018-02-16T09:13:00Z">
        <w:r w:rsidR="00422311">
          <w:t xml:space="preserve">reflect conditions in the breeding pool, especially levels of methylmercury in the water, whereas we had no reason to </w:t>
        </w:r>
      </w:ins>
      <w:ins w:id="16" w:author="John Lloyd" w:date="2018-02-16T09:14:00Z">
        <w:r w:rsidR="00422311">
          <w:t>expect a correlation between methylmercury in adults and methylmercury</w:t>
        </w:r>
      </w:ins>
      <w:ins w:id="17" w:author="John Lloyd" w:date="2018-02-16T09:13:00Z">
        <w:r w:rsidR="00422311">
          <w:t xml:space="preserve"> </w:t>
        </w:r>
      </w:ins>
      <w:ins w:id="18" w:author="John Lloyd" w:date="2018-02-16T09:14:00Z">
        <w:r w:rsidR="00422311">
          <w:t>levels in the water in breeding pool</w:t>
        </w:r>
      </w:ins>
      <w:ins w:id="19" w:author="John Lloyd" w:date="2018-02-16T09:15:00Z">
        <w:r w:rsidR="00422311">
          <w:t>s because of the short duration of time that adults spend in the breeding pool.</w:t>
        </w:r>
      </w:ins>
    </w:p>
    <w:p w14:paraId="02F5E6CA" w14:textId="2607A741" w:rsidR="00422311" w:rsidRDefault="00422311" w:rsidP="00422311">
      <w:pPr>
        <w:spacing w:line="480" w:lineRule="auto"/>
        <w:rPr>
          <w:ins w:id="20" w:author="John Lloyd" w:date="2018-02-16T09:26:00Z"/>
        </w:rPr>
      </w:pPr>
      <w:ins w:id="21" w:author="John Lloyd" w:date="2018-02-16T09:16:00Z">
        <w:r>
          <w:tab/>
          <w:t xml:space="preserve">For both analyses, we treated the pool (n = 6) as a random effect to account for the nested nature of our sampling, in which </w:t>
        </w:r>
      </w:ins>
      <w:ins w:id="22" w:author="John Lloyd" w:date="2018-02-16T09:17:00Z">
        <w:r>
          <w:t xml:space="preserve">methylmercury levels were estimated from </w:t>
        </w:r>
      </w:ins>
      <w:ins w:id="23" w:author="John Lloyd" w:date="2018-02-16T09:16:00Z">
        <w:r>
          <w:t xml:space="preserve">multiple individuals </w:t>
        </w:r>
      </w:ins>
      <w:ins w:id="24" w:author="John Lloyd" w:date="2018-02-16T09:17:00Z">
        <w:r>
          <w:t xml:space="preserve">from the same pool. For eggs and larvae, we considered a suite of models constructed from four variables that we believed might reasonably influence levels of </w:t>
        </w:r>
      </w:ins>
      <w:ins w:id="25" w:author="John Lloyd" w:date="2018-02-16T09:18:00Z">
        <w:r>
          <w:t>methylmercury</w:t>
        </w:r>
      </w:ins>
      <w:ins w:id="26" w:author="John Lloyd" w:date="2018-02-16T09:17:00Z">
        <w:r>
          <w:t xml:space="preserve"> </w:t>
        </w:r>
      </w:ins>
      <w:ins w:id="27" w:author="John Lloyd" w:date="2018-02-16T09:18:00Z">
        <w:r>
          <w:t xml:space="preserve">in the amphibians: species, under the expectation that dietary differences among larval Wood Frogs (primarily herbivorous) and larval Spotted Salamanders (primarily insectivorous) </w:t>
        </w:r>
      </w:ins>
      <w:ins w:id="28" w:author="John Lloyd" w:date="2018-02-16T09:19:00Z">
        <w:r>
          <w:t>might</w:t>
        </w:r>
      </w:ins>
      <w:ins w:id="29" w:author="John Lloyd" w:date="2018-02-16T09:18:00Z">
        <w:r>
          <w:t xml:space="preserve"> </w:t>
        </w:r>
      </w:ins>
      <w:ins w:id="30" w:author="John Lloyd" w:date="2018-02-16T09:19:00Z">
        <w:r>
          <w:t xml:space="preserve">contribute to differences in methylmercury accumulation; habitat around the pool, because pools surrounded by coniferous forest may experience higher rates of methylation; </w:t>
        </w:r>
      </w:ins>
      <w:ins w:id="31" w:author="John Lloyd" w:date="2018-02-16T09:20:00Z">
        <w:r w:rsidR="00DB2BEA">
          <w:t>life stage (egg</w:t>
        </w:r>
      </w:ins>
      <w:ins w:id="32" w:author="John Lloyd" w:date="2018-02-20T13:35:00Z">
        <w:r w:rsidR="00DB2BEA">
          <w:t xml:space="preserve">, </w:t>
        </w:r>
      </w:ins>
      <w:ins w:id="33" w:author="John Lloyd" w:date="2018-02-16T09:20:00Z">
        <w:r w:rsidR="00DB2BEA">
          <w:lastRenderedPageBreak/>
          <w:t>early-stage larvae</w:t>
        </w:r>
      </w:ins>
      <w:ins w:id="34" w:author="John Lloyd" w:date="2018-02-20T13:35:00Z">
        <w:r w:rsidR="00DB2BEA">
          <w:t>, or</w:t>
        </w:r>
      </w:ins>
      <w:ins w:id="35" w:author="John Lloyd" w:date="2018-02-16T09:20:00Z">
        <w:r w:rsidR="007C5360">
          <w:t xml:space="preserve"> late-stage larvae) because later stages of development have both more time</w:t>
        </w:r>
      </w:ins>
      <w:ins w:id="36" w:author="John Lloyd" w:date="2018-02-16T09:21:00Z">
        <w:r w:rsidR="007C5360">
          <w:t xml:space="preserve"> to accumulate </w:t>
        </w:r>
        <w:proofErr w:type="spellStart"/>
        <w:r w:rsidR="007C5360">
          <w:t>methlymercury</w:t>
        </w:r>
      </w:ins>
      <w:proofErr w:type="spellEnd"/>
      <w:ins w:id="37" w:author="John Lloyd" w:date="2018-02-16T09:20:00Z">
        <w:r w:rsidR="007C5360">
          <w:t xml:space="preserve"> and perhaps more exposure to </w:t>
        </w:r>
      </w:ins>
      <w:ins w:id="38" w:author="John Lloyd" w:date="2018-02-16T09:21:00Z">
        <w:r w:rsidR="007C5360">
          <w:t>methylmercury through consumption of prey items; and</w:t>
        </w:r>
      </w:ins>
      <w:ins w:id="39" w:author="John Lloyd" w:date="2018-02-20T13:36:00Z">
        <w:r w:rsidR="00DB2BEA">
          <w:t xml:space="preserve"> finally</w:t>
        </w:r>
      </w:ins>
      <w:ins w:id="40" w:author="John Lloyd" w:date="2018-02-16T09:21:00Z">
        <w:r w:rsidR="007C5360">
          <w:t xml:space="preserve"> levels of methylmercury in the water, as this is presumably the primary means by which individuals accumulate methylmercury. </w:t>
        </w:r>
      </w:ins>
      <w:ins w:id="41" w:author="John Lloyd" w:date="2018-02-16T09:22:00Z">
        <w:r w:rsidR="007C5360">
          <w:t xml:space="preserve">From this set of variables, we constructed a candidate set of models that included all combinations of the variables. In addition, we included three </w:t>
        </w:r>
      </w:ins>
      <w:ins w:id="42" w:author="John Lloyd" w:date="2018-02-16T09:23:00Z">
        <w:r w:rsidR="007C5360">
          <w:t xml:space="preserve">models with an interaction between species and life stage, allowing for the possibility that Wood Frogs and Spotted Salamanders might accumulate methylmercury at different rates owing to differences in diet. </w:t>
        </w:r>
      </w:ins>
      <w:ins w:id="43" w:author="John Lloyd" w:date="2018-02-16T09:24:00Z">
        <w:r w:rsidR="007C5360">
          <w:t>This resulted in a total of 18 unique models</w:t>
        </w:r>
      </w:ins>
      <w:ins w:id="44" w:author="John Lloyd" w:date="2018-02-16T09:25:00Z">
        <w:r w:rsidR="007C5360">
          <w:t xml:space="preserve">: </w:t>
        </w:r>
      </w:ins>
      <w:ins w:id="45" w:author="John Lloyd" w:date="2018-02-16T09:24:00Z">
        <w:r w:rsidR="007C5360">
          <w:t xml:space="preserve">all subsets of the global model including species, habitat, life stage, and water methylmercury, plus the three models </w:t>
        </w:r>
      </w:ins>
      <w:ins w:id="46" w:author="John Lloyd" w:date="2018-02-16T09:25:00Z">
        <w:r w:rsidR="007C5360">
          <w:t xml:space="preserve">from this group </w:t>
        </w:r>
      </w:ins>
      <w:ins w:id="47" w:author="John Lloyd" w:date="2018-02-16T09:24:00Z">
        <w:r w:rsidR="007C5360">
          <w:t xml:space="preserve">that included </w:t>
        </w:r>
      </w:ins>
      <w:ins w:id="48" w:author="John Lloyd" w:date="2018-02-16T09:25:00Z">
        <w:r w:rsidR="007C5360">
          <w:t xml:space="preserve">main effects of life stage and species with an added interaction term between species and life stage. </w:t>
        </w:r>
      </w:ins>
      <w:ins w:id="49" w:author="John Lloyd" w:date="2018-02-16T09:22:00Z">
        <w:r w:rsidR="007C5360">
          <w:t xml:space="preserve"> </w:t>
        </w:r>
      </w:ins>
    </w:p>
    <w:p w14:paraId="3294DC4E" w14:textId="77777777" w:rsidR="007C5360" w:rsidRDefault="007C5360" w:rsidP="00422311">
      <w:pPr>
        <w:spacing w:line="480" w:lineRule="auto"/>
        <w:rPr>
          <w:ins w:id="50" w:author="John Lloyd" w:date="2018-02-16T09:30:00Z"/>
        </w:rPr>
      </w:pPr>
      <w:ins w:id="51" w:author="John Lloyd" w:date="2018-02-16T09:26:00Z">
        <w:r>
          <w:tab/>
          <w:t>For adults, we used the same approach to construct a candidate set of models</w:t>
        </w:r>
      </w:ins>
      <w:ins w:id="52" w:author="John Lloyd" w:date="2018-02-16T09:27:00Z">
        <w:r>
          <w:t xml:space="preserve"> </w:t>
        </w:r>
      </w:ins>
      <w:ins w:id="53" w:author="John Lloyd" w:date="2018-02-16T09:26:00Z">
        <w:r>
          <w:t xml:space="preserve">but included only two variables: species and </w:t>
        </w:r>
        <w:commentRangeStart w:id="54"/>
        <w:r>
          <w:t>habitat.</w:t>
        </w:r>
      </w:ins>
      <w:commentRangeEnd w:id="54"/>
      <w:ins w:id="55" w:author="John Lloyd" w:date="2018-02-20T13:37:00Z">
        <w:r w:rsidR="00DB2BEA">
          <w:rPr>
            <w:rStyle w:val="CommentReference"/>
          </w:rPr>
          <w:commentReference w:id="54"/>
        </w:r>
      </w:ins>
      <w:ins w:id="56" w:author="John Lloyd" w:date="2018-02-16T09:26:00Z">
        <w:r>
          <w:t xml:space="preserve"> We did not consider methylmercury in the water</w:t>
        </w:r>
      </w:ins>
      <w:ins w:id="57" w:author="John Lloyd" w:date="2018-02-16T09:27:00Z">
        <w:r>
          <w:t xml:space="preserve"> of the vernal pool</w:t>
        </w:r>
      </w:ins>
      <w:ins w:id="58" w:author="John Lloyd" w:date="2018-02-16T09:26:00Z">
        <w:r>
          <w:t xml:space="preserve"> as a predictor</w:t>
        </w:r>
      </w:ins>
      <w:ins w:id="59" w:author="John Lloyd" w:date="2018-02-16T09:27:00Z">
        <w:r>
          <w:t xml:space="preserve"> of methylmercury in adults because we assumed that adults had </w:t>
        </w:r>
      </w:ins>
      <w:ins w:id="60" w:author="John Lloyd" w:date="2018-02-16T09:28:00Z">
        <w:r>
          <w:t>a short duration of</w:t>
        </w:r>
      </w:ins>
      <w:ins w:id="61" w:author="John Lloyd" w:date="2018-02-16T09:27:00Z">
        <w:r>
          <w:t xml:space="preserve"> exposure to the </w:t>
        </w:r>
      </w:ins>
      <w:ins w:id="62" w:author="John Lloyd" w:date="2018-02-16T09:28:00Z">
        <w:r>
          <w:t xml:space="preserve">pool and that it was thus unlikely that methylmercury in adults could </w:t>
        </w:r>
      </w:ins>
      <w:ins w:id="63" w:author="John Lloyd" w:date="2018-02-16T09:29:00Z">
        <w:r>
          <w:t xml:space="preserve">be linked </w:t>
        </w:r>
      </w:ins>
      <w:ins w:id="64" w:author="John Lloyd" w:date="2018-02-16T09:28:00Z">
        <w:r>
          <w:t>plausibly</w:t>
        </w:r>
      </w:ins>
      <w:ins w:id="65" w:author="John Lloyd" w:date="2018-02-16T09:29:00Z">
        <w:r>
          <w:t xml:space="preserve"> to methylmercury in the water. This left us with three possible models: the combined effect of species and habitat plus two models that considered each variable in isolation.</w:t>
        </w:r>
      </w:ins>
    </w:p>
    <w:p w14:paraId="13E8AC44" w14:textId="27719A89" w:rsidR="007C5360" w:rsidRPr="004C6244" w:rsidRDefault="007C5360" w:rsidP="00422311">
      <w:pPr>
        <w:spacing w:line="480" w:lineRule="auto"/>
        <w:rPr>
          <w:ins w:id="66" w:author="John Lloyd" w:date="2018-02-16T09:52:00Z"/>
        </w:rPr>
      </w:pPr>
      <w:ins w:id="67" w:author="John Lloyd" w:date="2018-02-16T09:30:00Z">
        <w:r>
          <w:tab/>
          <w:t xml:space="preserve">We fit each model using the </w:t>
        </w:r>
        <w:proofErr w:type="spellStart"/>
        <w:r w:rsidR="00E41A69">
          <w:t>lmer</w:t>
        </w:r>
        <w:proofErr w:type="spellEnd"/>
        <w:r w:rsidR="00E41A69">
          <w:t xml:space="preserve"> function in R package lme4 (Bates et al. 2014). We then u</w:t>
        </w:r>
      </w:ins>
      <w:ins w:id="68" w:author="John Lloyd" w:date="2018-02-16T09:31:00Z">
        <w:r w:rsidR="00E41A69">
          <w:t xml:space="preserve">sed the R package </w:t>
        </w:r>
        <w:proofErr w:type="spellStart"/>
        <w:r w:rsidR="00E41A69">
          <w:t>AICcmodavg</w:t>
        </w:r>
        <w:proofErr w:type="spellEnd"/>
        <w:r w:rsidR="00E41A69">
          <w:t xml:space="preserve"> (Mazerolle 2017)</w:t>
        </w:r>
      </w:ins>
      <w:ins w:id="69" w:author="John Lloyd" w:date="2018-02-16T09:28:00Z">
        <w:r>
          <w:t xml:space="preserve"> </w:t>
        </w:r>
      </w:ins>
      <w:ins w:id="70" w:author="John Lloyd" w:date="2018-02-16T09:31:00Z">
        <w:r w:rsidR="00E41A69">
          <w:t xml:space="preserve">to rank each model based on </w:t>
        </w:r>
        <w:proofErr w:type="spellStart"/>
        <w:r w:rsidR="00E41A69">
          <w:t>Akaike’s</w:t>
        </w:r>
        <w:proofErr w:type="spellEnd"/>
        <w:r w:rsidR="00E41A69">
          <w:t xml:space="preserve"> Information Criteria (AIC). We chose to use AIC as the r</w:t>
        </w:r>
      </w:ins>
      <w:ins w:id="71" w:author="John Lloyd" w:date="2018-02-16T09:32:00Z">
        <w:r w:rsidR="00E41A69">
          <w:t>anking variable, rather than the small-sample correction (</w:t>
        </w:r>
        <w:proofErr w:type="spellStart"/>
        <w:r w:rsidR="00E41A69">
          <w:t>AIC</w:t>
        </w:r>
        <w:r w:rsidR="00E41A69">
          <w:softHyphen/>
        </w:r>
        <w:r w:rsidR="00E41A69">
          <w:softHyphen/>
        </w:r>
        <w:r w:rsidR="00E41A69">
          <w:rPr>
            <w:vertAlign w:val="subscript"/>
          </w:rPr>
          <w:t>c</w:t>
        </w:r>
        <w:proofErr w:type="spellEnd"/>
        <w:r w:rsidR="00E41A69">
          <w:t>), because of the uncertainty in determining the effective sample size for mixed-effects models</w:t>
        </w:r>
      </w:ins>
      <w:ins w:id="72" w:author="John Lloyd" w:date="2018-02-16T09:33:00Z">
        <w:r w:rsidR="00E41A69">
          <w:t xml:space="preserve"> (Burnham and Anderson 2002). </w:t>
        </w:r>
      </w:ins>
      <w:ins w:id="73" w:author="John Lloyd" w:date="2018-02-16T09:34:00Z">
        <w:r w:rsidR="00E41A69">
          <w:t xml:space="preserve">However, when we ranked models </w:t>
        </w:r>
        <w:r w:rsidR="00E41A69">
          <w:lastRenderedPageBreak/>
          <w:t xml:space="preserve">according to </w:t>
        </w:r>
      </w:ins>
      <w:proofErr w:type="spellStart"/>
      <w:ins w:id="74" w:author="John Lloyd" w:date="2018-02-16T09:35:00Z">
        <w:r w:rsidR="00E41A69">
          <w:t>AIC</w:t>
        </w:r>
        <w:r w:rsidR="00E41A69">
          <w:softHyphen/>
        </w:r>
        <w:r w:rsidR="00E41A69">
          <w:softHyphen/>
        </w:r>
        <w:r w:rsidR="00E41A69">
          <w:rPr>
            <w:vertAlign w:val="subscript"/>
          </w:rPr>
          <w:t>c</w:t>
        </w:r>
        <w:proofErr w:type="spellEnd"/>
        <w:r w:rsidR="00E41A69">
          <w:t xml:space="preserve">, setting the effective sample size (using the nobs argument in </w:t>
        </w:r>
        <w:proofErr w:type="spellStart"/>
        <w:r w:rsidR="00E41A69">
          <w:t>AICcmodavg</w:t>
        </w:r>
        <w:proofErr w:type="spellEnd"/>
        <w:r w:rsidR="00E41A69">
          <w:t xml:space="preserve">) to either the number of pools (n = 6) or the total number of observations, the results were qualitatively similar. </w:t>
        </w:r>
      </w:ins>
      <w:ins w:id="75" w:author="John Lloyd" w:date="2018-02-16T09:37:00Z">
        <w:r w:rsidR="00E41A69">
          <w:t>We assessed the importance of each predictor variable based on the model</w:t>
        </w:r>
      </w:ins>
      <w:ins w:id="76" w:author="John Lloyd" w:date="2018-02-16T09:38:00Z">
        <w:r w:rsidR="00E41A69">
          <w:t>-</w:t>
        </w:r>
      </w:ins>
      <w:ins w:id="77" w:author="John Lloyd" w:date="2018-02-16T09:37:00Z">
        <w:r w:rsidR="00E41A69">
          <w:t>averaged</w:t>
        </w:r>
      </w:ins>
      <w:ins w:id="78" w:author="John Lloyd" w:date="2018-02-16T09:38:00Z">
        <w:r w:rsidR="00E41A69">
          <w:t xml:space="preserve"> </w:t>
        </w:r>
      </w:ins>
      <w:ins w:id="79" w:author="John Lloyd" w:date="2018-02-16T09:39:00Z">
        <w:r w:rsidR="00E41A69">
          <w:t xml:space="preserve">regression </w:t>
        </w:r>
      </w:ins>
      <w:ins w:id="80" w:author="John Lloyd" w:date="2018-02-16T09:38:00Z">
        <w:r w:rsidR="00E41A69">
          <w:t xml:space="preserve">coefficient and its unconditional </w:t>
        </w:r>
      </w:ins>
      <w:ins w:id="81" w:author="John Lloyd" w:date="2018-02-16T09:39:00Z">
        <w:r w:rsidR="00E41A69">
          <w:t xml:space="preserve">95% confidence interval. </w:t>
        </w:r>
        <w:r w:rsidR="00D72118">
          <w:t>When averaging the coefficients, we used only the subset of models in which each term appeared</w:t>
        </w:r>
      </w:ins>
      <w:ins w:id="82" w:author="John Lloyd" w:date="2018-02-16T09:40:00Z">
        <w:r w:rsidR="00316D3D">
          <w:t xml:space="preserve"> because the inclusion of models with an interaction term </w:t>
        </w:r>
      </w:ins>
      <w:ins w:id="83" w:author="John Lloyd" w:date="2018-02-16T09:41:00Z">
        <w:r w:rsidR="00316D3D">
          <w:t xml:space="preserve">precludes the use of </w:t>
        </w:r>
      </w:ins>
      <w:ins w:id="84" w:author="John Lloyd" w:date="2018-02-16T09:40:00Z">
        <w:r w:rsidR="00316D3D">
          <w:t>shrinkage methods</w:t>
        </w:r>
      </w:ins>
      <w:ins w:id="85" w:author="John Lloyd" w:date="2018-02-16T09:41:00Z">
        <w:r w:rsidR="00316D3D">
          <w:t xml:space="preserve">, </w:t>
        </w:r>
      </w:ins>
      <w:ins w:id="86" w:author="John Lloyd" w:date="2018-02-16T09:40:00Z">
        <w:r w:rsidR="00316D3D">
          <w:t>which include all models in the averaging procedure</w:t>
        </w:r>
      </w:ins>
      <w:ins w:id="87" w:author="John Lloyd" w:date="2018-02-16T09:41:00Z">
        <w:r w:rsidR="00316D3D">
          <w:t xml:space="preserve"> (Mazerolle 2017). We note that disagreement exists among statisticians regarding the validity of generating inference from model-averaged coefficients (</w:t>
        </w:r>
      </w:ins>
      <w:ins w:id="88" w:author="John Lloyd" w:date="2018-02-16T09:42:00Z">
        <w:r w:rsidR="00316D3D">
          <w:t xml:space="preserve">Burnham and Anderson 2002, </w:t>
        </w:r>
      </w:ins>
      <w:ins w:id="89" w:author="John Lloyd" w:date="2018-02-16T09:41:00Z">
        <w:r w:rsidR="00316D3D">
          <w:t>Cade 2015</w:t>
        </w:r>
      </w:ins>
      <w:ins w:id="90" w:author="John Lloyd" w:date="2018-02-16T09:42:00Z">
        <w:r w:rsidR="00316D3D">
          <w:t xml:space="preserve">); however, our findings were the same whether relying on model-averaged coefficients or model-averaged predictions </w:t>
        </w:r>
      </w:ins>
      <w:ins w:id="91" w:author="John Lloyd" w:date="2018-02-16T09:44:00Z">
        <w:r w:rsidR="00316D3D">
          <w:t>as the basis of inference about</w:t>
        </w:r>
      </w:ins>
      <w:ins w:id="92" w:author="John Lloyd" w:date="2018-02-16T09:42:00Z">
        <w:r w:rsidR="00316D3D">
          <w:t xml:space="preserve"> </w:t>
        </w:r>
      </w:ins>
      <w:ins w:id="93" w:author="John Lloyd" w:date="2018-02-16T09:43:00Z">
        <w:r w:rsidR="00316D3D">
          <w:t>methylmercury</w:t>
        </w:r>
      </w:ins>
      <w:ins w:id="94" w:author="John Lloyd" w:date="2018-02-16T09:42:00Z">
        <w:r w:rsidR="00316D3D">
          <w:t xml:space="preserve"> </w:t>
        </w:r>
      </w:ins>
      <w:ins w:id="95" w:author="John Lloyd" w:date="2018-02-16T09:43:00Z">
        <w:r w:rsidR="00316D3D">
          <w:t>levels in the amphibians</w:t>
        </w:r>
      </w:ins>
      <w:ins w:id="96" w:author="John Lloyd" w:date="2018-02-16T09:44:00Z">
        <w:r w:rsidR="00316D3D">
          <w:t xml:space="preserve">. </w:t>
        </w:r>
      </w:ins>
      <w:ins w:id="97" w:author="John Lloyd" w:date="2018-02-16T09:50:00Z">
        <w:r w:rsidR="00316D3D">
          <w:t xml:space="preserve">In the primary critique of using model-averaged coefficients </w:t>
        </w:r>
        <w:r w:rsidR="00887C6D">
          <w:t xml:space="preserve">as the basis of inference, Cade (2015:2381) notes that </w:t>
        </w:r>
      </w:ins>
      <w:ins w:id="98" w:author="John Lloyd" w:date="2018-02-16T09:51:00Z">
        <w:r w:rsidR="00887C6D">
          <w:t xml:space="preserve">“model averaging the predicted responses…can be used to indirectly explore model relationships”. As such, we believe that the concordance between these two approaches suggests our findings are robust to any putative shortcoming of model-averaged regression coefficients. </w:t>
        </w:r>
      </w:ins>
      <w:ins w:id="99" w:author="John Lloyd" w:date="2018-02-20T14:35:00Z">
        <w:r w:rsidR="004C6244">
          <w:t>We assessed goodness-of-fit using R</w:t>
        </w:r>
        <w:r w:rsidR="004C6244">
          <w:rPr>
            <w:vertAlign w:val="superscript"/>
          </w:rPr>
          <w:t>2</w:t>
        </w:r>
        <w:r w:rsidR="004C6244">
          <w:t xml:space="preserve"> values estimated by the </w:t>
        </w:r>
      </w:ins>
      <w:proofErr w:type="spellStart"/>
      <w:proofErr w:type="gramStart"/>
      <w:ins w:id="100" w:author="John Lloyd" w:date="2018-02-20T14:36:00Z">
        <w:r w:rsidR="004C6244" w:rsidRPr="004C6244">
          <w:t>r.squaredGLMM</w:t>
        </w:r>
        <w:proofErr w:type="spellEnd"/>
        <w:proofErr w:type="gramEnd"/>
        <w:r w:rsidR="004C6244" w:rsidRPr="004C6244">
          <w:t xml:space="preserve"> </w:t>
        </w:r>
        <w:r w:rsidR="004C6244">
          <w:t xml:space="preserve">function in the </w:t>
        </w:r>
      </w:ins>
      <w:ins w:id="101" w:author="John Lloyd" w:date="2018-02-20T14:35:00Z">
        <w:r w:rsidR="004C6244">
          <w:t xml:space="preserve">R package </w:t>
        </w:r>
        <w:proofErr w:type="spellStart"/>
        <w:r w:rsidR="004C6244">
          <w:t>MuMIn</w:t>
        </w:r>
        <w:proofErr w:type="spellEnd"/>
        <w:r w:rsidR="004C6244">
          <w:t xml:space="preserve"> (Barton 2018)</w:t>
        </w:r>
      </w:ins>
      <w:ins w:id="102" w:author="John Lloyd" w:date="2018-02-20T14:36:00Z">
        <w:r w:rsidR="004C6244">
          <w:t xml:space="preserve">. We used residual plots as described by </w:t>
        </w:r>
        <w:proofErr w:type="spellStart"/>
        <w:r w:rsidR="004C6244">
          <w:t>Pinheiro</w:t>
        </w:r>
        <w:proofErr w:type="spellEnd"/>
        <w:r w:rsidR="004C6244">
          <w:t xml:space="preserve"> and Bates </w:t>
        </w:r>
      </w:ins>
      <w:ins w:id="103" w:author="John Lloyd" w:date="2018-02-20T14:37:00Z">
        <w:r w:rsidR="004C6244">
          <w:t xml:space="preserve">(2000) to examine the validity of </w:t>
        </w:r>
      </w:ins>
      <w:ins w:id="104" w:author="John Lloyd" w:date="2018-02-20T14:38:00Z">
        <w:r w:rsidR="004C6244">
          <w:t xml:space="preserve">model </w:t>
        </w:r>
      </w:ins>
      <w:ins w:id="105" w:author="John Lloyd" w:date="2018-02-20T14:37:00Z">
        <w:r w:rsidR="004C6244">
          <w:t>assumptions</w:t>
        </w:r>
      </w:ins>
      <w:ins w:id="106" w:author="John Lloyd" w:date="2018-02-20T14:38:00Z">
        <w:r w:rsidR="004C6244">
          <w:t xml:space="preserve">. </w:t>
        </w:r>
      </w:ins>
      <w:bookmarkStart w:id="107" w:name="_GoBack"/>
      <w:bookmarkEnd w:id="107"/>
    </w:p>
    <w:p w14:paraId="50589F2D" w14:textId="77777777" w:rsidR="00887C6D" w:rsidRPr="00E41A69" w:rsidRDefault="00887C6D" w:rsidP="00422311">
      <w:pPr>
        <w:spacing w:line="480" w:lineRule="auto"/>
      </w:pPr>
    </w:p>
    <w:p w14:paraId="3A9ADD66" w14:textId="77777777" w:rsidR="00DB70BD" w:rsidRPr="001A5B11" w:rsidRDefault="001A5B11" w:rsidP="000D3751">
      <w:pPr>
        <w:spacing w:line="480" w:lineRule="auto"/>
        <w:rPr>
          <w:b/>
        </w:rPr>
      </w:pPr>
      <w:r>
        <w:rPr>
          <w:b/>
        </w:rPr>
        <w:t>Result</w:t>
      </w:r>
      <w:r w:rsidRPr="001A5B11">
        <w:rPr>
          <w:b/>
        </w:rPr>
        <w:t>s</w:t>
      </w:r>
    </w:p>
    <w:p w14:paraId="622C6C1E" w14:textId="77777777" w:rsidR="001A5B11" w:rsidRDefault="00D6266F" w:rsidP="000D3751">
      <w:pPr>
        <w:spacing w:line="480" w:lineRule="auto"/>
        <w:rPr>
          <w:ins w:id="108" w:author="John Lloyd" w:date="2018-02-20T13:57:00Z"/>
        </w:rPr>
      </w:pPr>
      <w:r>
        <w:t>There were no differences in pool size (area, perimeter), water depth, or pool elevation between forest cover types (Table 1).</w:t>
      </w:r>
      <w:r w:rsidR="00F91789">
        <w:t xml:space="preserve"> However, several water chemistry metrics differed significantly between pools in deciduous and coniferous stands: pools in coniferous stands had lower pH </w:t>
      </w:r>
      <w:r w:rsidR="00F91789">
        <w:lastRenderedPageBreak/>
        <w:t xml:space="preserve">(mean coniferous = 5.16, deciduous = 6.21), greater DOC (mean coniferous = 17.46 mg/L, deciduous = 11.90 mg/L), lower conductivity (mean coniferous = 17.53 </w:t>
      </w:r>
      <w:r w:rsidR="00F91789" w:rsidRPr="00F91789">
        <w:t>µS/cm</w:t>
      </w:r>
      <w:r w:rsidR="00F91789">
        <w:t xml:space="preserve">, deciduous = 37.13 </w:t>
      </w:r>
      <w:r w:rsidR="00F91789" w:rsidRPr="00F91789">
        <w:t>µS/cm</w:t>
      </w:r>
      <w:r w:rsidR="00F91789">
        <w:t xml:space="preserve">), and greater aluminum </w:t>
      </w:r>
      <w:r w:rsidR="00D54AD2">
        <w:t xml:space="preserve">concentrations </w:t>
      </w:r>
      <w:r w:rsidR="00F91789">
        <w:t xml:space="preserve">(mean coniferous = </w:t>
      </w:r>
      <w:r w:rsidR="004057E4">
        <w:t xml:space="preserve">152.45 </w:t>
      </w:r>
      <w:r w:rsidR="004057E4" w:rsidRPr="004057E4">
        <w:t>µg/L</w:t>
      </w:r>
      <w:r w:rsidR="004057E4">
        <w:t xml:space="preserve">, deciduous = 61.62 </w:t>
      </w:r>
      <w:r w:rsidR="004057E4" w:rsidRPr="004057E4">
        <w:t>µg/L</w:t>
      </w:r>
      <w:r w:rsidR="004057E4">
        <w:t xml:space="preserve">) </w:t>
      </w:r>
      <w:r w:rsidR="00F91789">
        <w:t>(Table</w:t>
      </w:r>
      <w:r w:rsidR="009100E8">
        <w:t xml:space="preserve"> </w:t>
      </w:r>
      <w:r w:rsidR="00F91789">
        <w:t>2)</w:t>
      </w:r>
      <w:r w:rsidR="004057E4">
        <w:t>.</w:t>
      </w:r>
      <w:r w:rsidR="00F1715C">
        <w:t xml:space="preserve"> Additionally,</w:t>
      </w:r>
      <w:r w:rsidR="00F1715C" w:rsidRPr="00F1715C">
        <w:t xml:space="preserve"> </w:t>
      </w:r>
      <w:r w:rsidR="00F1715C">
        <w:t xml:space="preserve">coniferous pool </w:t>
      </w:r>
      <w:r w:rsidR="00ED0BAF">
        <w:t xml:space="preserve">water </w:t>
      </w:r>
      <w:r w:rsidR="00F1715C">
        <w:t xml:space="preserve">had greater </w:t>
      </w:r>
      <w:r w:rsidR="00B00778">
        <w:t xml:space="preserve">concentrations of </w:t>
      </w:r>
      <w:proofErr w:type="spellStart"/>
      <w:r w:rsidR="00F1715C">
        <w:t>THg</w:t>
      </w:r>
      <w:proofErr w:type="spellEnd"/>
      <w:r w:rsidR="00F1715C">
        <w:t xml:space="preserve"> (mean coniferous = 5.56 ng/L, deciduous = 3.05 ng/L) and </w:t>
      </w:r>
      <w:proofErr w:type="spellStart"/>
      <w:r w:rsidR="00F1715C">
        <w:t>MeHg</w:t>
      </w:r>
      <w:proofErr w:type="spellEnd"/>
      <w:r w:rsidR="00F1715C">
        <w:t xml:space="preserve"> (mean coniferous = 1.19 ng/L, deciduous = 0.56 ng/L)</w:t>
      </w:r>
      <w:r w:rsidR="00B00778">
        <w:t xml:space="preserve"> compared to deciduous pool</w:t>
      </w:r>
      <w:r w:rsidR="00ED0BAF">
        <w:t xml:space="preserve"> water</w:t>
      </w:r>
      <w:r w:rsidR="00F1715C">
        <w:t xml:space="preserve"> (Table 2).</w:t>
      </w:r>
      <w:r w:rsidR="00B00778">
        <w:t xml:space="preserve"> </w:t>
      </w:r>
      <w:r w:rsidR="00E37CEB">
        <w:t xml:space="preserve">Concentrations of </w:t>
      </w:r>
      <w:proofErr w:type="spellStart"/>
      <w:r w:rsidR="00E37CEB">
        <w:t>MeHg</w:t>
      </w:r>
      <w:proofErr w:type="spellEnd"/>
      <w:r w:rsidR="00E37CEB">
        <w:t xml:space="preserve"> in coniferous pool</w:t>
      </w:r>
      <w:r w:rsidR="00914756">
        <w:t xml:space="preserve"> water</w:t>
      </w:r>
      <w:r w:rsidR="00E37CEB">
        <w:t xml:space="preserve"> showed significant </w:t>
      </w:r>
      <w:r w:rsidR="00914756">
        <w:t xml:space="preserve">positive </w:t>
      </w:r>
      <w:r w:rsidR="00E37CEB">
        <w:t>correlations to DOC (r</w:t>
      </w:r>
      <w:r w:rsidR="00E37CEB" w:rsidRPr="00E37CEB">
        <w:rPr>
          <w:vertAlign w:val="superscript"/>
        </w:rPr>
        <w:t>2</w:t>
      </w:r>
      <w:r w:rsidR="00E37CEB">
        <w:rPr>
          <w:vertAlign w:val="superscript"/>
        </w:rPr>
        <w:t xml:space="preserve"> </w:t>
      </w:r>
      <w:r w:rsidR="00E37CEB">
        <w:t xml:space="preserve">= 0.785, </w:t>
      </w:r>
      <w:r w:rsidR="00E37CEB" w:rsidRPr="00E37CEB">
        <w:rPr>
          <w:i/>
        </w:rPr>
        <w:t>P</w:t>
      </w:r>
      <w:r w:rsidR="00E37CEB">
        <w:t>&lt;0.001)</w:t>
      </w:r>
      <w:r w:rsidR="00914756">
        <w:t xml:space="preserve"> and</w:t>
      </w:r>
      <w:r w:rsidR="00E37CEB">
        <w:t xml:space="preserve"> aluminum (r</w:t>
      </w:r>
      <w:r w:rsidR="00E37CEB" w:rsidRPr="00E37CEB">
        <w:rPr>
          <w:vertAlign w:val="superscript"/>
        </w:rPr>
        <w:t>2</w:t>
      </w:r>
      <w:r w:rsidR="00E37CEB">
        <w:rPr>
          <w:vertAlign w:val="superscript"/>
        </w:rPr>
        <w:t xml:space="preserve"> </w:t>
      </w:r>
      <w:r w:rsidR="00E37CEB">
        <w:t xml:space="preserve">= 0.669, </w:t>
      </w:r>
      <w:r w:rsidR="00E37CEB" w:rsidRPr="00E37CEB">
        <w:rPr>
          <w:i/>
        </w:rPr>
        <w:t>P</w:t>
      </w:r>
      <w:r w:rsidR="00E37CEB">
        <w:t xml:space="preserve">&lt;0.001), and </w:t>
      </w:r>
      <w:r w:rsidR="00914756">
        <w:t xml:space="preserve">correlated negatively with </w:t>
      </w:r>
      <w:r w:rsidR="00E37CEB">
        <w:t>pH (r</w:t>
      </w:r>
      <w:r w:rsidR="00E37CEB" w:rsidRPr="00E37CEB">
        <w:rPr>
          <w:vertAlign w:val="superscript"/>
        </w:rPr>
        <w:t>2</w:t>
      </w:r>
      <w:r w:rsidR="00E37CEB">
        <w:t xml:space="preserve"> = -0.618, </w:t>
      </w:r>
      <w:r w:rsidR="00E37CEB" w:rsidRPr="00E37CEB">
        <w:rPr>
          <w:i/>
        </w:rPr>
        <w:t>P</w:t>
      </w:r>
      <w:r w:rsidR="00E37CEB">
        <w:t xml:space="preserve">&lt;0.001). </w:t>
      </w:r>
      <w:r w:rsidR="00B00778" w:rsidRPr="00B00778">
        <w:t xml:space="preserve">Temporally, </w:t>
      </w:r>
      <w:r w:rsidR="00ED0BAF">
        <w:t>during the inundation period</w:t>
      </w:r>
      <w:r w:rsidR="00ED0BAF" w:rsidRPr="00B00778">
        <w:t xml:space="preserve"> (April to July)</w:t>
      </w:r>
      <w:r w:rsidR="00C6470F">
        <w:t>,</w:t>
      </w:r>
      <w:r w:rsidR="00ED0BAF">
        <w:t xml:space="preserve"> </w:t>
      </w:r>
      <w:r w:rsidR="00B00778">
        <w:t>increases</w:t>
      </w:r>
      <w:r w:rsidR="00B00778" w:rsidRPr="00B00778">
        <w:t xml:space="preserve"> in </w:t>
      </w:r>
      <w:r w:rsidR="00B00778">
        <w:t xml:space="preserve">water </w:t>
      </w:r>
      <w:proofErr w:type="spellStart"/>
      <w:r w:rsidR="00B00778" w:rsidRPr="00B00778">
        <w:t>MeHg</w:t>
      </w:r>
      <w:proofErr w:type="spellEnd"/>
      <w:r w:rsidR="00B00778" w:rsidRPr="00B00778">
        <w:t xml:space="preserve"> coincided with increases in temperature and decreases in dissolved oxygen </w:t>
      </w:r>
      <w:r w:rsidR="00B00778">
        <w:t>(Fig. 1)</w:t>
      </w:r>
      <w:r w:rsidR="00B00778" w:rsidRPr="00B00778">
        <w:t>.</w:t>
      </w:r>
    </w:p>
    <w:p w14:paraId="3357D5E2" w14:textId="7374E85E" w:rsidR="003B2977" w:rsidRDefault="000718A4" w:rsidP="000D3751">
      <w:pPr>
        <w:spacing w:line="480" w:lineRule="auto"/>
      </w:pPr>
      <w:ins w:id="109" w:author="John Lloyd" w:date="2018-02-20T14:00:00Z">
        <w:r>
          <w:t xml:space="preserve">Eggs and larvae of Wood Frog and Spotted Salamander accumulated methylmercury at different rates, such that models without </w:t>
        </w:r>
      </w:ins>
      <w:ins w:id="110" w:author="John Lloyd" w:date="2018-02-20T14:01:00Z">
        <w:r>
          <w:t>the</w:t>
        </w:r>
      </w:ins>
      <w:ins w:id="111" w:author="John Lloyd" w:date="2018-02-20T14:00:00Z">
        <w:r>
          <w:t xml:space="preserve"> </w:t>
        </w:r>
      </w:ins>
      <w:ins w:id="112" w:author="John Lloyd" w:date="2018-02-20T14:01:00Z">
        <w:r>
          <w:t xml:space="preserve">interaction term between species and life stage received no support in the model-selection process (Table 1). </w:t>
        </w:r>
      </w:ins>
      <w:ins w:id="113" w:author="John Lloyd" w:date="2018-02-20T14:19:00Z">
        <w:r w:rsidR="00BC4B27">
          <w:t>The global model provided a good fit to the data (R</w:t>
        </w:r>
        <w:r w:rsidR="00BC4B27">
          <w:rPr>
            <w:vertAlign w:val="superscript"/>
          </w:rPr>
          <w:t>2</w:t>
        </w:r>
        <w:r w:rsidR="00BC4B27">
          <w:t xml:space="preserve"> = 0.92). </w:t>
        </w:r>
      </w:ins>
      <w:ins w:id="114" w:author="John Lloyd" w:date="2018-02-20T14:02:00Z">
        <w:r>
          <w:t xml:space="preserve">Although each of the four predictor variables appeared among the top-ranked models, </w:t>
        </w:r>
      </w:ins>
      <w:ins w:id="115" w:author="John Lloyd" w:date="2018-02-20T14:03:00Z">
        <w:r>
          <w:t xml:space="preserve">model-averaged regression coefficients for both </w:t>
        </w:r>
      </w:ins>
      <w:ins w:id="116" w:author="John Lloyd" w:date="2018-02-20T14:02:00Z">
        <w:r>
          <w:t>habitat (</w:t>
        </w:r>
      </w:ins>
      <w:proofErr w:type="spellStart"/>
      <w:ins w:id="117" w:author="John Lloyd" w:date="2018-02-20T14:05:00Z">
        <w:r>
          <w:rPr>
            <w:i/>
          </w:rPr>
          <w:t>b</w:t>
        </w:r>
        <w:r>
          <w:rPr>
            <w:vertAlign w:val="subscript"/>
          </w:rPr>
          <w:t>deciduous</w:t>
        </w:r>
        <w:proofErr w:type="spellEnd"/>
        <w:r>
          <w:t xml:space="preserve"> = 0.16, 95% CI = -0.04 – 0.35)</w:t>
        </w:r>
      </w:ins>
      <w:ins w:id="118" w:author="John Lloyd" w:date="2018-02-20T14:02:00Z">
        <w:r>
          <w:t xml:space="preserve"> </w:t>
        </w:r>
      </w:ins>
      <w:ins w:id="119" w:author="John Lloyd" w:date="2018-02-20T14:03:00Z">
        <w:r>
          <w:t xml:space="preserve">and </w:t>
        </w:r>
      </w:ins>
      <w:ins w:id="120" w:author="John Lloyd" w:date="2018-02-20T14:02:00Z">
        <w:r>
          <w:t>water methylmercury</w:t>
        </w:r>
      </w:ins>
      <w:ins w:id="121" w:author="John Lloyd" w:date="2018-02-20T14:03:00Z">
        <w:r>
          <w:t xml:space="preserve"> (</w:t>
        </w:r>
      </w:ins>
      <w:ins w:id="122" w:author="John Lloyd" w:date="2018-02-20T14:04:00Z">
        <w:r>
          <w:rPr>
            <w:i/>
          </w:rPr>
          <w:t>b</w:t>
        </w:r>
        <w:r>
          <w:rPr>
            <w:b/>
            <w:i/>
          </w:rPr>
          <w:t xml:space="preserve"> = </w:t>
        </w:r>
        <w:r>
          <w:rPr>
            <w:i/>
          </w:rPr>
          <w:t>-0.04, 95% CI = -0.21 – 0.13</w:t>
        </w:r>
      </w:ins>
      <w:ins w:id="123" w:author="John Lloyd" w:date="2018-02-20T14:03:00Z">
        <w:r>
          <w:t>) were not distinguishable from zero.</w:t>
        </w:r>
      </w:ins>
    </w:p>
    <w:p w14:paraId="14125136" w14:textId="046C9942" w:rsidR="003B2977" w:rsidRDefault="003B2977" w:rsidP="003B2977">
      <w:pPr>
        <w:pStyle w:val="Caption"/>
        <w:keepNext/>
        <w:rPr>
          <w:ins w:id="124" w:author="John Lloyd" w:date="2018-02-20T13:56:00Z"/>
        </w:rPr>
        <w:pPrChange w:id="125" w:author="John Lloyd" w:date="2018-02-20T13:56:00Z">
          <w:pPr/>
        </w:pPrChange>
      </w:pPr>
      <w:ins w:id="126" w:author="John Lloyd" w:date="2018-02-20T13:56:00Z">
        <w:r>
          <w:t xml:space="preserve">Table </w:t>
        </w:r>
        <w:r>
          <w:fldChar w:fldCharType="begin"/>
        </w:r>
        <w:r>
          <w:instrText xml:space="preserve"> SEQ Table \* ARABIC </w:instrText>
        </w:r>
      </w:ins>
      <w:r>
        <w:fldChar w:fldCharType="separate"/>
      </w:r>
      <w:ins w:id="127" w:author="John Lloyd" w:date="2018-02-20T13:56:00Z">
        <w:r>
          <w:rPr>
            <w:noProof/>
          </w:rPr>
          <w:t>1</w:t>
        </w:r>
        <w:r>
          <w:fldChar w:fldCharType="end"/>
        </w:r>
        <w:r>
          <w:t xml:space="preserve">. </w:t>
        </w:r>
        <w:proofErr w:type="spellStart"/>
        <w:r>
          <w:t>Akaike's</w:t>
        </w:r>
        <w:proofErr w:type="spellEnd"/>
        <w:r>
          <w:t xml:space="preserve"> Information Criterion values for candidate models explaining variation i</w:t>
        </w:r>
        <w:r>
          <w:t xml:space="preserve">n methylmercury loads in eggs and larvae of Wood Frogs and Spotted Salamanders collected in vernal </w:t>
        </w:r>
      </w:ins>
      <w:ins w:id="128" w:author="John Lloyd" w:date="2018-02-20T13:57:00Z">
        <w:r>
          <w:t>pools in Vermont, USA in 2015 and 2016.</w:t>
        </w:r>
        <w:r w:rsidR="001568BB">
          <w:t xml:space="preserve"> Only the models receiving some support (i.e., with an AIC weight &gt; 0) from the data are shown.</w:t>
        </w:r>
      </w:ins>
    </w:p>
    <w:tbl>
      <w:tblPr>
        <w:tblStyle w:val="TableGrid"/>
        <w:tblW w:w="0" w:type="auto"/>
        <w:tblLook w:val="04A0" w:firstRow="1" w:lastRow="0" w:firstColumn="1" w:lastColumn="0" w:noHBand="0" w:noVBand="1"/>
        <w:tblPrChange w:id="129" w:author="John Lloyd" w:date="2018-02-20T13:55:00Z">
          <w:tblPr>
            <w:tblStyle w:val="TableGrid"/>
            <w:tblW w:w="0" w:type="auto"/>
            <w:tblLook w:val="04A0" w:firstRow="1" w:lastRow="0" w:firstColumn="1" w:lastColumn="0" w:noHBand="0" w:noVBand="1"/>
          </w:tblPr>
        </w:tblPrChange>
      </w:tblPr>
      <w:tblGrid>
        <w:gridCol w:w="5575"/>
        <w:gridCol w:w="1260"/>
        <w:gridCol w:w="1170"/>
        <w:gridCol w:w="1345"/>
        <w:tblGridChange w:id="130">
          <w:tblGrid>
            <w:gridCol w:w="2337"/>
            <w:gridCol w:w="2337"/>
            <w:gridCol w:w="2338"/>
            <w:gridCol w:w="2338"/>
          </w:tblGrid>
        </w:tblGridChange>
      </w:tblGrid>
      <w:tr w:rsidR="003B2977" w14:paraId="10EC4540" w14:textId="77777777" w:rsidTr="003B2977">
        <w:trPr>
          <w:ins w:id="131" w:author="John Lloyd" w:date="2018-02-20T13:47:00Z"/>
        </w:trPr>
        <w:tc>
          <w:tcPr>
            <w:tcW w:w="5575" w:type="dxa"/>
            <w:tcPrChange w:id="132" w:author="John Lloyd" w:date="2018-02-20T13:55:00Z">
              <w:tcPr>
                <w:tcW w:w="2337" w:type="dxa"/>
              </w:tcPr>
            </w:tcPrChange>
          </w:tcPr>
          <w:p w14:paraId="203BC22B" w14:textId="39F7CD51" w:rsidR="003B2977" w:rsidRDefault="003B2977" w:rsidP="000D3751">
            <w:pPr>
              <w:spacing w:line="480" w:lineRule="auto"/>
              <w:rPr>
                <w:ins w:id="133" w:author="John Lloyd" w:date="2018-02-20T13:47:00Z"/>
              </w:rPr>
            </w:pPr>
            <w:ins w:id="134" w:author="John Lloyd" w:date="2018-02-20T13:47:00Z">
              <w:r>
                <w:t>Model</w:t>
              </w:r>
            </w:ins>
          </w:p>
        </w:tc>
        <w:tc>
          <w:tcPr>
            <w:tcW w:w="1260" w:type="dxa"/>
            <w:tcPrChange w:id="135" w:author="John Lloyd" w:date="2018-02-20T13:55:00Z">
              <w:tcPr>
                <w:tcW w:w="2337" w:type="dxa"/>
              </w:tcPr>
            </w:tcPrChange>
          </w:tcPr>
          <w:p w14:paraId="2F94A159" w14:textId="4BDC66CB" w:rsidR="003B2977" w:rsidRPr="003B2977" w:rsidRDefault="003B2977" w:rsidP="000D3751">
            <w:pPr>
              <w:spacing w:line="480" w:lineRule="auto"/>
              <w:rPr>
                <w:ins w:id="136" w:author="John Lloyd" w:date="2018-02-20T13:47:00Z"/>
                <w:vertAlign w:val="superscript"/>
                <w:rPrChange w:id="137" w:author="John Lloyd" w:date="2018-02-20T13:48:00Z">
                  <w:rPr>
                    <w:ins w:id="138" w:author="John Lloyd" w:date="2018-02-20T13:47:00Z"/>
                  </w:rPr>
                </w:rPrChange>
              </w:rPr>
            </w:pPr>
            <w:proofErr w:type="spellStart"/>
            <w:ins w:id="139" w:author="John Lloyd" w:date="2018-02-20T13:47:00Z">
              <w:r>
                <w:t>K</w:t>
              </w:r>
            </w:ins>
            <w:ins w:id="140" w:author="John Lloyd" w:date="2018-02-20T13:48:00Z">
              <w:r>
                <w:rPr>
                  <w:vertAlign w:val="superscript"/>
                </w:rPr>
                <w:t>a</w:t>
              </w:r>
            </w:ins>
            <w:proofErr w:type="spellEnd"/>
          </w:p>
        </w:tc>
        <w:tc>
          <w:tcPr>
            <w:tcW w:w="1170" w:type="dxa"/>
            <w:tcPrChange w:id="141" w:author="John Lloyd" w:date="2018-02-20T13:55:00Z">
              <w:tcPr>
                <w:tcW w:w="2338" w:type="dxa"/>
              </w:tcPr>
            </w:tcPrChange>
          </w:tcPr>
          <w:p w14:paraId="73FE8FDF" w14:textId="616068CA" w:rsidR="003B2977" w:rsidRPr="003B2977" w:rsidRDefault="003B2977" w:rsidP="000D3751">
            <w:pPr>
              <w:spacing w:line="480" w:lineRule="auto"/>
              <w:rPr>
                <w:ins w:id="142" w:author="John Lloyd" w:date="2018-02-20T13:47:00Z"/>
                <w:vertAlign w:val="superscript"/>
                <w:rPrChange w:id="143" w:author="John Lloyd" w:date="2018-02-20T13:48:00Z">
                  <w:rPr>
                    <w:ins w:id="144" w:author="John Lloyd" w:date="2018-02-20T13:47:00Z"/>
                  </w:rPr>
                </w:rPrChange>
              </w:rPr>
            </w:pPr>
            <w:ins w:id="145" w:author="John Lloyd" w:date="2018-02-20T13:48:00Z">
              <w:r>
                <w:sym w:font="Symbol" w:char="F044"/>
              </w:r>
              <w:proofErr w:type="spellStart"/>
              <w:proofErr w:type="gramStart"/>
              <w:r>
                <w:t>AIC</w:t>
              </w:r>
            </w:ins>
            <w:ins w:id="146" w:author="John Lloyd" w:date="2018-02-20T13:49:00Z">
              <w:r>
                <w:rPr>
                  <w:vertAlign w:val="superscript"/>
                </w:rPr>
                <w:t>b,c</w:t>
              </w:r>
            </w:ins>
            <w:proofErr w:type="spellEnd"/>
            <w:proofErr w:type="gramEnd"/>
          </w:p>
        </w:tc>
        <w:tc>
          <w:tcPr>
            <w:tcW w:w="1345" w:type="dxa"/>
            <w:tcPrChange w:id="147" w:author="John Lloyd" w:date="2018-02-20T13:55:00Z">
              <w:tcPr>
                <w:tcW w:w="2338" w:type="dxa"/>
              </w:tcPr>
            </w:tcPrChange>
          </w:tcPr>
          <w:p w14:paraId="07E2553A" w14:textId="4AA0EE91" w:rsidR="003B2977" w:rsidRPr="003B2977" w:rsidRDefault="003B2977" w:rsidP="000D3751">
            <w:pPr>
              <w:spacing w:line="480" w:lineRule="auto"/>
              <w:rPr>
                <w:ins w:id="148" w:author="John Lloyd" w:date="2018-02-20T13:47:00Z"/>
                <w:vertAlign w:val="superscript"/>
                <w:rPrChange w:id="149" w:author="John Lloyd" w:date="2018-02-20T13:49:00Z">
                  <w:rPr>
                    <w:ins w:id="150" w:author="John Lloyd" w:date="2018-02-20T13:47:00Z"/>
                  </w:rPr>
                </w:rPrChange>
              </w:rPr>
            </w:pPr>
            <w:proofErr w:type="spellStart"/>
            <w:ins w:id="151" w:author="John Lloyd" w:date="2018-02-20T13:48:00Z">
              <w:r>
                <w:rPr>
                  <w:i/>
                </w:rPr>
                <w:t>w</w:t>
              </w:r>
              <w:r>
                <w:rPr>
                  <w:i/>
                  <w:vertAlign w:val="subscript"/>
                </w:rPr>
                <w:t>i</w:t>
              </w:r>
            </w:ins>
            <w:ins w:id="152" w:author="John Lloyd" w:date="2018-02-20T13:49:00Z">
              <w:r>
                <w:rPr>
                  <w:i/>
                  <w:vertAlign w:val="superscript"/>
                </w:rPr>
                <w:t>d</w:t>
              </w:r>
            </w:ins>
            <w:proofErr w:type="spellEnd"/>
          </w:p>
        </w:tc>
      </w:tr>
      <w:tr w:rsidR="003B2977" w14:paraId="3ABA1BFD" w14:textId="77777777" w:rsidTr="003B2977">
        <w:trPr>
          <w:ins w:id="153" w:author="John Lloyd" w:date="2018-02-20T13:47:00Z"/>
        </w:trPr>
        <w:tc>
          <w:tcPr>
            <w:tcW w:w="5575" w:type="dxa"/>
            <w:tcPrChange w:id="154" w:author="John Lloyd" w:date="2018-02-20T13:55:00Z">
              <w:tcPr>
                <w:tcW w:w="2337" w:type="dxa"/>
              </w:tcPr>
            </w:tcPrChange>
          </w:tcPr>
          <w:p w14:paraId="53295E0C" w14:textId="159E003D" w:rsidR="003B2977" w:rsidRDefault="003B2977" w:rsidP="000D3751">
            <w:pPr>
              <w:spacing w:line="480" w:lineRule="auto"/>
              <w:rPr>
                <w:ins w:id="155" w:author="John Lloyd" w:date="2018-02-20T13:47:00Z"/>
              </w:rPr>
            </w:pPr>
            <w:ins w:id="156" w:author="John Lloyd" w:date="2018-02-20T13:52:00Z">
              <w:r>
                <w:t>Species * life stage + habitat</w:t>
              </w:r>
            </w:ins>
          </w:p>
        </w:tc>
        <w:tc>
          <w:tcPr>
            <w:tcW w:w="1260" w:type="dxa"/>
            <w:tcPrChange w:id="157" w:author="John Lloyd" w:date="2018-02-20T13:55:00Z">
              <w:tcPr>
                <w:tcW w:w="2337" w:type="dxa"/>
              </w:tcPr>
            </w:tcPrChange>
          </w:tcPr>
          <w:p w14:paraId="7509DC3B" w14:textId="2638B326" w:rsidR="003B2977" w:rsidRDefault="003B2977" w:rsidP="000D3751">
            <w:pPr>
              <w:spacing w:line="480" w:lineRule="auto"/>
              <w:rPr>
                <w:ins w:id="158" w:author="John Lloyd" w:date="2018-02-20T13:47:00Z"/>
              </w:rPr>
            </w:pPr>
            <w:ins w:id="159" w:author="John Lloyd" w:date="2018-02-20T13:53:00Z">
              <w:r>
                <w:t>9</w:t>
              </w:r>
            </w:ins>
          </w:p>
        </w:tc>
        <w:tc>
          <w:tcPr>
            <w:tcW w:w="1170" w:type="dxa"/>
            <w:tcPrChange w:id="160" w:author="John Lloyd" w:date="2018-02-20T13:55:00Z">
              <w:tcPr>
                <w:tcW w:w="2338" w:type="dxa"/>
              </w:tcPr>
            </w:tcPrChange>
          </w:tcPr>
          <w:p w14:paraId="1652B687" w14:textId="4069C558" w:rsidR="003B2977" w:rsidRDefault="003B2977" w:rsidP="000D3751">
            <w:pPr>
              <w:spacing w:line="480" w:lineRule="auto"/>
              <w:rPr>
                <w:ins w:id="161" w:author="John Lloyd" w:date="2018-02-20T13:47:00Z"/>
              </w:rPr>
            </w:pPr>
            <w:ins w:id="162" w:author="John Lloyd" w:date="2018-02-20T13:54:00Z">
              <w:r>
                <w:t>0.00</w:t>
              </w:r>
            </w:ins>
          </w:p>
        </w:tc>
        <w:tc>
          <w:tcPr>
            <w:tcW w:w="1345" w:type="dxa"/>
            <w:tcPrChange w:id="163" w:author="John Lloyd" w:date="2018-02-20T13:55:00Z">
              <w:tcPr>
                <w:tcW w:w="2338" w:type="dxa"/>
              </w:tcPr>
            </w:tcPrChange>
          </w:tcPr>
          <w:p w14:paraId="7E310C84" w14:textId="79BBB487" w:rsidR="003B2977" w:rsidRDefault="003B2977" w:rsidP="000D3751">
            <w:pPr>
              <w:spacing w:line="480" w:lineRule="auto"/>
              <w:rPr>
                <w:ins w:id="164" w:author="John Lloyd" w:date="2018-02-20T13:47:00Z"/>
              </w:rPr>
            </w:pPr>
            <w:ins w:id="165" w:author="John Lloyd" w:date="2018-02-20T13:55:00Z">
              <w:r>
                <w:t>0.40</w:t>
              </w:r>
            </w:ins>
          </w:p>
        </w:tc>
      </w:tr>
      <w:tr w:rsidR="003B2977" w14:paraId="6323FFF8" w14:textId="77777777" w:rsidTr="003B2977">
        <w:trPr>
          <w:ins w:id="166" w:author="John Lloyd" w:date="2018-02-20T13:47:00Z"/>
        </w:trPr>
        <w:tc>
          <w:tcPr>
            <w:tcW w:w="5575" w:type="dxa"/>
            <w:tcPrChange w:id="167" w:author="John Lloyd" w:date="2018-02-20T13:55:00Z">
              <w:tcPr>
                <w:tcW w:w="2337" w:type="dxa"/>
              </w:tcPr>
            </w:tcPrChange>
          </w:tcPr>
          <w:p w14:paraId="10D09274" w14:textId="697BE6EB" w:rsidR="003B2977" w:rsidRDefault="003B2977" w:rsidP="000D3751">
            <w:pPr>
              <w:spacing w:line="480" w:lineRule="auto"/>
              <w:rPr>
                <w:ins w:id="168" w:author="John Lloyd" w:date="2018-02-20T13:47:00Z"/>
              </w:rPr>
            </w:pPr>
            <w:ins w:id="169" w:author="John Lloyd" w:date="2018-02-20T13:52:00Z">
              <w:r>
                <w:t>Species * life stage</w:t>
              </w:r>
            </w:ins>
          </w:p>
        </w:tc>
        <w:tc>
          <w:tcPr>
            <w:tcW w:w="1260" w:type="dxa"/>
            <w:tcPrChange w:id="170" w:author="John Lloyd" w:date="2018-02-20T13:55:00Z">
              <w:tcPr>
                <w:tcW w:w="2337" w:type="dxa"/>
              </w:tcPr>
            </w:tcPrChange>
          </w:tcPr>
          <w:p w14:paraId="2C8F21F1" w14:textId="683D8F0C" w:rsidR="003B2977" w:rsidRDefault="003B2977" w:rsidP="000D3751">
            <w:pPr>
              <w:spacing w:line="480" w:lineRule="auto"/>
              <w:rPr>
                <w:ins w:id="171" w:author="John Lloyd" w:date="2018-02-20T13:47:00Z"/>
              </w:rPr>
            </w:pPr>
            <w:ins w:id="172" w:author="John Lloyd" w:date="2018-02-20T13:53:00Z">
              <w:r>
                <w:t>8</w:t>
              </w:r>
            </w:ins>
          </w:p>
        </w:tc>
        <w:tc>
          <w:tcPr>
            <w:tcW w:w="1170" w:type="dxa"/>
            <w:tcPrChange w:id="173" w:author="John Lloyd" w:date="2018-02-20T13:55:00Z">
              <w:tcPr>
                <w:tcW w:w="2338" w:type="dxa"/>
              </w:tcPr>
            </w:tcPrChange>
          </w:tcPr>
          <w:p w14:paraId="0A15DE11" w14:textId="2544186D" w:rsidR="003B2977" w:rsidRDefault="003B2977" w:rsidP="000D3751">
            <w:pPr>
              <w:spacing w:line="480" w:lineRule="auto"/>
              <w:rPr>
                <w:ins w:id="174" w:author="John Lloyd" w:date="2018-02-20T13:47:00Z"/>
              </w:rPr>
            </w:pPr>
            <w:ins w:id="175" w:author="John Lloyd" w:date="2018-02-20T13:54:00Z">
              <w:r>
                <w:t>0.60</w:t>
              </w:r>
            </w:ins>
          </w:p>
        </w:tc>
        <w:tc>
          <w:tcPr>
            <w:tcW w:w="1345" w:type="dxa"/>
            <w:tcPrChange w:id="176" w:author="John Lloyd" w:date="2018-02-20T13:55:00Z">
              <w:tcPr>
                <w:tcW w:w="2338" w:type="dxa"/>
              </w:tcPr>
            </w:tcPrChange>
          </w:tcPr>
          <w:p w14:paraId="03F4D88B" w14:textId="31098852" w:rsidR="003B2977" w:rsidRDefault="003B2977" w:rsidP="000D3751">
            <w:pPr>
              <w:spacing w:line="480" w:lineRule="auto"/>
              <w:rPr>
                <w:ins w:id="177" w:author="John Lloyd" w:date="2018-02-20T13:47:00Z"/>
              </w:rPr>
            </w:pPr>
            <w:ins w:id="178" w:author="John Lloyd" w:date="2018-02-20T13:55:00Z">
              <w:r>
                <w:t>0.30</w:t>
              </w:r>
            </w:ins>
          </w:p>
        </w:tc>
      </w:tr>
      <w:tr w:rsidR="003B2977" w14:paraId="382F346A" w14:textId="77777777" w:rsidTr="003B2977">
        <w:trPr>
          <w:ins w:id="179" w:author="John Lloyd" w:date="2018-02-20T13:47:00Z"/>
        </w:trPr>
        <w:tc>
          <w:tcPr>
            <w:tcW w:w="5575" w:type="dxa"/>
            <w:tcPrChange w:id="180" w:author="John Lloyd" w:date="2018-02-20T13:55:00Z">
              <w:tcPr>
                <w:tcW w:w="2337" w:type="dxa"/>
              </w:tcPr>
            </w:tcPrChange>
          </w:tcPr>
          <w:p w14:paraId="771FC520" w14:textId="5156BF81" w:rsidR="003B2977" w:rsidRDefault="003B2977" w:rsidP="000D3751">
            <w:pPr>
              <w:spacing w:line="480" w:lineRule="auto"/>
              <w:rPr>
                <w:ins w:id="181" w:author="John Lloyd" w:date="2018-02-20T13:47:00Z"/>
              </w:rPr>
            </w:pPr>
            <w:ins w:id="182" w:author="John Lloyd" w:date="2018-02-20T13:52:00Z">
              <w:r>
                <w:t>Species * life stage + water methylmercury</w:t>
              </w:r>
            </w:ins>
          </w:p>
        </w:tc>
        <w:tc>
          <w:tcPr>
            <w:tcW w:w="1260" w:type="dxa"/>
            <w:tcPrChange w:id="183" w:author="John Lloyd" w:date="2018-02-20T13:55:00Z">
              <w:tcPr>
                <w:tcW w:w="2337" w:type="dxa"/>
              </w:tcPr>
            </w:tcPrChange>
          </w:tcPr>
          <w:p w14:paraId="18DA5C61" w14:textId="1CA59BD3" w:rsidR="003B2977" w:rsidRDefault="003B2977" w:rsidP="000D3751">
            <w:pPr>
              <w:spacing w:line="480" w:lineRule="auto"/>
              <w:rPr>
                <w:ins w:id="184" w:author="John Lloyd" w:date="2018-02-20T13:47:00Z"/>
              </w:rPr>
            </w:pPr>
            <w:ins w:id="185" w:author="John Lloyd" w:date="2018-02-20T13:53:00Z">
              <w:r>
                <w:t>9</w:t>
              </w:r>
            </w:ins>
          </w:p>
        </w:tc>
        <w:tc>
          <w:tcPr>
            <w:tcW w:w="1170" w:type="dxa"/>
            <w:tcPrChange w:id="186" w:author="John Lloyd" w:date="2018-02-20T13:55:00Z">
              <w:tcPr>
                <w:tcW w:w="2338" w:type="dxa"/>
              </w:tcPr>
            </w:tcPrChange>
          </w:tcPr>
          <w:p w14:paraId="0C16C38B" w14:textId="34C4A034" w:rsidR="003B2977" w:rsidRDefault="003B2977" w:rsidP="000D3751">
            <w:pPr>
              <w:spacing w:line="480" w:lineRule="auto"/>
              <w:rPr>
                <w:ins w:id="187" w:author="John Lloyd" w:date="2018-02-20T13:47:00Z"/>
              </w:rPr>
            </w:pPr>
            <w:ins w:id="188" w:author="John Lloyd" w:date="2018-02-20T13:54:00Z">
              <w:r>
                <w:t>1.97</w:t>
              </w:r>
            </w:ins>
          </w:p>
        </w:tc>
        <w:tc>
          <w:tcPr>
            <w:tcW w:w="1345" w:type="dxa"/>
            <w:tcPrChange w:id="189" w:author="John Lloyd" w:date="2018-02-20T13:55:00Z">
              <w:tcPr>
                <w:tcW w:w="2338" w:type="dxa"/>
              </w:tcPr>
            </w:tcPrChange>
          </w:tcPr>
          <w:p w14:paraId="605857DA" w14:textId="55BF6D35" w:rsidR="003B2977" w:rsidRDefault="003B2977" w:rsidP="000D3751">
            <w:pPr>
              <w:spacing w:line="480" w:lineRule="auto"/>
              <w:rPr>
                <w:ins w:id="190" w:author="John Lloyd" w:date="2018-02-20T13:47:00Z"/>
              </w:rPr>
            </w:pPr>
            <w:ins w:id="191" w:author="John Lloyd" w:date="2018-02-20T13:55:00Z">
              <w:r>
                <w:t>0.15</w:t>
              </w:r>
            </w:ins>
          </w:p>
        </w:tc>
      </w:tr>
      <w:tr w:rsidR="003B2977" w14:paraId="78484FE3" w14:textId="77777777" w:rsidTr="003B2977">
        <w:trPr>
          <w:ins w:id="192" w:author="John Lloyd" w:date="2018-02-20T13:47:00Z"/>
        </w:trPr>
        <w:tc>
          <w:tcPr>
            <w:tcW w:w="5575" w:type="dxa"/>
            <w:tcPrChange w:id="193" w:author="John Lloyd" w:date="2018-02-20T13:55:00Z">
              <w:tcPr>
                <w:tcW w:w="2337" w:type="dxa"/>
              </w:tcPr>
            </w:tcPrChange>
          </w:tcPr>
          <w:p w14:paraId="05FAA7C5" w14:textId="07FD948E" w:rsidR="003B2977" w:rsidRDefault="003B2977" w:rsidP="000D3751">
            <w:pPr>
              <w:spacing w:line="480" w:lineRule="auto"/>
              <w:rPr>
                <w:ins w:id="194" w:author="John Lloyd" w:date="2018-02-20T13:47:00Z"/>
              </w:rPr>
            </w:pPr>
            <w:ins w:id="195" w:author="John Lloyd" w:date="2018-02-20T13:53:00Z">
              <w:r>
                <w:lastRenderedPageBreak/>
                <w:t>Species * life stage + habitat + water methylmercury</w:t>
              </w:r>
            </w:ins>
          </w:p>
        </w:tc>
        <w:tc>
          <w:tcPr>
            <w:tcW w:w="1260" w:type="dxa"/>
            <w:tcPrChange w:id="196" w:author="John Lloyd" w:date="2018-02-20T13:55:00Z">
              <w:tcPr>
                <w:tcW w:w="2337" w:type="dxa"/>
              </w:tcPr>
            </w:tcPrChange>
          </w:tcPr>
          <w:p w14:paraId="7C02DB33" w14:textId="1857A6AD" w:rsidR="003B2977" w:rsidRDefault="003B2977" w:rsidP="000D3751">
            <w:pPr>
              <w:spacing w:line="480" w:lineRule="auto"/>
              <w:rPr>
                <w:ins w:id="197" w:author="John Lloyd" w:date="2018-02-20T13:47:00Z"/>
              </w:rPr>
            </w:pPr>
            <w:ins w:id="198" w:author="John Lloyd" w:date="2018-02-20T13:53:00Z">
              <w:r>
                <w:t>10</w:t>
              </w:r>
            </w:ins>
          </w:p>
        </w:tc>
        <w:tc>
          <w:tcPr>
            <w:tcW w:w="1170" w:type="dxa"/>
            <w:tcPrChange w:id="199" w:author="John Lloyd" w:date="2018-02-20T13:55:00Z">
              <w:tcPr>
                <w:tcW w:w="2338" w:type="dxa"/>
              </w:tcPr>
            </w:tcPrChange>
          </w:tcPr>
          <w:p w14:paraId="14A01AEE" w14:textId="554037B1" w:rsidR="003B2977" w:rsidRPr="001568BB" w:rsidRDefault="003B2977" w:rsidP="000D3751">
            <w:pPr>
              <w:spacing w:line="480" w:lineRule="auto"/>
              <w:rPr>
                <w:ins w:id="200" w:author="John Lloyd" w:date="2018-02-20T13:47:00Z"/>
                <w:vertAlign w:val="superscript"/>
                <w:rPrChange w:id="201" w:author="John Lloyd" w:date="2018-02-20T13:58:00Z">
                  <w:rPr>
                    <w:ins w:id="202" w:author="John Lloyd" w:date="2018-02-20T13:47:00Z"/>
                  </w:rPr>
                </w:rPrChange>
              </w:rPr>
            </w:pPr>
            <w:ins w:id="203" w:author="John Lloyd" w:date="2018-02-20T13:54:00Z">
              <w:r>
                <w:t>2.00</w:t>
              </w:r>
            </w:ins>
            <w:ins w:id="204" w:author="John Lloyd" w:date="2018-02-20T13:58:00Z">
              <w:r w:rsidR="001568BB">
                <w:rPr>
                  <w:vertAlign w:val="superscript"/>
                </w:rPr>
                <w:t>e</w:t>
              </w:r>
            </w:ins>
          </w:p>
        </w:tc>
        <w:tc>
          <w:tcPr>
            <w:tcW w:w="1345" w:type="dxa"/>
            <w:tcPrChange w:id="205" w:author="John Lloyd" w:date="2018-02-20T13:55:00Z">
              <w:tcPr>
                <w:tcW w:w="2338" w:type="dxa"/>
              </w:tcPr>
            </w:tcPrChange>
          </w:tcPr>
          <w:p w14:paraId="5D35E969" w14:textId="2BCD65AB" w:rsidR="003B2977" w:rsidRDefault="003B2977" w:rsidP="000D3751">
            <w:pPr>
              <w:spacing w:line="480" w:lineRule="auto"/>
              <w:rPr>
                <w:ins w:id="206" w:author="John Lloyd" w:date="2018-02-20T13:47:00Z"/>
              </w:rPr>
            </w:pPr>
            <w:ins w:id="207" w:author="John Lloyd" w:date="2018-02-20T13:55:00Z">
              <w:r>
                <w:t>0.15</w:t>
              </w:r>
            </w:ins>
          </w:p>
        </w:tc>
      </w:tr>
      <w:tr w:rsidR="003B2977" w14:paraId="4192DB67" w14:textId="77777777" w:rsidTr="00921E0D">
        <w:trPr>
          <w:ins w:id="208" w:author="John Lloyd" w:date="2018-02-20T13:47:00Z"/>
        </w:trPr>
        <w:tc>
          <w:tcPr>
            <w:tcW w:w="9350" w:type="dxa"/>
            <w:gridSpan w:val="4"/>
          </w:tcPr>
          <w:p w14:paraId="152D069B" w14:textId="41275969" w:rsidR="003B2977" w:rsidRDefault="003B2977" w:rsidP="000D3751">
            <w:pPr>
              <w:spacing w:line="480" w:lineRule="auto"/>
              <w:rPr>
                <w:ins w:id="209" w:author="John Lloyd" w:date="2018-02-20T13:49:00Z"/>
              </w:rPr>
            </w:pPr>
            <w:ins w:id="210" w:author="John Lloyd" w:date="2018-02-20T13:51:00Z">
              <w:r w:rsidRPr="003B2977">
                <w:rPr>
                  <w:vertAlign w:val="superscript"/>
                  <w:rPrChange w:id="211" w:author="John Lloyd" w:date="2018-02-20T13:51:00Z">
                    <w:rPr/>
                  </w:rPrChange>
                </w:rPr>
                <w:t>a</w:t>
              </w:r>
            </w:ins>
            <w:ins w:id="212" w:author="John Lloyd" w:date="2018-02-20T13:49:00Z">
              <w:r>
                <w:t xml:space="preserve"> </w:t>
              </w:r>
              <w:r w:rsidRPr="003B2977">
                <w:rPr>
                  <w:i/>
                  <w:rPrChange w:id="213" w:author="John Lloyd" w:date="2018-02-20T13:52:00Z">
                    <w:rPr/>
                  </w:rPrChange>
                </w:rPr>
                <w:t>K</w:t>
              </w:r>
              <w:r>
                <w:t xml:space="preserve"> is the no. of parameters estimated by the model</w:t>
              </w:r>
            </w:ins>
            <w:ins w:id="214" w:author="John Lloyd" w:date="2018-02-20T13:52:00Z">
              <w:r>
                <w:t>.</w:t>
              </w:r>
            </w:ins>
          </w:p>
          <w:p w14:paraId="7B63351B" w14:textId="171B83DA" w:rsidR="003B2977" w:rsidRDefault="003B2977" w:rsidP="000D3751">
            <w:pPr>
              <w:spacing w:line="480" w:lineRule="auto"/>
              <w:rPr>
                <w:ins w:id="215" w:author="John Lloyd" w:date="2018-02-20T13:49:00Z"/>
              </w:rPr>
            </w:pPr>
            <w:ins w:id="216" w:author="John Lloyd" w:date="2018-02-20T13:51:00Z">
              <w:r w:rsidRPr="003B2977">
                <w:rPr>
                  <w:vertAlign w:val="superscript"/>
                  <w:rPrChange w:id="217" w:author="John Lloyd" w:date="2018-02-20T13:51:00Z">
                    <w:rPr/>
                  </w:rPrChange>
                </w:rPr>
                <w:t>b</w:t>
              </w:r>
            </w:ins>
            <w:ins w:id="218" w:author="John Lloyd" w:date="2018-02-20T13:49:00Z">
              <w:r>
                <w:t xml:space="preserve"> </w:t>
              </w:r>
              <w:r>
                <w:sym w:font="Symbol" w:char="F044"/>
              </w:r>
              <w:r>
                <w:t>AIC</w:t>
              </w:r>
              <w:r>
                <w:rPr>
                  <w:vertAlign w:val="superscript"/>
                </w:rPr>
                <w:t xml:space="preserve"> </w:t>
              </w:r>
              <w:r>
                <w:t xml:space="preserve">is the difference between a given model and the </w:t>
              </w:r>
            </w:ins>
            <w:ins w:id="219" w:author="John Lloyd" w:date="2018-02-20T13:52:00Z">
              <w:r>
                <w:t xml:space="preserve">best </w:t>
              </w:r>
            </w:ins>
            <w:ins w:id="220" w:author="John Lloyd" w:date="2018-02-20T13:49:00Z">
              <w:r>
                <w:t xml:space="preserve">model </w:t>
              </w:r>
            </w:ins>
            <w:ins w:id="221" w:author="John Lloyd" w:date="2018-02-20T13:52:00Z">
              <w:r>
                <w:t xml:space="preserve">(the model </w:t>
              </w:r>
            </w:ins>
            <w:ins w:id="222" w:author="John Lloyd" w:date="2018-02-20T13:49:00Z">
              <w:r>
                <w:t>with the lowest AIC score</w:t>
              </w:r>
            </w:ins>
            <w:ins w:id="223" w:author="John Lloyd" w:date="2018-02-20T13:52:00Z">
              <w:r>
                <w:t>)</w:t>
              </w:r>
            </w:ins>
            <w:ins w:id="224" w:author="John Lloyd" w:date="2018-02-20T13:51:00Z">
              <w:r>
                <w:t>.</w:t>
              </w:r>
            </w:ins>
          </w:p>
          <w:p w14:paraId="27F953FB" w14:textId="7BCCFF5A" w:rsidR="003B2977" w:rsidRPr="003B2977" w:rsidRDefault="003B2977" w:rsidP="000D3751">
            <w:pPr>
              <w:spacing w:line="480" w:lineRule="auto"/>
              <w:rPr>
                <w:ins w:id="225" w:author="John Lloyd" w:date="2018-02-20T13:50:00Z"/>
              </w:rPr>
            </w:pPr>
            <w:ins w:id="226" w:author="John Lloyd" w:date="2018-02-20T13:51:00Z">
              <w:r>
                <w:rPr>
                  <w:vertAlign w:val="superscript"/>
                </w:rPr>
                <w:t>c</w:t>
              </w:r>
            </w:ins>
            <w:ins w:id="227" w:author="John Lloyd" w:date="2018-02-20T13:49:00Z">
              <w:r w:rsidRPr="003B2977">
                <w:t xml:space="preserve"> </w:t>
              </w:r>
              <w:proofErr w:type="gramStart"/>
              <w:r w:rsidRPr="003B2977">
                <w:t>The</w:t>
              </w:r>
              <w:proofErr w:type="gramEnd"/>
              <w:r w:rsidRPr="003B2977">
                <w:t xml:space="preserve"> lowest AIC score was </w:t>
              </w:r>
            </w:ins>
            <w:ins w:id="228" w:author="John Lloyd" w:date="2018-02-20T13:50:00Z">
              <w:r w:rsidRPr="003B2977">
                <w:t>174.94.</w:t>
              </w:r>
            </w:ins>
          </w:p>
          <w:p w14:paraId="231791BD" w14:textId="2CFDC871" w:rsidR="003B2977" w:rsidRDefault="003B2977" w:rsidP="003B2977">
            <w:pPr>
              <w:spacing w:line="480" w:lineRule="auto"/>
              <w:rPr>
                <w:ins w:id="229" w:author="John Lloyd" w:date="2018-02-20T13:58:00Z"/>
                <w:rFonts w:eastAsiaTheme="minorHAnsi"/>
              </w:rPr>
            </w:pPr>
            <w:ins w:id="230" w:author="John Lloyd" w:date="2018-02-20T13:51:00Z">
              <w:r w:rsidRPr="003B2977">
                <w:rPr>
                  <w:vertAlign w:val="superscript"/>
                  <w:rPrChange w:id="231" w:author="John Lloyd" w:date="2018-02-20T13:51:00Z">
                    <w:rPr/>
                  </w:rPrChange>
                </w:rPr>
                <w:t>d</w:t>
              </w:r>
            </w:ins>
            <w:ins w:id="232" w:author="John Lloyd" w:date="2018-02-20T13:50:00Z">
              <w:r w:rsidRPr="003B2977">
                <w:t xml:space="preserve"> </w:t>
              </w:r>
              <w:r w:rsidRPr="003B2977">
                <w:rPr>
                  <w:rFonts w:eastAsiaTheme="minorHAnsi"/>
                  <w:rPrChange w:id="233" w:author="John Lloyd" w:date="2018-02-20T13:51:00Z">
                    <w:rPr>
                      <w:rFonts w:asciiTheme="minorHAnsi" w:eastAsiaTheme="minorHAnsi" w:hAnsiTheme="minorHAnsi" w:cstheme="minorBidi"/>
                      <w:sz w:val="22"/>
                      <w:szCs w:val="22"/>
                    </w:rPr>
                  </w:rPrChange>
                </w:rPr>
                <w:t xml:space="preserve">AIC </w:t>
              </w:r>
              <w:proofErr w:type="spellStart"/>
              <w:r w:rsidRPr="003B2977">
                <w:rPr>
                  <w:rFonts w:eastAsiaTheme="minorHAnsi"/>
                  <w:rPrChange w:id="234" w:author="John Lloyd" w:date="2018-02-20T13:51:00Z">
                    <w:rPr>
                      <w:rFonts w:asciiTheme="minorHAnsi" w:eastAsiaTheme="minorHAnsi" w:hAnsiTheme="minorHAnsi" w:cstheme="minorBidi"/>
                      <w:sz w:val="22"/>
                      <w:szCs w:val="22"/>
                    </w:rPr>
                  </w:rPrChange>
                </w:rPr>
                <w:t>wt</w:t>
              </w:r>
              <w:proofErr w:type="spellEnd"/>
              <w:r w:rsidRPr="003B2977">
                <w:rPr>
                  <w:rFonts w:eastAsiaTheme="minorHAnsi"/>
                  <w:rPrChange w:id="235" w:author="John Lloyd" w:date="2018-02-20T13:51:00Z">
                    <w:rPr>
                      <w:rFonts w:asciiTheme="minorHAnsi" w:eastAsiaTheme="minorHAnsi" w:hAnsiTheme="minorHAnsi" w:cstheme="minorBidi"/>
                      <w:sz w:val="22"/>
                      <w:szCs w:val="22"/>
                    </w:rPr>
                  </w:rPrChange>
                </w:rPr>
                <w:t xml:space="preserve"> (</w:t>
              </w:r>
              <w:proofErr w:type="spellStart"/>
              <w:r w:rsidRPr="003B2977">
                <w:rPr>
                  <w:rFonts w:eastAsiaTheme="minorHAnsi"/>
                  <w:i/>
                  <w:rPrChange w:id="236" w:author="John Lloyd" w:date="2018-02-20T13:51:00Z">
                    <w:rPr>
                      <w:rFonts w:asciiTheme="minorHAnsi" w:eastAsiaTheme="minorHAnsi" w:hAnsiTheme="minorHAnsi" w:cstheme="minorBidi"/>
                      <w:i/>
                      <w:sz w:val="22"/>
                      <w:szCs w:val="22"/>
                    </w:rPr>
                  </w:rPrChange>
                </w:rPr>
                <w:t>w</w:t>
              </w:r>
              <w:r w:rsidRPr="003B2977">
                <w:rPr>
                  <w:rFonts w:eastAsiaTheme="minorHAnsi"/>
                  <w:i/>
                  <w:vertAlign w:val="subscript"/>
                  <w:rPrChange w:id="237" w:author="John Lloyd" w:date="2018-02-20T13:51:00Z">
                    <w:rPr>
                      <w:rFonts w:asciiTheme="minorHAnsi" w:eastAsiaTheme="minorHAnsi" w:hAnsiTheme="minorHAnsi" w:cstheme="minorBidi"/>
                      <w:i/>
                      <w:sz w:val="22"/>
                      <w:szCs w:val="22"/>
                      <w:vertAlign w:val="subscript"/>
                    </w:rPr>
                  </w:rPrChange>
                </w:rPr>
                <w:t>i</w:t>
              </w:r>
              <w:proofErr w:type="spellEnd"/>
              <w:r w:rsidRPr="003B2977">
                <w:rPr>
                  <w:rFonts w:eastAsiaTheme="minorHAnsi"/>
                  <w:rPrChange w:id="238" w:author="John Lloyd" w:date="2018-02-20T13:51:00Z">
                    <w:rPr>
                      <w:rFonts w:asciiTheme="minorHAnsi" w:eastAsiaTheme="minorHAnsi" w:hAnsiTheme="minorHAnsi" w:cstheme="minorBidi"/>
                      <w:sz w:val="22"/>
                      <w:szCs w:val="22"/>
                    </w:rPr>
                  </w:rPrChange>
                </w:rPr>
                <w:t>) reflects the relative support for each model.</w:t>
              </w:r>
            </w:ins>
          </w:p>
          <w:p w14:paraId="1BA55C6B" w14:textId="103D0FBF" w:rsidR="001568BB" w:rsidRPr="001568BB" w:rsidRDefault="001568BB" w:rsidP="003B2977">
            <w:pPr>
              <w:spacing w:line="480" w:lineRule="auto"/>
              <w:rPr>
                <w:ins w:id="239" w:author="John Lloyd" w:date="2018-02-20T13:50:00Z"/>
                <w:rFonts w:eastAsiaTheme="minorHAnsi"/>
                <w:rPrChange w:id="240" w:author="John Lloyd" w:date="2018-02-20T13:59:00Z">
                  <w:rPr>
                    <w:ins w:id="241" w:author="John Lloyd" w:date="2018-02-20T13:50:00Z"/>
                    <w:rFonts w:asciiTheme="minorHAnsi" w:eastAsiaTheme="minorHAnsi" w:hAnsiTheme="minorHAnsi" w:cstheme="minorBidi"/>
                    <w:sz w:val="22"/>
                    <w:szCs w:val="22"/>
                  </w:rPr>
                </w:rPrChange>
              </w:rPr>
            </w:pPr>
            <w:ins w:id="242" w:author="John Lloyd" w:date="2018-02-20T13:58:00Z">
              <w:r>
                <w:rPr>
                  <w:rFonts w:eastAsiaTheme="minorHAnsi"/>
                  <w:vertAlign w:val="superscript"/>
                </w:rPr>
                <w:t>e</w:t>
              </w:r>
              <w:r>
                <w:rPr>
                  <w:rFonts w:eastAsiaTheme="minorHAnsi"/>
                </w:rPr>
                <w:t xml:space="preserve"> </w:t>
              </w:r>
              <w:proofErr w:type="gramStart"/>
              <w:r>
                <w:rPr>
                  <w:rFonts w:eastAsiaTheme="minorHAnsi"/>
                </w:rPr>
                <w:t>The</w:t>
              </w:r>
              <w:proofErr w:type="gramEnd"/>
              <w:r>
                <w:rPr>
                  <w:rFonts w:eastAsiaTheme="minorHAnsi"/>
                </w:rPr>
                <w:t xml:space="preserve"> next best-supported model had </w:t>
              </w:r>
            </w:ins>
            <w:ins w:id="243" w:author="John Lloyd" w:date="2018-02-20T13:59:00Z">
              <w:r>
                <w:sym w:font="Symbol" w:char="F044"/>
              </w:r>
              <w:r>
                <w:t>AIC</w:t>
              </w:r>
              <w:r>
                <w:t xml:space="preserve"> = 60.62 and </w:t>
              </w:r>
              <w:proofErr w:type="spellStart"/>
              <w:r w:rsidRPr="002B3E60">
                <w:rPr>
                  <w:rFonts w:eastAsiaTheme="minorHAnsi"/>
                  <w:i/>
                </w:rPr>
                <w:t>w</w:t>
              </w:r>
              <w:r w:rsidRPr="002B3E60">
                <w:rPr>
                  <w:rFonts w:eastAsiaTheme="minorHAnsi"/>
                  <w:i/>
                  <w:vertAlign w:val="subscript"/>
                </w:rPr>
                <w:t>i</w:t>
              </w:r>
              <w:proofErr w:type="spellEnd"/>
              <w:r>
                <w:rPr>
                  <w:rFonts w:eastAsiaTheme="minorHAnsi"/>
                  <w:i/>
                  <w:vertAlign w:val="subscript"/>
                </w:rPr>
                <w:t xml:space="preserve"> </w:t>
              </w:r>
              <w:r>
                <w:rPr>
                  <w:rFonts w:eastAsiaTheme="minorHAnsi"/>
                </w:rPr>
                <w:t>= 0.</w:t>
              </w:r>
            </w:ins>
          </w:p>
          <w:p w14:paraId="0818FC47" w14:textId="77777777" w:rsidR="003B2977" w:rsidRDefault="003B2977" w:rsidP="000D3751">
            <w:pPr>
              <w:spacing w:line="480" w:lineRule="auto"/>
              <w:rPr>
                <w:ins w:id="244" w:author="John Lloyd" w:date="2018-02-20T13:47:00Z"/>
              </w:rPr>
            </w:pPr>
          </w:p>
        </w:tc>
      </w:tr>
    </w:tbl>
    <w:p w14:paraId="5D3CA179" w14:textId="77777777" w:rsidR="00B00778" w:rsidRDefault="00B00778" w:rsidP="000D3751">
      <w:pPr>
        <w:spacing w:line="480" w:lineRule="auto"/>
      </w:pPr>
    </w:p>
    <w:p w14:paraId="38135C3A" w14:textId="78EA156C" w:rsidR="00C0196E" w:rsidRDefault="000718A4" w:rsidP="00494739">
      <w:pPr>
        <w:spacing w:line="480" w:lineRule="auto"/>
        <w:rPr>
          <w:ins w:id="245" w:author="John Lloyd" w:date="2018-02-20T14:11:00Z"/>
        </w:rPr>
      </w:pPr>
      <w:ins w:id="246" w:author="John Lloyd" w:date="2018-02-20T14:05:00Z">
        <w:r>
          <w:t xml:space="preserve">Indeed, </w:t>
        </w:r>
      </w:ins>
      <w:ins w:id="247" w:author="John Lloyd" w:date="2018-02-20T14:08:00Z">
        <w:r w:rsidR="00BC4B27">
          <w:t xml:space="preserve">methylmercury loads in eggs and larvae were best </w:t>
        </w:r>
      </w:ins>
      <w:ins w:id="248" w:author="John Lloyd" w:date="2018-02-20T14:09:00Z">
        <w:r w:rsidR="00BC4B27">
          <w:t>explained</w:t>
        </w:r>
      </w:ins>
      <w:ins w:id="249" w:author="John Lloyd" w:date="2018-02-20T14:08:00Z">
        <w:r w:rsidR="00BC4B27">
          <w:t xml:space="preserve"> </w:t>
        </w:r>
      </w:ins>
      <w:ins w:id="250" w:author="John Lloyd" w:date="2018-02-20T14:09:00Z">
        <w:r w:rsidR="00BC4B27">
          <w:t>by the effect of species, life stage, and the interaction between these two variables (Figure 1). Levels of methylmercury in eggs of both species were low</w:t>
        </w:r>
      </w:ins>
      <w:ins w:id="251" w:author="John Lloyd" w:date="2018-02-20T14:10:00Z">
        <w:r w:rsidR="00BC4B27">
          <w:t xml:space="preserve"> but increased substantially among both early- and late-stage larvae. The increase was more pronounced among Spotted Salamanders, which </w:t>
        </w:r>
      </w:ins>
      <w:ins w:id="252" w:author="John Lloyd" w:date="2018-02-20T14:11:00Z">
        <w:r w:rsidR="00BC4B27">
          <w:t xml:space="preserve">had higher levels of methylmercury at both larval stages than did Wood Frogs. </w:t>
        </w:r>
      </w:ins>
      <w:ins w:id="253" w:author="John Lloyd" w:date="2018-02-20T14:30:00Z">
        <w:r w:rsidR="0088084F">
          <w:t xml:space="preserve">Surprisingly, predicted methylmercury loads in adults of both species </w:t>
        </w:r>
        <w:r w:rsidR="004C6244">
          <w:t xml:space="preserve">were substantially lower than predicted levels among late-stage larvae of both species (Wood Frog adults and late-stage larvae, respectively: </w:t>
        </w:r>
      </w:ins>
      <w:ins w:id="254" w:author="John Lloyd" w:date="2018-02-20T14:31:00Z">
        <w:r w:rsidR="004C6244">
          <w:t xml:space="preserve">35.8 ng/g [95% CI = 27.6 </w:t>
        </w:r>
      </w:ins>
      <w:ins w:id="255" w:author="John Lloyd" w:date="2018-02-20T14:32:00Z">
        <w:r w:rsidR="004C6244">
          <w:t>–</w:t>
        </w:r>
      </w:ins>
      <w:ins w:id="256" w:author="John Lloyd" w:date="2018-02-20T14:31:00Z">
        <w:r w:rsidR="004C6244">
          <w:t xml:space="preserve"> 46.</w:t>
        </w:r>
      </w:ins>
      <w:ins w:id="257" w:author="John Lloyd" w:date="2018-02-20T14:32:00Z">
        <w:r w:rsidR="004C6244">
          <w:t xml:space="preserve">7] versus 83.0 </w:t>
        </w:r>
      </w:ins>
      <w:ins w:id="258" w:author="John Lloyd" w:date="2018-02-20T14:33:00Z">
        <w:r w:rsidR="004C6244">
          <w:t xml:space="preserve">ng/g </w:t>
        </w:r>
      </w:ins>
      <w:ins w:id="259" w:author="John Lloyd" w:date="2018-02-20T14:32:00Z">
        <w:r w:rsidR="004C6244">
          <w:t xml:space="preserve">[66.4 – 103.8]; </w:t>
        </w:r>
      </w:ins>
      <w:ins w:id="260" w:author="John Lloyd" w:date="2018-02-20T14:33:00Z">
        <w:r w:rsidR="004C6244">
          <w:t>Spotted Salamander</w:t>
        </w:r>
        <w:r w:rsidR="004C6244">
          <w:t xml:space="preserve"> adults and late-stage larvae, respectively</w:t>
        </w:r>
        <w:r w:rsidR="004C6244">
          <w:t xml:space="preserve">: </w:t>
        </w:r>
      </w:ins>
      <w:ins w:id="261" w:author="John Lloyd" w:date="2018-02-20T14:34:00Z">
        <w:r w:rsidR="004C6244">
          <w:t xml:space="preserve">70.8 ng/g [54.1 – 92.8] </w:t>
        </w:r>
      </w:ins>
      <w:ins w:id="262" w:author="John Lloyd" w:date="2018-02-20T14:33:00Z">
        <w:r w:rsidR="004C6244">
          <w:t>versus 195.4 ng/g [151.5 – 252.0]</w:t>
        </w:r>
      </w:ins>
      <w:ins w:id="263" w:author="John Lloyd" w:date="2018-02-20T14:34:00Z">
        <w:r w:rsidR="004C6244">
          <w:t xml:space="preserve">). </w:t>
        </w:r>
      </w:ins>
    </w:p>
    <w:p w14:paraId="4BD4E3FA" w14:textId="77777777" w:rsidR="00BC4B27" w:rsidRDefault="00BC4B27" w:rsidP="00BC4B27">
      <w:pPr>
        <w:keepNext/>
        <w:spacing w:line="480" w:lineRule="auto"/>
        <w:rPr>
          <w:ins w:id="264" w:author="John Lloyd" w:date="2018-02-20T14:12:00Z"/>
        </w:rPr>
        <w:pPrChange w:id="265" w:author="John Lloyd" w:date="2018-02-20T14:12:00Z">
          <w:pPr>
            <w:spacing w:line="480" w:lineRule="auto"/>
          </w:pPr>
        </w:pPrChange>
      </w:pPr>
      <w:ins w:id="266" w:author="John Lloyd" w:date="2018-02-20T14:12:00Z">
        <w:r>
          <w:rPr>
            <w:noProof/>
          </w:rPr>
          <w:lastRenderedPageBreak/>
          <w:drawing>
            <wp:inline distT="0" distB="0" distL="0" distR="0" wp14:anchorId="402AEDBE" wp14:editId="002C78EB">
              <wp:extent cx="33909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8">
                        <a:extLst>
                          <a:ext uri="{28A0092B-C50C-407E-A947-70E740481C1C}">
                            <a14:useLocalDpi xmlns:a14="http://schemas.microsoft.com/office/drawing/2010/main" val="0"/>
                          </a:ext>
                        </a:extLst>
                      </a:blip>
                      <a:stretch>
                        <a:fillRect/>
                      </a:stretch>
                    </pic:blipFill>
                    <pic:spPr>
                      <a:xfrm>
                        <a:off x="0" y="0"/>
                        <a:ext cx="3390900" cy="2667000"/>
                      </a:xfrm>
                      <a:prstGeom prst="rect">
                        <a:avLst/>
                      </a:prstGeom>
                    </pic:spPr>
                  </pic:pic>
                </a:graphicData>
              </a:graphic>
            </wp:inline>
          </w:drawing>
        </w:r>
      </w:ins>
    </w:p>
    <w:p w14:paraId="31285E12" w14:textId="5311CDCC" w:rsidR="00BC4B27" w:rsidRDefault="00BC4B27" w:rsidP="00BC4B27">
      <w:pPr>
        <w:pStyle w:val="Caption"/>
        <w:rPr>
          <w:ins w:id="267" w:author="John Lloyd" w:date="2018-02-12T13:45:00Z"/>
        </w:rPr>
        <w:pPrChange w:id="268" w:author="John Lloyd" w:date="2018-02-20T14:12:00Z">
          <w:pPr>
            <w:spacing w:line="480" w:lineRule="auto"/>
          </w:pPr>
        </w:pPrChange>
      </w:pPr>
      <w:ins w:id="269" w:author="John Lloyd" w:date="2018-02-20T14:12:00Z">
        <w:r>
          <w:t xml:space="preserve">Figure </w:t>
        </w:r>
        <w:r>
          <w:fldChar w:fldCharType="begin"/>
        </w:r>
        <w:r>
          <w:instrText xml:space="preserve"> SEQ Figure \* ARABIC </w:instrText>
        </w:r>
      </w:ins>
      <w:r>
        <w:fldChar w:fldCharType="separate"/>
      </w:r>
      <w:ins w:id="270" w:author="John Lloyd" w:date="2018-02-20T14:28:00Z">
        <w:r w:rsidR="0088084F">
          <w:rPr>
            <w:noProof/>
          </w:rPr>
          <w:t>1</w:t>
        </w:r>
      </w:ins>
      <w:ins w:id="271" w:author="John Lloyd" w:date="2018-02-20T14:12:00Z">
        <w:r>
          <w:fldChar w:fldCharType="end"/>
        </w:r>
        <w:r>
          <w:t xml:space="preserve">. </w:t>
        </w:r>
      </w:ins>
      <w:ins w:id="272" w:author="John Lloyd" w:date="2018-02-20T14:14:00Z">
        <w:r>
          <w:t>Predicted</w:t>
        </w:r>
      </w:ins>
      <w:ins w:id="273" w:author="John Lloyd" w:date="2018-02-20T14:12:00Z">
        <w:r>
          <w:t xml:space="preserve"> values</w:t>
        </w:r>
      </w:ins>
      <w:ins w:id="274" w:author="John Lloyd" w:date="2018-02-20T14:15:00Z">
        <w:r>
          <w:t xml:space="preserve"> (and 95% confidence intervals)</w:t>
        </w:r>
      </w:ins>
      <w:ins w:id="275" w:author="John Lloyd" w:date="2018-02-20T14:12:00Z">
        <w:r>
          <w:t xml:space="preserve"> of methylmercury (shown on the log scale</w:t>
        </w:r>
        <w:r>
          <w:t xml:space="preserve"> for ease of comparing across all life stages) in eggs and larval stages of Spotted Salamander and Wood Frog collected in vernal pools in Vermont, USA in 2015 and 2016. </w:t>
        </w:r>
      </w:ins>
      <w:ins w:id="276" w:author="John Lloyd" w:date="2018-02-20T14:14:00Z">
        <w:r>
          <w:t xml:space="preserve">Predicted values were averaged across all models that included effects of life stage and species. </w:t>
        </w:r>
      </w:ins>
      <w:ins w:id="277" w:author="John Lloyd" w:date="2018-02-20T14:13:00Z">
        <w:r>
          <w:t xml:space="preserve"> </w:t>
        </w:r>
      </w:ins>
    </w:p>
    <w:p w14:paraId="2A57A093" w14:textId="77777777" w:rsidR="0088084F" w:rsidRDefault="0088084F" w:rsidP="00494739">
      <w:pPr>
        <w:spacing w:line="480" w:lineRule="auto"/>
        <w:rPr>
          <w:ins w:id="278" w:author="John Lloyd" w:date="2018-02-20T14:23:00Z"/>
        </w:rPr>
      </w:pPr>
    </w:p>
    <w:p w14:paraId="09A43228" w14:textId="3B07F055" w:rsidR="00BC4B27" w:rsidRPr="0088084F" w:rsidRDefault="00BC4B27" w:rsidP="00494739">
      <w:pPr>
        <w:spacing w:line="480" w:lineRule="auto"/>
        <w:rPr>
          <w:ins w:id="279" w:author="John Lloyd" w:date="2018-02-20T14:16:00Z"/>
        </w:rPr>
      </w:pPr>
      <w:ins w:id="280" w:author="John Lloyd" w:date="2018-02-20T14:18:00Z">
        <w:r>
          <w:t xml:space="preserve">Variation in methylmercury levels among adults was explained by </w:t>
        </w:r>
      </w:ins>
      <w:ins w:id="281" w:author="John Lloyd" w:date="2018-02-20T14:20:00Z">
        <w:r w:rsidR="0088084F">
          <w:t xml:space="preserve">species, with </w:t>
        </w:r>
      </w:ins>
      <w:ins w:id="282" w:author="John Lloyd" w:date="2018-02-20T14:21:00Z">
        <w:r w:rsidR="0088084F">
          <w:t>Wood Frogs having substantially lower levels of methylmercury than Spotted Salamanders (</w:t>
        </w:r>
        <w:proofErr w:type="spellStart"/>
        <w:r w:rsidR="0088084F">
          <w:rPr>
            <w:i/>
          </w:rPr>
          <w:t>b</w:t>
        </w:r>
        <w:r w:rsidR="0088084F">
          <w:rPr>
            <w:vertAlign w:val="subscript"/>
          </w:rPr>
          <w:t>Wood</w:t>
        </w:r>
        <w:proofErr w:type="spellEnd"/>
        <w:r w:rsidR="0088084F">
          <w:rPr>
            <w:vertAlign w:val="subscript"/>
          </w:rPr>
          <w:t xml:space="preserve"> </w:t>
        </w:r>
        <w:proofErr w:type="gramStart"/>
        <w:r w:rsidR="0088084F">
          <w:rPr>
            <w:vertAlign w:val="subscript"/>
          </w:rPr>
          <w:t xml:space="preserve">Frog </w:t>
        </w:r>
        <w:r w:rsidR="0088084F">
          <w:t xml:space="preserve"> =</w:t>
        </w:r>
        <w:proofErr w:type="gramEnd"/>
        <w:r w:rsidR="0088084F">
          <w:t xml:space="preserve"> -0.66, 95% CI = -0.99 - -0.34) (Fig. 2).</w:t>
        </w:r>
      </w:ins>
      <w:ins w:id="283" w:author="John Lloyd" w:date="2018-02-20T14:22:00Z">
        <w:r w:rsidR="0088084F">
          <w:t xml:space="preserve"> Habitat had no discernible effect on methylmercury levels in adult salamanders or frogs (</w:t>
        </w:r>
        <w:proofErr w:type="spellStart"/>
        <w:r w:rsidR="0088084F">
          <w:rPr>
            <w:i/>
          </w:rPr>
          <w:t>b</w:t>
        </w:r>
        <w:r w:rsidR="0088084F">
          <w:rPr>
            <w:vertAlign w:val="subscript"/>
          </w:rPr>
          <w:t>deciduous</w:t>
        </w:r>
        <w:proofErr w:type="spellEnd"/>
        <w:r w:rsidR="0088084F">
          <w:rPr>
            <w:vertAlign w:val="subscript"/>
          </w:rPr>
          <w:t xml:space="preserve"> </w:t>
        </w:r>
        <w:r w:rsidR="0088084F">
          <w:t>= -0.02, 95% CI = -0.21 – 0.17).</w:t>
        </w:r>
      </w:ins>
      <w:ins w:id="284" w:author="John Lloyd" w:date="2018-02-20T14:21:00Z">
        <w:r w:rsidR="0088084F">
          <w:t xml:space="preserve"> </w:t>
        </w:r>
      </w:ins>
      <w:ins w:id="285" w:author="John Lloyd" w:date="2018-02-20T14:24:00Z">
        <w:r w:rsidR="0088084F">
          <w:t xml:space="preserve">Most of the </w:t>
        </w:r>
      </w:ins>
      <w:ins w:id="286" w:author="John Lloyd" w:date="2018-02-20T14:26:00Z">
        <w:r w:rsidR="0088084F">
          <w:t xml:space="preserve">observed </w:t>
        </w:r>
      </w:ins>
      <w:ins w:id="287" w:author="John Lloyd" w:date="2018-02-20T14:24:00Z">
        <w:r w:rsidR="0088084F">
          <w:t xml:space="preserve">variance </w:t>
        </w:r>
      </w:ins>
      <w:ins w:id="288" w:author="John Lloyd" w:date="2018-02-20T14:27:00Z">
        <w:r w:rsidR="0088084F">
          <w:t xml:space="preserve">in methylmercury loads among adults </w:t>
        </w:r>
      </w:ins>
      <w:ins w:id="289" w:author="John Lloyd" w:date="2018-02-20T14:24:00Z">
        <w:r w:rsidR="0088084F">
          <w:t>remained unexplained by t</w:t>
        </w:r>
      </w:ins>
      <w:ins w:id="290" w:author="John Lloyd" w:date="2018-02-20T14:23:00Z">
        <w:r w:rsidR="0088084F">
          <w:t>he global model (R</w:t>
        </w:r>
        <w:r w:rsidR="0088084F">
          <w:rPr>
            <w:vertAlign w:val="superscript"/>
          </w:rPr>
          <w:t>2</w:t>
        </w:r>
        <w:r w:rsidR="0088084F">
          <w:t xml:space="preserve"> = 0.27</w:t>
        </w:r>
      </w:ins>
      <w:ins w:id="291" w:author="John Lloyd" w:date="2018-02-20T14:27:00Z">
        <w:r w:rsidR="0088084F">
          <w:t xml:space="preserve">).  </w:t>
        </w:r>
      </w:ins>
    </w:p>
    <w:p w14:paraId="0D076ABB" w14:textId="77777777" w:rsidR="00BC4B27" w:rsidRDefault="00BC4B27" w:rsidP="00494739">
      <w:pPr>
        <w:spacing w:line="480" w:lineRule="auto"/>
        <w:rPr>
          <w:ins w:id="292" w:author="John Lloyd" w:date="2018-02-20T14:16:00Z"/>
        </w:rPr>
      </w:pPr>
    </w:p>
    <w:p w14:paraId="4F916FE2" w14:textId="5E0C7536" w:rsidR="00BC4B27" w:rsidRDefault="00BC4B27" w:rsidP="00BC4B27">
      <w:pPr>
        <w:pStyle w:val="Caption"/>
        <w:keepNext/>
        <w:rPr>
          <w:ins w:id="293" w:author="John Lloyd" w:date="2018-02-20T14:16:00Z"/>
        </w:rPr>
      </w:pPr>
      <w:ins w:id="294" w:author="John Lloyd" w:date="2018-02-20T14:16:00Z">
        <w:r>
          <w:t xml:space="preserve">Table </w:t>
        </w:r>
        <w:r>
          <w:t>2</w:t>
        </w:r>
        <w:r>
          <w:t xml:space="preserve">. </w:t>
        </w:r>
        <w:proofErr w:type="spellStart"/>
        <w:r>
          <w:t>Akaike's</w:t>
        </w:r>
        <w:proofErr w:type="spellEnd"/>
        <w:r>
          <w:t xml:space="preserve"> Information Criterion values for candidate models explaining variation i</w:t>
        </w:r>
        <w:r>
          <w:t xml:space="preserve">n methylmercury loads in </w:t>
        </w:r>
        <w:r>
          <w:t xml:space="preserve">adult </w:t>
        </w:r>
        <w:r>
          <w:t xml:space="preserve">Wood Frogs and Spotted Salamanders collected in vernal pools in Vermont, USA in 2015 and 2016. </w:t>
        </w:r>
      </w:ins>
    </w:p>
    <w:tbl>
      <w:tblPr>
        <w:tblStyle w:val="TableGrid"/>
        <w:tblW w:w="0" w:type="auto"/>
        <w:tblLook w:val="04A0" w:firstRow="1" w:lastRow="0" w:firstColumn="1" w:lastColumn="0" w:noHBand="0" w:noVBand="1"/>
      </w:tblPr>
      <w:tblGrid>
        <w:gridCol w:w="5575"/>
        <w:gridCol w:w="1260"/>
        <w:gridCol w:w="1170"/>
        <w:gridCol w:w="1345"/>
      </w:tblGrid>
      <w:tr w:rsidR="00BC4B27" w14:paraId="65ADE3AE" w14:textId="77777777" w:rsidTr="002B3E60">
        <w:trPr>
          <w:ins w:id="295" w:author="John Lloyd" w:date="2018-02-20T14:16:00Z"/>
        </w:trPr>
        <w:tc>
          <w:tcPr>
            <w:tcW w:w="5575" w:type="dxa"/>
          </w:tcPr>
          <w:p w14:paraId="197E1489" w14:textId="77777777" w:rsidR="00BC4B27" w:rsidRDefault="00BC4B27" w:rsidP="002B3E60">
            <w:pPr>
              <w:spacing w:line="480" w:lineRule="auto"/>
              <w:rPr>
                <w:ins w:id="296" w:author="John Lloyd" w:date="2018-02-20T14:16:00Z"/>
              </w:rPr>
            </w:pPr>
            <w:ins w:id="297" w:author="John Lloyd" w:date="2018-02-20T14:16:00Z">
              <w:r>
                <w:t>Model</w:t>
              </w:r>
            </w:ins>
          </w:p>
        </w:tc>
        <w:tc>
          <w:tcPr>
            <w:tcW w:w="1260" w:type="dxa"/>
          </w:tcPr>
          <w:p w14:paraId="14E680AC" w14:textId="77777777" w:rsidR="00BC4B27" w:rsidRPr="002B3E60" w:rsidRDefault="00BC4B27" w:rsidP="002B3E60">
            <w:pPr>
              <w:spacing w:line="480" w:lineRule="auto"/>
              <w:rPr>
                <w:ins w:id="298" w:author="John Lloyd" w:date="2018-02-20T14:16:00Z"/>
                <w:vertAlign w:val="superscript"/>
              </w:rPr>
            </w:pPr>
            <w:proofErr w:type="spellStart"/>
            <w:ins w:id="299" w:author="John Lloyd" w:date="2018-02-20T14:16:00Z">
              <w:r>
                <w:t>K</w:t>
              </w:r>
              <w:r>
                <w:rPr>
                  <w:vertAlign w:val="superscript"/>
                </w:rPr>
                <w:t>a</w:t>
              </w:r>
              <w:proofErr w:type="spellEnd"/>
            </w:ins>
          </w:p>
        </w:tc>
        <w:tc>
          <w:tcPr>
            <w:tcW w:w="1170" w:type="dxa"/>
          </w:tcPr>
          <w:p w14:paraId="69E30319" w14:textId="77777777" w:rsidR="00BC4B27" w:rsidRPr="002B3E60" w:rsidRDefault="00BC4B27" w:rsidP="002B3E60">
            <w:pPr>
              <w:spacing w:line="480" w:lineRule="auto"/>
              <w:rPr>
                <w:ins w:id="300" w:author="John Lloyd" w:date="2018-02-20T14:16:00Z"/>
                <w:vertAlign w:val="superscript"/>
              </w:rPr>
            </w:pPr>
            <w:ins w:id="301" w:author="John Lloyd" w:date="2018-02-20T14:16:00Z">
              <w:r>
                <w:sym w:font="Symbol" w:char="F044"/>
              </w:r>
              <w:proofErr w:type="spellStart"/>
              <w:proofErr w:type="gramStart"/>
              <w:r>
                <w:t>AIC</w:t>
              </w:r>
              <w:r>
                <w:rPr>
                  <w:vertAlign w:val="superscript"/>
                </w:rPr>
                <w:t>b,c</w:t>
              </w:r>
              <w:proofErr w:type="spellEnd"/>
              <w:proofErr w:type="gramEnd"/>
            </w:ins>
          </w:p>
        </w:tc>
        <w:tc>
          <w:tcPr>
            <w:tcW w:w="1345" w:type="dxa"/>
          </w:tcPr>
          <w:p w14:paraId="44FAD443" w14:textId="77777777" w:rsidR="00BC4B27" w:rsidRPr="002B3E60" w:rsidRDefault="00BC4B27" w:rsidP="002B3E60">
            <w:pPr>
              <w:spacing w:line="480" w:lineRule="auto"/>
              <w:rPr>
                <w:ins w:id="302" w:author="John Lloyd" w:date="2018-02-20T14:16:00Z"/>
                <w:vertAlign w:val="superscript"/>
              </w:rPr>
            </w:pPr>
            <w:proofErr w:type="spellStart"/>
            <w:ins w:id="303" w:author="John Lloyd" w:date="2018-02-20T14:16:00Z">
              <w:r>
                <w:rPr>
                  <w:i/>
                </w:rPr>
                <w:t>w</w:t>
              </w:r>
              <w:r>
                <w:rPr>
                  <w:i/>
                  <w:vertAlign w:val="subscript"/>
                </w:rPr>
                <w:t>i</w:t>
              </w:r>
              <w:r>
                <w:rPr>
                  <w:i/>
                  <w:vertAlign w:val="superscript"/>
                </w:rPr>
                <w:t>d</w:t>
              </w:r>
              <w:proofErr w:type="spellEnd"/>
            </w:ins>
          </w:p>
        </w:tc>
      </w:tr>
      <w:tr w:rsidR="00BC4B27" w14:paraId="3B2A0148" w14:textId="77777777" w:rsidTr="002B3E60">
        <w:trPr>
          <w:ins w:id="304" w:author="John Lloyd" w:date="2018-02-20T14:16:00Z"/>
        </w:trPr>
        <w:tc>
          <w:tcPr>
            <w:tcW w:w="5575" w:type="dxa"/>
          </w:tcPr>
          <w:p w14:paraId="5B048624" w14:textId="68D332E1" w:rsidR="00BC4B27" w:rsidRDefault="00BC4B27" w:rsidP="002B3E60">
            <w:pPr>
              <w:spacing w:line="480" w:lineRule="auto"/>
              <w:rPr>
                <w:ins w:id="305" w:author="John Lloyd" w:date="2018-02-20T14:16:00Z"/>
              </w:rPr>
            </w:pPr>
            <w:ins w:id="306" w:author="John Lloyd" w:date="2018-02-20T14:16:00Z">
              <w:r>
                <w:t>Species</w:t>
              </w:r>
            </w:ins>
          </w:p>
        </w:tc>
        <w:tc>
          <w:tcPr>
            <w:tcW w:w="1260" w:type="dxa"/>
          </w:tcPr>
          <w:p w14:paraId="579AFD8D" w14:textId="24B4361F" w:rsidR="00BC4B27" w:rsidRDefault="00BC4B27" w:rsidP="002B3E60">
            <w:pPr>
              <w:spacing w:line="480" w:lineRule="auto"/>
              <w:rPr>
                <w:ins w:id="307" w:author="John Lloyd" w:date="2018-02-20T14:16:00Z"/>
              </w:rPr>
            </w:pPr>
            <w:ins w:id="308" w:author="John Lloyd" w:date="2018-02-20T14:17:00Z">
              <w:r>
                <w:t>4</w:t>
              </w:r>
            </w:ins>
          </w:p>
        </w:tc>
        <w:tc>
          <w:tcPr>
            <w:tcW w:w="1170" w:type="dxa"/>
          </w:tcPr>
          <w:p w14:paraId="6FFDE854" w14:textId="77777777" w:rsidR="00BC4B27" w:rsidRDefault="00BC4B27" w:rsidP="002B3E60">
            <w:pPr>
              <w:spacing w:line="480" w:lineRule="auto"/>
              <w:rPr>
                <w:ins w:id="309" w:author="John Lloyd" w:date="2018-02-20T14:16:00Z"/>
              </w:rPr>
            </w:pPr>
            <w:ins w:id="310" w:author="John Lloyd" w:date="2018-02-20T14:16:00Z">
              <w:r>
                <w:t>0.00</w:t>
              </w:r>
            </w:ins>
          </w:p>
        </w:tc>
        <w:tc>
          <w:tcPr>
            <w:tcW w:w="1345" w:type="dxa"/>
          </w:tcPr>
          <w:p w14:paraId="7AC6E41C" w14:textId="0DF64597" w:rsidR="00BC4B27" w:rsidRDefault="00BC4B27" w:rsidP="002B3E60">
            <w:pPr>
              <w:spacing w:line="480" w:lineRule="auto"/>
              <w:rPr>
                <w:ins w:id="311" w:author="John Lloyd" w:date="2018-02-20T14:16:00Z"/>
              </w:rPr>
            </w:pPr>
            <w:ins w:id="312" w:author="John Lloyd" w:date="2018-02-20T14:16:00Z">
              <w:r>
                <w:t>0.</w:t>
              </w:r>
            </w:ins>
            <w:ins w:id="313" w:author="John Lloyd" w:date="2018-02-20T14:17:00Z">
              <w:r>
                <w:t>71</w:t>
              </w:r>
            </w:ins>
          </w:p>
        </w:tc>
      </w:tr>
      <w:tr w:rsidR="00BC4B27" w14:paraId="00A96D9D" w14:textId="77777777" w:rsidTr="002B3E60">
        <w:trPr>
          <w:ins w:id="314" w:author="John Lloyd" w:date="2018-02-20T14:16:00Z"/>
        </w:trPr>
        <w:tc>
          <w:tcPr>
            <w:tcW w:w="5575" w:type="dxa"/>
          </w:tcPr>
          <w:p w14:paraId="557FEB6A" w14:textId="0E379E43" w:rsidR="00BC4B27" w:rsidRDefault="00BC4B27" w:rsidP="002B3E60">
            <w:pPr>
              <w:spacing w:line="480" w:lineRule="auto"/>
              <w:rPr>
                <w:ins w:id="315" w:author="John Lloyd" w:date="2018-02-20T14:16:00Z"/>
              </w:rPr>
            </w:pPr>
            <w:ins w:id="316" w:author="John Lloyd" w:date="2018-02-20T14:16:00Z">
              <w:r>
                <w:t>Species +</w:t>
              </w:r>
              <w:r>
                <w:t xml:space="preserve"> </w:t>
              </w:r>
              <w:r>
                <w:t>habitat</w:t>
              </w:r>
            </w:ins>
          </w:p>
        </w:tc>
        <w:tc>
          <w:tcPr>
            <w:tcW w:w="1260" w:type="dxa"/>
          </w:tcPr>
          <w:p w14:paraId="27772D8E" w14:textId="14855AAD" w:rsidR="00BC4B27" w:rsidRDefault="00BC4B27" w:rsidP="002B3E60">
            <w:pPr>
              <w:spacing w:line="480" w:lineRule="auto"/>
              <w:rPr>
                <w:ins w:id="317" w:author="John Lloyd" w:date="2018-02-20T14:16:00Z"/>
              </w:rPr>
            </w:pPr>
            <w:ins w:id="318" w:author="John Lloyd" w:date="2018-02-20T14:17:00Z">
              <w:r>
                <w:t>5</w:t>
              </w:r>
            </w:ins>
          </w:p>
        </w:tc>
        <w:tc>
          <w:tcPr>
            <w:tcW w:w="1170" w:type="dxa"/>
          </w:tcPr>
          <w:p w14:paraId="221B7794" w14:textId="43780CA1" w:rsidR="00BC4B27" w:rsidRDefault="00BC4B27" w:rsidP="002B3E60">
            <w:pPr>
              <w:spacing w:line="480" w:lineRule="auto"/>
              <w:rPr>
                <w:ins w:id="319" w:author="John Lloyd" w:date="2018-02-20T14:16:00Z"/>
              </w:rPr>
            </w:pPr>
            <w:ins w:id="320" w:author="John Lloyd" w:date="2018-02-20T14:17:00Z">
              <w:r>
                <w:t>1.81</w:t>
              </w:r>
            </w:ins>
          </w:p>
        </w:tc>
        <w:tc>
          <w:tcPr>
            <w:tcW w:w="1345" w:type="dxa"/>
          </w:tcPr>
          <w:p w14:paraId="12C73E30" w14:textId="122FA249" w:rsidR="00BC4B27" w:rsidRDefault="00BC4B27" w:rsidP="002B3E60">
            <w:pPr>
              <w:spacing w:line="480" w:lineRule="auto"/>
              <w:rPr>
                <w:ins w:id="321" w:author="John Lloyd" w:date="2018-02-20T14:16:00Z"/>
              </w:rPr>
            </w:pPr>
            <w:ins w:id="322" w:author="John Lloyd" w:date="2018-02-20T14:16:00Z">
              <w:r>
                <w:t>0.</w:t>
              </w:r>
            </w:ins>
            <w:ins w:id="323" w:author="John Lloyd" w:date="2018-02-20T14:17:00Z">
              <w:r>
                <w:t>29</w:t>
              </w:r>
            </w:ins>
          </w:p>
        </w:tc>
      </w:tr>
      <w:tr w:rsidR="00BC4B27" w14:paraId="6CC74D52" w14:textId="77777777" w:rsidTr="002B3E60">
        <w:trPr>
          <w:ins w:id="324" w:author="John Lloyd" w:date="2018-02-20T14:16:00Z"/>
        </w:trPr>
        <w:tc>
          <w:tcPr>
            <w:tcW w:w="5575" w:type="dxa"/>
          </w:tcPr>
          <w:p w14:paraId="7EDEE005" w14:textId="5B3EE26D" w:rsidR="00BC4B27" w:rsidRDefault="00BC4B27" w:rsidP="002B3E60">
            <w:pPr>
              <w:spacing w:line="480" w:lineRule="auto"/>
              <w:rPr>
                <w:ins w:id="325" w:author="John Lloyd" w:date="2018-02-20T14:16:00Z"/>
              </w:rPr>
            </w:pPr>
            <w:ins w:id="326" w:author="John Lloyd" w:date="2018-02-20T14:17:00Z">
              <w:r>
                <w:t>Habitat</w:t>
              </w:r>
            </w:ins>
          </w:p>
        </w:tc>
        <w:tc>
          <w:tcPr>
            <w:tcW w:w="1260" w:type="dxa"/>
          </w:tcPr>
          <w:p w14:paraId="474524AA" w14:textId="6E3FDB32" w:rsidR="00BC4B27" w:rsidRDefault="00BC4B27" w:rsidP="002B3E60">
            <w:pPr>
              <w:spacing w:line="480" w:lineRule="auto"/>
              <w:rPr>
                <w:ins w:id="327" w:author="John Lloyd" w:date="2018-02-20T14:16:00Z"/>
              </w:rPr>
            </w:pPr>
            <w:ins w:id="328" w:author="John Lloyd" w:date="2018-02-20T14:17:00Z">
              <w:r>
                <w:t>4</w:t>
              </w:r>
            </w:ins>
          </w:p>
        </w:tc>
        <w:tc>
          <w:tcPr>
            <w:tcW w:w="1170" w:type="dxa"/>
          </w:tcPr>
          <w:p w14:paraId="429C7516" w14:textId="29C03F1D" w:rsidR="00BC4B27" w:rsidRDefault="00BC4B27" w:rsidP="002B3E60">
            <w:pPr>
              <w:spacing w:line="480" w:lineRule="auto"/>
              <w:rPr>
                <w:ins w:id="329" w:author="John Lloyd" w:date="2018-02-20T14:16:00Z"/>
              </w:rPr>
            </w:pPr>
            <w:ins w:id="330" w:author="John Lloyd" w:date="2018-02-20T14:16:00Z">
              <w:r>
                <w:t>1</w:t>
              </w:r>
            </w:ins>
            <w:ins w:id="331" w:author="John Lloyd" w:date="2018-02-20T14:17:00Z">
              <w:r>
                <w:t>08.46</w:t>
              </w:r>
            </w:ins>
          </w:p>
        </w:tc>
        <w:tc>
          <w:tcPr>
            <w:tcW w:w="1345" w:type="dxa"/>
          </w:tcPr>
          <w:p w14:paraId="074492FB" w14:textId="6381341F" w:rsidR="00BC4B27" w:rsidRDefault="00BC4B27" w:rsidP="002B3E60">
            <w:pPr>
              <w:spacing w:line="480" w:lineRule="auto"/>
              <w:rPr>
                <w:ins w:id="332" w:author="John Lloyd" w:date="2018-02-20T14:16:00Z"/>
              </w:rPr>
            </w:pPr>
            <w:ins w:id="333" w:author="John Lloyd" w:date="2018-02-20T14:16:00Z">
              <w:r>
                <w:t>0</w:t>
              </w:r>
            </w:ins>
            <w:ins w:id="334" w:author="John Lloyd" w:date="2018-02-20T14:17:00Z">
              <w:r>
                <w:t>.00</w:t>
              </w:r>
            </w:ins>
          </w:p>
        </w:tc>
      </w:tr>
      <w:tr w:rsidR="00BC4B27" w14:paraId="14641B90" w14:textId="77777777" w:rsidTr="002B3E60">
        <w:trPr>
          <w:ins w:id="335" w:author="John Lloyd" w:date="2018-02-20T14:16:00Z"/>
        </w:trPr>
        <w:tc>
          <w:tcPr>
            <w:tcW w:w="9350" w:type="dxa"/>
            <w:gridSpan w:val="4"/>
          </w:tcPr>
          <w:p w14:paraId="76539741" w14:textId="77777777" w:rsidR="00BC4B27" w:rsidRDefault="00BC4B27" w:rsidP="002B3E60">
            <w:pPr>
              <w:spacing w:line="480" w:lineRule="auto"/>
              <w:rPr>
                <w:ins w:id="336" w:author="John Lloyd" w:date="2018-02-20T14:16:00Z"/>
              </w:rPr>
            </w:pPr>
            <w:ins w:id="337" w:author="John Lloyd" w:date="2018-02-20T14:16:00Z">
              <w:r w:rsidRPr="002B3E60">
                <w:rPr>
                  <w:vertAlign w:val="superscript"/>
                </w:rPr>
                <w:lastRenderedPageBreak/>
                <w:t>a</w:t>
              </w:r>
              <w:r>
                <w:t xml:space="preserve"> </w:t>
              </w:r>
              <w:r w:rsidRPr="002B3E60">
                <w:rPr>
                  <w:i/>
                </w:rPr>
                <w:t>K</w:t>
              </w:r>
              <w:r>
                <w:t xml:space="preserve"> is the no. of parameters estimated by the model.</w:t>
              </w:r>
            </w:ins>
          </w:p>
          <w:p w14:paraId="7FDE87F4" w14:textId="77777777" w:rsidR="00BC4B27" w:rsidRDefault="00BC4B27" w:rsidP="002B3E60">
            <w:pPr>
              <w:spacing w:line="480" w:lineRule="auto"/>
              <w:rPr>
                <w:ins w:id="338" w:author="John Lloyd" w:date="2018-02-20T14:16:00Z"/>
              </w:rPr>
            </w:pPr>
            <w:ins w:id="339" w:author="John Lloyd" w:date="2018-02-20T14:16:00Z">
              <w:r w:rsidRPr="002B3E60">
                <w:rPr>
                  <w:vertAlign w:val="superscript"/>
                </w:rPr>
                <w:t>b</w:t>
              </w:r>
              <w:r>
                <w:t xml:space="preserve"> </w:t>
              </w:r>
              <w:r>
                <w:sym w:font="Symbol" w:char="F044"/>
              </w:r>
              <w:r>
                <w:t>AIC</w:t>
              </w:r>
              <w:r>
                <w:rPr>
                  <w:vertAlign w:val="superscript"/>
                </w:rPr>
                <w:t xml:space="preserve"> </w:t>
              </w:r>
              <w:r>
                <w:t>is the difference between a given model and the best model (the model with the lowest AIC score).</w:t>
              </w:r>
            </w:ins>
          </w:p>
          <w:p w14:paraId="171298D9" w14:textId="3DCCAB10" w:rsidR="00BC4B27" w:rsidRPr="003B2977" w:rsidRDefault="00BC4B27" w:rsidP="002B3E60">
            <w:pPr>
              <w:spacing w:line="480" w:lineRule="auto"/>
              <w:rPr>
                <w:ins w:id="340" w:author="John Lloyd" w:date="2018-02-20T14:16:00Z"/>
              </w:rPr>
            </w:pPr>
            <w:ins w:id="341" w:author="John Lloyd" w:date="2018-02-20T14:16:00Z">
              <w:r>
                <w:rPr>
                  <w:vertAlign w:val="superscript"/>
                </w:rPr>
                <w:t>c</w:t>
              </w:r>
              <w:r w:rsidRPr="003B2977">
                <w:t xml:space="preserve"> </w:t>
              </w:r>
              <w:proofErr w:type="gramStart"/>
              <w:r w:rsidRPr="003B2977">
                <w:t>The</w:t>
              </w:r>
              <w:proofErr w:type="gramEnd"/>
              <w:r w:rsidRPr="003B2977">
                <w:t xml:space="preserve"> lowest AIC score was </w:t>
              </w:r>
            </w:ins>
            <w:ins w:id="342" w:author="John Lloyd" w:date="2018-02-20T14:17:00Z">
              <w:r>
                <w:t>94.99</w:t>
              </w:r>
            </w:ins>
            <w:ins w:id="343" w:author="John Lloyd" w:date="2018-02-20T14:16:00Z">
              <w:r w:rsidRPr="003B2977">
                <w:t>.</w:t>
              </w:r>
            </w:ins>
          </w:p>
          <w:p w14:paraId="50ACE899" w14:textId="0DE00D63" w:rsidR="00BC4B27" w:rsidRPr="00BC4B27" w:rsidRDefault="00BC4B27" w:rsidP="00BC4B27">
            <w:pPr>
              <w:spacing w:line="480" w:lineRule="auto"/>
              <w:rPr>
                <w:ins w:id="344" w:author="John Lloyd" w:date="2018-02-20T14:16:00Z"/>
                <w:rFonts w:eastAsiaTheme="minorHAnsi"/>
                <w:rPrChange w:id="345" w:author="John Lloyd" w:date="2018-02-20T14:18:00Z">
                  <w:rPr>
                    <w:ins w:id="346" w:author="John Lloyd" w:date="2018-02-20T14:16:00Z"/>
                  </w:rPr>
                </w:rPrChange>
              </w:rPr>
            </w:pPr>
            <w:ins w:id="347" w:author="John Lloyd" w:date="2018-02-20T14:16:00Z">
              <w:r w:rsidRPr="002B3E60">
                <w:rPr>
                  <w:vertAlign w:val="superscript"/>
                </w:rPr>
                <w:t>d</w:t>
              </w:r>
              <w:r w:rsidRPr="003B2977">
                <w:t xml:space="preserve"> </w:t>
              </w:r>
              <w:r w:rsidRPr="002B3E60">
                <w:rPr>
                  <w:rFonts w:eastAsiaTheme="minorHAnsi"/>
                </w:rPr>
                <w:t xml:space="preserve">AIC </w:t>
              </w:r>
              <w:proofErr w:type="spellStart"/>
              <w:r w:rsidRPr="002B3E60">
                <w:rPr>
                  <w:rFonts w:eastAsiaTheme="minorHAnsi"/>
                </w:rPr>
                <w:t>wt</w:t>
              </w:r>
              <w:proofErr w:type="spellEnd"/>
              <w:r w:rsidRPr="002B3E60">
                <w:rPr>
                  <w:rFonts w:eastAsiaTheme="minorHAnsi"/>
                </w:rPr>
                <w:t xml:space="preserve"> (</w:t>
              </w:r>
              <w:proofErr w:type="spellStart"/>
              <w:r w:rsidRPr="002B3E60">
                <w:rPr>
                  <w:rFonts w:eastAsiaTheme="minorHAnsi"/>
                  <w:i/>
                </w:rPr>
                <w:t>w</w:t>
              </w:r>
              <w:r w:rsidRPr="002B3E60">
                <w:rPr>
                  <w:rFonts w:eastAsiaTheme="minorHAnsi"/>
                  <w:i/>
                  <w:vertAlign w:val="subscript"/>
                </w:rPr>
                <w:t>i</w:t>
              </w:r>
              <w:proofErr w:type="spellEnd"/>
              <w:r w:rsidRPr="002B3E60">
                <w:rPr>
                  <w:rFonts w:eastAsiaTheme="minorHAnsi"/>
                </w:rPr>
                <w:t>) reflects the relative support for each model.</w:t>
              </w:r>
            </w:ins>
          </w:p>
        </w:tc>
      </w:tr>
    </w:tbl>
    <w:p w14:paraId="709642E6" w14:textId="77777777" w:rsidR="00BC4B27" w:rsidRDefault="00BC4B27" w:rsidP="00494739">
      <w:pPr>
        <w:spacing w:line="480" w:lineRule="auto"/>
        <w:rPr>
          <w:ins w:id="348" w:author="John Lloyd" w:date="2018-02-20T14:15:00Z"/>
        </w:rPr>
      </w:pPr>
    </w:p>
    <w:p w14:paraId="2C542C43" w14:textId="77777777" w:rsidR="0088084F" w:rsidRDefault="0088084F" w:rsidP="0088084F">
      <w:pPr>
        <w:keepNext/>
        <w:spacing w:line="480" w:lineRule="auto"/>
        <w:rPr>
          <w:ins w:id="349" w:author="John Lloyd" w:date="2018-02-20T14:28:00Z"/>
        </w:rPr>
        <w:pPrChange w:id="350" w:author="John Lloyd" w:date="2018-02-20T14:28:00Z">
          <w:pPr>
            <w:spacing w:line="480" w:lineRule="auto"/>
          </w:pPr>
        </w:pPrChange>
      </w:pPr>
      <w:ins w:id="351" w:author="John Lloyd" w:date="2018-02-20T14:27:00Z">
        <w:r>
          <w:rPr>
            <w:noProof/>
          </w:rPr>
          <w:drawing>
            <wp:inline distT="0" distB="0" distL="0" distR="0" wp14:anchorId="78531796" wp14:editId="33175997">
              <wp:extent cx="33909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9">
                        <a:extLst>
                          <a:ext uri="{28A0092B-C50C-407E-A947-70E740481C1C}">
                            <a14:useLocalDpi xmlns:a14="http://schemas.microsoft.com/office/drawing/2010/main" val="0"/>
                          </a:ext>
                        </a:extLst>
                      </a:blip>
                      <a:stretch>
                        <a:fillRect/>
                      </a:stretch>
                    </pic:blipFill>
                    <pic:spPr>
                      <a:xfrm>
                        <a:off x="0" y="0"/>
                        <a:ext cx="3390900" cy="2667000"/>
                      </a:xfrm>
                      <a:prstGeom prst="rect">
                        <a:avLst/>
                      </a:prstGeom>
                    </pic:spPr>
                  </pic:pic>
                </a:graphicData>
              </a:graphic>
            </wp:inline>
          </w:drawing>
        </w:r>
      </w:ins>
    </w:p>
    <w:p w14:paraId="7B24E991" w14:textId="63EE3964" w:rsidR="00BC4B27" w:rsidRDefault="0088084F" w:rsidP="0088084F">
      <w:pPr>
        <w:pStyle w:val="Caption"/>
        <w:rPr>
          <w:ins w:id="352" w:author="John Lloyd" w:date="2018-02-20T14:15:00Z"/>
        </w:rPr>
        <w:pPrChange w:id="353" w:author="John Lloyd" w:date="2018-02-20T14:28:00Z">
          <w:pPr>
            <w:spacing w:line="480" w:lineRule="auto"/>
          </w:pPr>
        </w:pPrChange>
      </w:pPr>
      <w:ins w:id="354" w:author="John Lloyd" w:date="2018-02-20T14:28:00Z">
        <w:r>
          <w:t xml:space="preserve">Figure </w:t>
        </w:r>
        <w:r>
          <w:fldChar w:fldCharType="begin"/>
        </w:r>
        <w:r>
          <w:instrText xml:space="preserve"> SEQ Figure \* ARABIC </w:instrText>
        </w:r>
      </w:ins>
      <w:r>
        <w:fldChar w:fldCharType="separate"/>
      </w:r>
      <w:ins w:id="355" w:author="John Lloyd" w:date="2018-02-20T14:28:00Z">
        <w:r>
          <w:rPr>
            <w:noProof/>
          </w:rPr>
          <w:t>2</w:t>
        </w:r>
        <w:r>
          <w:fldChar w:fldCharType="end"/>
        </w:r>
        <w:r>
          <w:t xml:space="preserve">. </w:t>
        </w:r>
        <w:r w:rsidRPr="0001382E">
          <w:t xml:space="preserve">Predicted values (and 95% confidence intervals) of methylmercury (shown on the log scale for ease of comparing across all life stages) </w:t>
        </w:r>
        <w:r>
          <w:t>among adult</w:t>
        </w:r>
        <w:r w:rsidRPr="0001382E">
          <w:t xml:space="preserve"> Spotted Salamander and Wood Frog collected in vernal pools in Vermont, USA in</w:t>
        </w:r>
        <w:r>
          <w:t xml:space="preserve"> 2015 and 2016.</w:t>
        </w:r>
      </w:ins>
    </w:p>
    <w:p w14:paraId="7A0B9258" w14:textId="77777777" w:rsidR="00494739" w:rsidRDefault="0071661B" w:rsidP="00494739">
      <w:pPr>
        <w:spacing w:line="480" w:lineRule="auto"/>
      </w:pPr>
      <w:r>
        <w:t>Me</w:t>
      </w:r>
      <w:r w:rsidR="004F5CC2">
        <w:t>thy</w:t>
      </w:r>
      <w:r w:rsidR="00694BAF">
        <w:t>l</w:t>
      </w:r>
      <w:r w:rsidR="004F5CC2">
        <w:t>mercury</w:t>
      </w:r>
      <w:r>
        <w:t xml:space="preserve"> concentrations in amphibian embryos were relatively low compared to larval and adult burdens</w:t>
      </w:r>
      <w:r w:rsidR="004F5CC2">
        <w:t xml:space="preserve"> (</w:t>
      </w:r>
      <w:r w:rsidR="005D6704">
        <w:t xml:space="preserve">Table 3; </w:t>
      </w:r>
      <w:r w:rsidR="004F5CC2">
        <w:t>Fig. 2</w:t>
      </w:r>
      <w:proofErr w:type="gramStart"/>
      <w:r w:rsidR="004F5CC2">
        <w:t>)</w:t>
      </w:r>
      <w:r>
        <w:t>, but</w:t>
      </w:r>
      <w:proofErr w:type="gramEnd"/>
      <w:r>
        <w:t xml:space="preserve"> were 3 to 4 orders of magnitude greater than water </w:t>
      </w:r>
      <w:proofErr w:type="spellStart"/>
      <w:r>
        <w:t>MeHg</w:t>
      </w:r>
      <w:proofErr w:type="spellEnd"/>
      <w:r>
        <w:t xml:space="preserve"> levels, suggesting that female amphibians may depurate some of their Hg burdens during oviposition. </w:t>
      </w:r>
      <w:r w:rsidR="004F5CC2">
        <w:t>T</w:t>
      </w:r>
      <w:r>
        <w:t xml:space="preserve">here were no differences in </w:t>
      </w:r>
      <w:r w:rsidR="004F5CC2">
        <w:t xml:space="preserve">embryo </w:t>
      </w:r>
      <w:proofErr w:type="spellStart"/>
      <w:r w:rsidR="004F5CC2">
        <w:t>MeHg</w:t>
      </w:r>
      <w:proofErr w:type="spellEnd"/>
      <w:r w:rsidR="004F5CC2">
        <w:t xml:space="preserve"> concentrations </w:t>
      </w:r>
      <w:r>
        <w:t>between species or habitat</w:t>
      </w:r>
      <w:r w:rsidR="007A3A12">
        <w:t>s</w:t>
      </w:r>
      <w:r w:rsidR="004F5CC2">
        <w:t>.</w:t>
      </w:r>
      <w:r w:rsidR="00694BAF">
        <w:t xml:space="preserve"> </w:t>
      </w:r>
      <w:r w:rsidR="004D7F73">
        <w:t>Within</w:t>
      </w:r>
      <w:r w:rsidR="00694BAF">
        <w:t xml:space="preserve"> larvae, </w:t>
      </w:r>
      <w:proofErr w:type="spellStart"/>
      <w:r w:rsidR="00694BAF">
        <w:t>MeHg</w:t>
      </w:r>
      <w:proofErr w:type="spellEnd"/>
      <w:r w:rsidR="00694BAF">
        <w:t xml:space="preserve"> levels varied among species, larval stage, an</w:t>
      </w:r>
      <w:r w:rsidR="0032492B">
        <w:t xml:space="preserve">d as a function of water </w:t>
      </w:r>
      <w:proofErr w:type="spellStart"/>
      <w:r w:rsidR="0032492B">
        <w:t>MeHg</w:t>
      </w:r>
      <w:proofErr w:type="spellEnd"/>
      <w:r w:rsidR="0032492B">
        <w:t xml:space="preserve">. </w:t>
      </w:r>
      <w:r w:rsidR="009A48EF">
        <w:t>Both early and late stage s</w:t>
      </w:r>
      <w:r w:rsidR="00694BAF">
        <w:t xml:space="preserve">potted salamander larvae </w:t>
      </w:r>
      <w:r w:rsidR="00F073BC">
        <w:t xml:space="preserve">had significantly greater levels of </w:t>
      </w:r>
      <w:proofErr w:type="spellStart"/>
      <w:r w:rsidR="00F073BC">
        <w:t>MeHg</w:t>
      </w:r>
      <w:proofErr w:type="spellEnd"/>
      <w:r w:rsidR="00F073BC">
        <w:t xml:space="preserve"> compared to wood frog</w:t>
      </w:r>
      <w:r w:rsidR="00490986">
        <w:t xml:space="preserve"> larva</w:t>
      </w:r>
      <w:r w:rsidR="00001D3F">
        <w:t>l stages</w:t>
      </w:r>
      <w:r w:rsidR="00F073BC">
        <w:t xml:space="preserve"> </w:t>
      </w:r>
      <w:r w:rsidR="00001D3F">
        <w:t>(e</w:t>
      </w:r>
      <w:r w:rsidR="009A48EF">
        <w:t xml:space="preserve">arly stage larvae, </w:t>
      </w:r>
      <w:r w:rsidR="00F073BC" w:rsidRPr="00F073BC">
        <w:rPr>
          <w:i/>
        </w:rPr>
        <w:t>t</w:t>
      </w:r>
      <w:r w:rsidR="00F073BC">
        <w:t xml:space="preserve">-stat = 8.97, </w:t>
      </w:r>
      <w:proofErr w:type="spellStart"/>
      <w:r w:rsidR="00F073BC" w:rsidRPr="00F073BC">
        <w:rPr>
          <w:i/>
        </w:rPr>
        <w:t>df</w:t>
      </w:r>
      <w:proofErr w:type="spellEnd"/>
      <w:r w:rsidR="00F073BC">
        <w:t xml:space="preserve"> = 11.39, </w:t>
      </w:r>
      <w:r w:rsidR="00F073BC" w:rsidRPr="00F073BC">
        <w:rPr>
          <w:i/>
        </w:rPr>
        <w:t>P</w:t>
      </w:r>
      <w:r w:rsidR="00F073BC">
        <w:t xml:space="preserve"> &lt;0.001</w:t>
      </w:r>
      <w:r w:rsidR="009A48EF">
        <w:t xml:space="preserve">; late stage larvae, </w:t>
      </w:r>
      <w:r w:rsidR="009A48EF" w:rsidRPr="009A48EF">
        <w:rPr>
          <w:i/>
        </w:rPr>
        <w:t>t</w:t>
      </w:r>
      <w:r w:rsidR="009A48EF">
        <w:t xml:space="preserve">-stat = </w:t>
      </w:r>
      <w:r w:rsidR="009A48EF" w:rsidRPr="009A48EF">
        <w:t>4.72</w:t>
      </w:r>
      <w:r w:rsidR="009A48EF">
        <w:t xml:space="preserve">, </w:t>
      </w:r>
      <w:proofErr w:type="spellStart"/>
      <w:r w:rsidR="009A48EF" w:rsidRPr="009A48EF">
        <w:rPr>
          <w:i/>
        </w:rPr>
        <w:t>df</w:t>
      </w:r>
      <w:proofErr w:type="spellEnd"/>
      <w:r w:rsidR="009A48EF">
        <w:t xml:space="preserve"> = </w:t>
      </w:r>
      <w:r w:rsidR="009A48EF" w:rsidRPr="009A48EF">
        <w:t>16.7</w:t>
      </w:r>
      <w:r w:rsidR="009A48EF">
        <w:t xml:space="preserve">3, </w:t>
      </w:r>
      <w:r w:rsidR="009A48EF" w:rsidRPr="00DF5C33">
        <w:rPr>
          <w:i/>
        </w:rPr>
        <w:t>P</w:t>
      </w:r>
      <w:r w:rsidR="009A48EF">
        <w:t xml:space="preserve"> &lt;0.001</w:t>
      </w:r>
      <w:r w:rsidR="00F073BC">
        <w:t>)</w:t>
      </w:r>
      <w:r w:rsidR="009A48EF">
        <w:t xml:space="preserve"> (</w:t>
      </w:r>
      <w:r w:rsidR="005D6704">
        <w:t xml:space="preserve">Table 3; </w:t>
      </w:r>
      <w:r w:rsidR="009A48EF">
        <w:t>Fig. 2)</w:t>
      </w:r>
      <w:r w:rsidR="00F073BC">
        <w:t>.</w:t>
      </w:r>
      <w:r w:rsidR="00694BAF">
        <w:t xml:space="preserve"> </w:t>
      </w:r>
      <w:r w:rsidR="00804250">
        <w:t>W</w:t>
      </w:r>
      <w:r w:rsidR="004D7F73">
        <w:t>ithin species</w:t>
      </w:r>
      <w:r w:rsidR="00001D3F">
        <w:t xml:space="preserve">, </w:t>
      </w:r>
      <w:proofErr w:type="spellStart"/>
      <w:r w:rsidR="00001D3F">
        <w:lastRenderedPageBreak/>
        <w:t>MeHg</w:t>
      </w:r>
      <w:proofErr w:type="spellEnd"/>
      <w:r w:rsidR="00001D3F">
        <w:t xml:space="preserve"> </w:t>
      </w:r>
      <w:r w:rsidR="00F47918">
        <w:t xml:space="preserve">decreased </w:t>
      </w:r>
      <w:r w:rsidR="00804250">
        <w:t xml:space="preserve">from early to late stage larvae </w:t>
      </w:r>
      <w:r w:rsidR="004D7F73">
        <w:t xml:space="preserve">in </w:t>
      </w:r>
      <w:proofErr w:type="gramStart"/>
      <w:r w:rsidR="009A48EF">
        <w:t>salamander</w:t>
      </w:r>
      <w:r w:rsidR="00001D3F">
        <w:t>s</w:t>
      </w:r>
      <w:r w:rsidR="009A48EF">
        <w:t>, but</w:t>
      </w:r>
      <w:proofErr w:type="gramEnd"/>
      <w:r w:rsidR="009A48EF">
        <w:t xml:space="preserve"> increased in wood frogs (</w:t>
      </w:r>
      <w:r w:rsidR="005D6704">
        <w:t xml:space="preserve">Table 3; </w:t>
      </w:r>
      <w:r w:rsidR="009A48EF">
        <w:t>Fig. 2)</w:t>
      </w:r>
      <w:r w:rsidR="0032492B">
        <w:t>.</w:t>
      </w:r>
      <w:r w:rsidR="002666C8" w:rsidRPr="002666C8">
        <w:t xml:space="preserve"> </w:t>
      </w:r>
      <w:r w:rsidR="00F70719">
        <w:t>Although h</w:t>
      </w:r>
      <w:r w:rsidR="00494739">
        <w:t xml:space="preserve">abitat did not explain variation in </w:t>
      </w:r>
      <w:proofErr w:type="spellStart"/>
      <w:r w:rsidR="00494739">
        <w:t>MeHg</w:t>
      </w:r>
      <w:proofErr w:type="spellEnd"/>
      <w:r w:rsidR="00494739">
        <w:t xml:space="preserve"> loads among samples </w:t>
      </w:r>
      <w:r w:rsidR="00D571D1">
        <w:t>of embryos or larvae</w:t>
      </w:r>
      <w:r w:rsidR="00494739">
        <w:t xml:space="preserve">, </w:t>
      </w:r>
      <w:r w:rsidR="00804250">
        <w:t xml:space="preserve">spotted salamander larvae and embryos of both species averaged higher </w:t>
      </w:r>
      <w:proofErr w:type="spellStart"/>
      <w:r w:rsidR="00804250">
        <w:t>MeHg</w:t>
      </w:r>
      <w:proofErr w:type="spellEnd"/>
      <w:r w:rsidR="00804250">
        <w:t xml:space="preserve"> in deciduous pools (Table 3), </w:t>
      </w:r>
      <w:r w:rsidR="00F70719">
        <w:t xml:space="preserve">but </w:t>
      </w:r>
      <w:r w:rsidR="00494739">
        <w:t>our sample sizes were quite small.</w:t>
      </w:r>
    </w:p>
    <w:p w14:paraId="28FA2FAF" w14:textId="77777777" w:rsidR="002666C8" w:rsidRDefault="002666C8" w:rsidP="000D3751">
      <w:pPr>
        <w:spacing w:line="480" w:lineRule="auto"/>
      </w:pPr>
    </w:p>
    <w:p w14:paraId="21040DD7" w14:textId="77777777" w:rsidR="002666C8" w:rsidRDefault="00C33833" w:rsidP="000D3751">
      <w:pPr>
        <w:spacing w:line="480" w:lineRule="auto"/>
      </w:pPr>
      <w:r>
        <w:t xml:space="preserve">Adult spotted salamanders had higher </w:t>
      </w:r>
      <w:proofErr w:type="spellStart"/>
      <w:r>
        <w:t>MeHg</w:t>
      </w:r>
      <w:proofErr w:type="spellEnd"/>
      <w:r>
        <w:t xml:space="preserve"> loads </w:t>
      </w:r>
      <w:r w:rsidR="005D6704">
        <w:t>than</w:t>
      </w:r>
      <w:r>
        <w:t xml:space="preserve"> </w:t>
      </w:r>
      <w:r w:rsidR="00661E67">
        <w:t xml:space="preserve">adult </w:t>
      </w:r>
      <w:r>
        <w:t>wood frogs (</w:t>
      </w:r>
      <w:r w:rsidR="005D6704">
        <w:t xml:space="preserve">Table 3; </w:t>
      </w:r>
      <w:r>
        <w:t xml:space="preserve">Fig. 3). Among </w:t>
      </w:r>
      <w:r w:rsidR="00661E67">
        <w:t xml:space="preserve">adult </w:t>
      </w:r>
      <w:r>
        <w:t xml:space="preserve">spotted salamanders, tissue samples tended to have greater </w:t>
      </w:r>
      <w:proofErr w:type="spellStart"/>
      <w:r>
        <w:t>MeHg</w:t>
      </w:r>
      <w:proofErr w:type="spellEnd"/>
      <w:r>
        <w:t xml:space="preserve"> loads than blood, while wood frogs showed the opposite pattern</w:t>
      </w:r>
      <w:r w:rsidR="005D6704">
        <w:t xml:space="preserve"> (Fig. 3)</w:t>
      </w:r>
      <w:r>
        <w:t>.</w:t>
      </w:r>
      <w:r w:rsidR="001E7F2F" w:rsidRPr="001E7F2F">
        <w:t xml:space="preserve"> </w:t>
      </w:r>
      <w:r w:rsidR="00FF67EE">
        <w:t xml:space="preserve">Again, </w:t>
      </w:r>
      <w:r w:rsidR="00FF67EE" w:rsidRPr="00FF67EE">
        <w:t xml:space="preserve">habitat did not explain variation in </w:t>
      </w:r>
      <w:proofErr w:type="spellStart"/>
      <w:r w:rsidR="00FF67EE" w:rsidRPr="00FF67EE">
        <w:t>MeHg</w:t>
      </w:r>
      <w:proofErr w:type="spellEnd"/>
      <w:r w:rsidR="00FF67EE" w:rsidRPr="00FF67EE">
        <w:t xml:space="preserve"> loads among </w:t>
      </w:r>
      <w:r w:rsidR="00FF67EE">
        <w:t xml:space="preserve">adult </w:t>
      </w:r>
      <w:r w:rsidR="00FF67EE" w:rsidRPr="00FF67EE">
        <w:t>samples</w:t>
      </w:r>
      <w:r w:rsidR="00FF67EE">
        <w:t>.</w:t>
      </w:r>
    </w:p>
    <w:p w14:paraId="3393AC9A" w14:textId="77777777" w:rsidR="00E36C01" w:rsidRDefault="00E36C01">
      <w:r>
        <w:br w:type="page"/>
      </w:r>
    </w:p>
    <w:p w14:paraId="43514BF7" w14:textId="77777777" w:rsidR="00E36C01" w:rsidRDefault="00E36C01" w:rsidP="00E36C01">
      <w:r>
        <w:lastRenderedPageBreak/>
        <w:t>References</w:t>
      </w:r>
    </w:p>
    <w:p w14:paraId="20DC092A" w14:textId="77777777" w:rsidR="00E36C01" w:rsidRDefault="00E36C01" w:rsidP="00E36C01"/>
    <w:p w14:paraId="34586035" w14:textId="77777777" w:rsidR="000E637A" w:rsidRDefault="000E637A" w:rsidP="000E637A">
      <w:pPr>
        <w:ind w:left="720" w:hanging="720"/>
      </w:pPr>
      <w:r>
        <w:t xml:space="preserve">Adams M.J., D.A.W. Miller, E. </w:t>
      </w:r>
      <w:proofErr w:type="spellStart"/>
      <w:r>
        <w:t>Muths</w:t>
      </w:r>
      <w:proofErr w:type="spellEnd"/>
      <w:r>
        <w:t>, P.S. Corn, E.H.C. Grant,</w:t>
      </w:r>
      <w:r w:rsidR="00B9181B">
        <w:t xml:space="preserve"> L.L. Bailey, G.M. Fellers, R.N. Fisher, W.J. </w:t>
      </w:r>
      <w:proofErr w:type="spellStart"/>
      <w:r w:rsidR="00B9181B">
        <w:t>Sadinski</w:t>
      </w:r>
      <w:proofErr w:type="spellEnd"/>
      <w:r w:rsidR="00B9181B">
        <w:t xml:space="preserve">, H. Waddle, and S.C. Walls. </w:t>
      </w:r>
      <w:r>
        <w:t>2013</w:t>
      </w:r>
      <w:r w:rsidR="00B9181B">
        <w:t>.</w:t>
      </w:r>
      <w:r>
        <w:t xml:space="preserve"> Trends in Amphibian Occupancy in the United States. </w:t>
      </w:r>
      <w:proofErr w:type="spellStart"/>
      <w:r>
        <w:t>PLoS</w:t>
      </w:r>
      <w:proofErr w:type="spellEnd"/>
      <w:r>
        <w:t xml:space="preserve"> ONE 8(5): e64347.</w:t>
      </w:r>
      <w:r w:rsidR="00B9181B">
        <w:t xml:space="preserve"> </w:t>
      </w:r>
      <w:proofErr w:type="gramStart"/>
      <w:r w:rsidR="003E502E">
        <w:t>DOI</w:t>
      </w:r>
      <w:r>
        <w:t>:10.1371/journal.pone</w:t>
      </w:r>
      <w:proofErr w:type="gramEnd"/>
      <w:r>
        <w:t>.0064347</w:t>
      </w:r>
    </w:p>
    <w:p w14:paraId="3D6FA3D3" w14:textId="77777777" w:rsidR="00B9181B" w:rsidRDefault="00B9181B" w:rsidP="000E637A">
      <w:pPr>
        <w:ind w:left="720" w:hanging="720"/>
      </w:pPr>
    </w:p>
    <w:p w14:paraId="7EECB5EF" w14:textId="77777777" w:rsidR="0019679D" w:rsidRDefault="0019679D" w:rsidP="000E637A">
      <w:pPr>
        <w:ind w:left="720" w:hanging="720"/>
      </w:pPr>
      <w:r>
        <w:t>Benoit, J.M., C.C.</w:t>
      </w:r>
      <w:r w:rsidRPr="0019679D">
        <w:t xml:space="preserve"> Gilmour, </w:t>
      </w:r>
      <w:r>
        <w:t xml:space="preserve">A. </w:t>
      </w:r>
      <w:proofErr w:type="spellStart"/>
      <w:r w:rsidRPr="0019679D">
        <w:t>Heyes</w:t>
      </w:r>
      <w:proofErr w:type="spellEnd"/>
      <w:r w:rsidRPr="0019679D">
        <w:t>,</w:t>
      </w:r>
      <w:r>
        <w:t xml:space="preserve"> R.P.</w:t>
      </w:r>
      <w:r w:rsidRPr="0019679D">
        <w:t xml:space="preserve"> </w:t>
      </w:r>
      <w:proofErr w:type="spellStart"/>
      <w:proofErr w:type="gramStart"/>
      <w:r w:rsidRPr="0019679D">
        <w:t>Mason,</w:t>
      </w:r>
      <w:r>
        <w:t>and</w:t>
      </w:r>
      <w:proofErr w:type="spellEnd"/>
      <w:proofErr w:type="gramEnd"/>
      <w:r>
        <w:t xml:space="preserve"> C.L.</w:t>
      </w:r>
      <w:r w:rsidRPr="0019679D">
        <w:t xml:space="preserve"> Miller. 2003</w:t>
      </w:r>
      <w:r>
        <w:t xml:space="preserve">. </w:t>
      </w:r>
      <w:r w:rsidRPr="0019679D">
        <w:t xml:space="preserve">Geochemical and biological controls over methylmercury production and degradation in aquatic ecosystems. </w:t>
      </w:r>
      <w:r>
        <w:t xml:space="preserve">In: </w:t>
      </w:r>
      <w:proofErr w:type="spellStart"/>
      <w:r w:rsidR="00B00F24">
        <w:t>Cai</w:t>
      </w:r>
      <w:proofErr w:type="spellEnd"/>
      <w:r w:rsidR="00B00F24">
        <w:t xml:space="preserve"> Y. and O.C. Braids (</w:t>
      </w:r>
      <w:proofErr w:type="spellStart"/>
      <w:r w:rsidR="00B00F24">
        <w:t>eds</w:t>
      </w:r>
      <w:proofErr w:type="spellEnd"/>
      <w:r w:rsidR="00B00F24">
        <w:t>)</w:t>
      </w:r>
      <w:r>
        <w:t xml:space="preserve"> Biogeochemistry of environmentally important trace elements</w:t>
      </w:r>
      <w:r w:rsidR="00B00F24">
        <w:t>.</w:t>
      </w:r>
      <w:r>
        <w:t xml:space="preserve"> </w:t>
      </w:r>
      <w:r w:rsidRPr="0019679D">
        <w:t>A</w:t>
      </w:r>
      <w:r w:rsidR="00B00F24">
        <w:t>CS</w:t>
      </w:r>
      <w:r w:rsidRPr="0019679D">
        <w:t xml:space="preserve"> Sym</w:t>
      </w:r>
      <w:r w:rsidR="00B00F24">
        <w:t>posium</w:t>
      </w:r>
      <w:r w:rsidRPr="0019679D">
        <w:t xml:space="preserve"> Ser</w:t>
      </w:r>
      <w:r w:rsidR="00B00F24">
        <w:t>ies</w:t>
      </w:r>
      <w:r w:rsidRPr="0019679D">
        <w:t xml:space="preserve"> 835</w:t>
      </w:r>
      <w:r w:rsidR="00B00F24">
        <w:t>:</w:t>
      </w:r>
      <w:r w:rsidR="00B00F24" w:rsidRPr="00B00F24">
        <w:t xml:space="preserve"> pp 262–297</w:t>
      </w:r>
      <w:r w:rsidRPr="0019679D">
        <w:t>.</w:t>
      </w:r>
      <w:r w:rsidR="00B00F24">
        <w:t xml:space="preserve"> DOI:</w:t>
      </w:r>
      <w:r w:rsidR="00B00F24" w:rsidRPr="00B00F24">
        <w:t xml:space="preserve"> 10.1021/bk-2003-0835.ch019</w:t>
      </w:r>
      <w:r w:rsidR="00B00F24">
        <w:t>.</w:t>
      </w:r>
    </w:p>
    <w:p w14:paraId="5A0C7B52" w14:textId="77777777" w:rsidR="00B00F24" w:rsidRDefault="00B00F24" w:rsidP="000E637A">
      <w:pPr>
        <w:ind w:left="720" w:hanging="720"/>
      </w:pPr>
    </w:p>
    <w:p w14:paraId="2BE3EF67" w14:textId="77777777" w:rsidR="00090158" w:rsidRDefault="00090158" w:rsidP="000E637A">
      <w:pPr>
        <w:ind w:left="720" w:hanging="720"/>
      </w:pPr>
      <w:r>
        <w:t xml:space="preserve">Benoit, J.M., D.A. Cato, K.C. Denison, and A.E. Moreira. 2013. Seasonal mercury dynamics in a New England vernal pool. Wetlands </w:t>
      </w:r>
      <w:r w:rsidRPr="00090158">
        <w:t>33:887–894</w:t>
      </w:r>
      <w:r>
        <w:t>.</w:t>
      </w:r>
    </w:p>
    <w:p w14:paraId="62640A7F" w14:textId="77777777" w:rsidR="00090158" w:rsidRDefault="00090158" w:rsidP="000E637A">
      <w:pPr>
        <w:ind w:left="720" w:hanging="720"/>
      </w:pPr>
    </w:p>
    <w:p w14:paraId="32F3A04D" w14:textId="77777777" w:rsidR="00777385" w:rsidRDefault="00777385" w:rsidP="000E637A">
      <w:pPr>
        <w:ind w:left="720" w:hanging="720"/>
      </w:pPr>
      <w:r w:rsidRPr="00777385">
        <w:t>Bergeron, C.M.</w:t>
      </w:r>
      <w:r>
        <w:t>,</w:t>
      </w:r>
      <w:r w:rsidRPr="00777385">
        <w:t xml:space="preserve"> C.M. </w:t>
      </w:r>
      <w:proofErr w:type="spellStart"/>
      <w:r w:rsidRPr="00777385">
        <w:t>Bodinof</w:t>
      </w:r>
      <w:proofErr w:type="spellEnd"/>
      <w:r w:rsidRPr="00777385">
        <w:t xml:space="preserve">, </w:t>
      </w:r>
      <w:r w:rsidR="00A678D0">
        <w:t xml:space="preserve">J.M. </w:t>
      </w:r>
      <w:proofErr w:type="spellStart"/>
      <w:r w:rsidRPr="00777385">
        <w:t>Unrine</w:t>
      </w:r>
      <w:proofErr w:type="spellEnd"/>
      <w:r w:rsidRPr="00777385">
        <w:t>,</w:t>
      </w:r>
      <w:r w:rsidR="00A678D0">
        <w:t xml:space="preserve"> and W.A.</w:t>
      </w:r>
      <w:r w:rsidRPr="00777385">
        <w:t xml:space="preserve"> Hopkins</w:t>
      </w:r>
      <w:r w:rsidR="00A678D0">
        <w:t>. 2010.</w:t>
      </w:r>
      <w:r w:rsidRPr="00777385">
        <w:t xml:space="preserve"> Mercury </w:t>
      </w:r>
      <w:r w:rsidR="00A678D0">
        <w:t>a</w:t>
      </w:r>
      <w:r w:rsidRPr="00777385">
        <w:t xml:space="preserve">ccumulation </w:t>
      </w:r>
      <w:r w:rsidR="00A678D0">
        <w:t>a</w:t>
      </w:r>
      <w:r w:rsidRPr="00777385">
        <w:t xml:space="preserve">long a </w:t>
      </w:r>
      <w:r w:rsidR="00A678D0">
        <w:t>c</w:t>
      </w:r>
      <w:r w:rsidRPr="00777385">
        <w:t xml:space="preserve">ontamination </w:t>
      </w:r>
      <w:r w:rsidR="00A678D0">
        <w:t>g</w:t>
      </w:r>
      <w:r w:rsidRPr="00777385">
        <w:t xml:space="preserve">radient and </w:t>
      </w:r>
      <w:r w:rsidR="00A678D0">
        <w:t>n</w:t>
      </w:r>
      <w:r w:rsidRPr="00777385">
        <w:t xml:space="preserve">ondestructive </w:t>
      </w:r>
      <w:r w:rsidR="00A678D0">
        <w:t>i</w:t>
      </w:r>
      <w:r w:rsidRPr="00777385">
        <w:t xml:space="preserve">ndices of </w:t>
      </w:r>
      <w:r w:rsidR="00A678D0">
        <w:t>b</w:t>
      </w:r>
      <w:r w:rsidRPr="00777385">
        <w:t xml:space="preserve">ioaccumulation in </w:t>
      </w:r>
      <w:r w:rsidR="00A678D0">
        <w:t>a</w:t>
      </w:r>
      <w:r w:rsidRPr="00777385">
        <w:t>mphibians. Environ</w:t>
      </w:r>
      <w:r w:rsidR="00A678D0">
        <w:t>mental</w:t>
      </w:r>
      <w:r w:rsidRPr="00777385">
        <w:t xml:space="preserve"> Toxicol</w:t>
      </w:r>
      <w:r w:rsidR="00A678D0">
        <w:t>ogy and</w:t>
      </w:r>
      <w:r w:rsidRPr="00777385">
        <w:t xml:space="preserve"> Chem</w:t>
      </w:r>
      <w:r w:rsidR="00A678D0">
        <w:t>istry 29:</w:t>
      </w:r>
      <w:r w:rsidRPr="00777385">
        <w:t>980</w:t>
      </w:r>
      <w:r w:rsidR="003E502E" w:rsidRPr="003E502E">
        <w:t>–</w:t>
      </w:r>
      <w:r w:rsidR="00A678D0">
        <w:t>988</w:t>
      </w:r>
      <w:r w:rsidRPr="00777385">
        <w:t>.</w:t>
      </w:r>
    </w:p>
    <w:p w14:paraId="47596E9B" w14:textId="77777777" w:rsidR="00777385" w:rsidRDefault="00777385" w:rsidP="000E637A">
      <w:pPr>
        <w:ind w:left="720" w:hanging="720"/>
      </w:pPr>
    </w:p>
    <w:p w14:paraId="4CF518D5" w14:textId="77777777" w:rsidR="00825591" w:rsidRDefault="00825591" w:rsidP="000E637A">
      <w:pPr>
        <w:ind w:left="720" w:hanging="720"/>
      </w:pPr>
      <w:proofErr w:type="spellStart"/>
      <w:r>
        <w:t>Berven</w:t>
      </w:r>
      <w:proofErr w:type="spellEnd"/>
      <w:r>
        <w:t xml:space="preserve">, K.A. 2009. Density dependence in the terrestrial stage of Wood Frogs: Evidence from a 21-year population study. </w:t>
      </w:r>
      <w:proofErr w:type="spellStart"/>
      <w:r>
        <w:t>Copeia</w:t>
      </w:r>
      <w:proofErr w:type="spellEnd"/>
      <w:r>
        <w:t xml:space="preserve"> 2:328</w:t>
      </w:r>
      <w:r w:rsidR="003E502E" w:rsidRPr="003E502E">
        <w:t>–</w:t>
      </w:r>
      <w:r>
        <w:t>338.</w:t>
      </w:r>
    </w:p>
    <w:p w14:paraId="71C68C20" w14:textId="77777777" w:rsidR="00825591" w:rsidRDefault="00825591" w:rsidP="000E637A">
      <w:pPr>
        <w:ind w:left="720" w:hanging="720"/>
      </w:pPr>
    </w:p>
    <w:p w14:paraId="68FAA547" w14:textId="77777777" w:rsidR="00980334" w:rsidRDefault="00980334" w:rsidP="00980334">
      <w:pPr>
        <w:ind w:left="720" w:hanging="720"/>
      </w:pPr>
      <w:r>
        <w:t xml:space="preserve">Brooks R.T., S.L. Eggert, K.H. </w:t>
      </w:r>
      <w:proofErr w:type="spellStart"/>
      <w:r>
        <w:t>Nislow</w:t>
      </w:r>
      <w:proofErr w:type="spellEnd"/>
      <w:r>
        <w:t xml:space="preserve">, R.K. </w:t>
      </w:r>
      <w:proofErr w:type="spellStart"/>
      <w:r>
        <w:t>Kolka</w:t>
      </w:r>
      <w:proofErr w:type="spellEnd"/>
      <w:r>
        <w:t>, C.Y. Chen, D.M. Ward. 2012. Preliminary assessment of mercury accumulation in Massachusetts</w:t>
      </w:r>
      <w:r w:rsidR="00090158">
        <w:t xml:space="preserve"> </w:t>
      </w:r>
      <w:r>
        <w:t>and Minnesota seasonal forest pools.</w:t>
      </w:r>
      <w:r w:rsidR="00090158">
        <w:t xml:space="preserve"> </w:t>
      </w:r>
      <w:r>
        <w:t>Wetlands 32:653–663</w:t>
      </w:r>
      <w:r w:rsidR="00090158">
        <w:t>.</w:t>
      </w:r>
    </w:p>
    <w:p w14:paraId="72A38628" w14:textId="77777777" w:rsidR="00090158" w:rsidRDefault="00090158" w:rsidP="00980334">
      <w:pPr>
        <w:ind w:left="720" w:hanging="720"/>
      </w:pPr>
    </w:p>
    <w:p w14:paraId="065EA5EB" w14:textId="77777777" w:rsidR="00E249F1" w:rsidRDefault="00E249F1" w:rsidP="00E36C01">
      <w:pPr>
        <w:ind w:left="720" w:hanging="720"/>
      </w:pPr>
      <w:r w:rsidRPr="00E249F1">
        <w:t xml:space="preserve">Calhoun, A.J.K. and P.G. </w:t>
      </w:r>
      <w:proofErr w:type="spellStart"/>
      <w:r w:rsidRPr="00E249F1">
        <w:t>deMaynadier</w:t>
      </w:r>
      <w:proofErr w:type="spellEnd"/>
      <w:r w:rsidRPr="00E249F1">
        <w:t>. 200</w:t>
      </w:r>
      <w:r w:rsidR="00F549F0">
        <w:t>9</w:t>
      </w:r>
      <w:r w:rsidRPr="00E249F1">
        <w:t xml:space="preserve">. Science and </w:t>
      </w:r>
      <w:r w:rsidR="00F549F0">
        <w:t>c</w:t>
      </w:r>
      <w:r w:rsidRPr="00E249F1">
        <w:t xml:space="preserve">onservation of </w:t>
      </w:r>
      <w:r w:rsidR="00F549F0">
        <w:t>v</w:t>
      </w:r>
      <w:r w:rsidRPr="00E249F1">
        <w:t xml:space="preserve">ernal </w:t>
      </w:r>
      <w:r w:rsidR="00F549F0">
        <w:t>p</w:t>
      </w:r>
      <w:r w:rsidRPr="00E249F1">
        <w:t>ools in Northeastern North America. CRC Press, Boca Raton, FL. 363pp.</w:t>
      </w:r>
    </w:p>
    <w:p w14:paraId="780FE5BC" w14:textId="77777777" w:rsidR="00E249F1" w:rsidRDefault="00E249F1" w:rsidP="00E36C01">
      <w:pPr>
        <w:ind w:left="720" w:hanging="720"/>
      </w:pPr>
    </w:p>
    <w:p w14:paraId="14ED5470" w14:textId="77777777" w:rsidR="006A7C79" w:rsidRDefault="006A7C79" w:rsidP="006A7C79">
      <w:pPr>
        <w:ind w:left="720" w:hanging="720"/>
      </w:pPr>
      <w:r>
        <w:t xml:space="preserve">Chen C.Y., R.S. </w:t>
      </w:r>
      <w:proofErr w:type="spellStart"/>
      <w:r>
        <w:t>Stemberger</w:t>
      </w:r>
      <w:proofErr w:type="spellEnd"/>
      <w:r>
        <w:t xml:space="preserve">, N.C. </w:t>
      </w:r>
      <w:proofErr w:type="spellStart"/>
      <w:r>
        <w:t>Kamman</w:t>
      </w:r>
      <w:proofErr w:type="spellEnd"/>
      <w:r>
        <w:t xml:space="preserve">, B.M. Mayes, and C.L. </w:t>
      </w:r>
      <w:proofErr w:type="spellStart"/>
      <w:r>
        <w:t>Folt</w:t>
      </w:r>
      <w:proofErr w:type="spellEnd"/>
      <w:r>
        <w:t xml:space="preserve">. 2005. Patterns of Hg bioaccumulation and transfer in aquatic food webs across </w:t>
      </w:r>
      <w:proofErr w:type="spellStart"/>
      <w:r>
        <w:t>multilake</w:t>
      </w:r>
      <w:proofErr w:type="spellEnd"/>
      <w:r>
        <w:t xml:space="preserve"> studies in the northeast US. Ecotoxicology 14: 135–147.</w:t>
      </w:r>
    </w:p>
    <w:p w14:paraId="6FCCF8F8" w14:textId="77777777" w:rsidR="006A7C79" w:rsidRDefault="006A7C79" w:rsidP="006A7C79">
      <w:pPr>
        <w:ind w:left="720" w:hanging="720"/>
      </w:pPr>
    </w:p>
    <w:p w14:paraId="25782959" w14:textId="77777777" w:rsidR="00E36C01" w:rsidRDefault="00E36C01" w:rsidP="00E36C01">
      <w:pPr>
        <w:ind w:left="720" w:hanging="720"/>
      </w:pPr>
      <w:r>
        <w:t>Colburn, E.A. 2004. Vernal pools: Natural history and conservation. McDonal</w:t>
      </w:r>
      <w:r w:rsidR="00BE5EBB">
        <w:t>d</w:t>
      </w:r>
      <w:r>
        <w:t>s and Woodward Publishing Co., Blacksburg, VA.</w:t>
      </w:r>
    </w:p>
    <w:p w14:paraId="0DD6FA80" w14:textId="77777777" w:rsidR="005077DE" w:rsidRDefault="005077DE" w:rsidP="00E36C01">
      <w:pPr>
        <w:ind w:left="720" w:hanging="720"/>
      </w:pPr>
    </w:p>
    <w:p w14:paraId="0B54B8B3" w14:textId="77777777" w:rsidR="005077DE" w:rsidRDefault="005077DE" w:rsidP="00E36C01">
      <w:pPr>
        <w:ind w:left="720" w:hanging="720"/>
      </w:pPr>
      <w:r>
        <w:t xml:space="preserve">Colburn, E.A., S.C. Weeks, S.K. Reed. 2009. Diversity and ecology of vernal pool invertebrates. In: Calhoun, A.J.K. and P.G. </w:t>
      </w:r>
      <w:proofErr w:type="spellStart"/>
      <w:r>
        <w:t>deMaynadier</w:t>
      </w:r>
      <w:proofErr w:type="spellEnd"/>
      <w:r>
        <w:t xml:space="preserve"> (</w:t>
      </w:r>
      <w:proofErr w:type="spellStart"/>
      <w:r>
        <w:t>eds</w:t>
      </w:r>
      <w:proofErr w:type="spellEnd"/>
      <w:r>
        <w:t xml:space="preserve">) Science and conservation of vernal pools in northeastern North America. </w:t>
      </w:r>
      <w:r w:rsidRPr="00E249F1">
        <w:t>CRC Press, Boca Raton, FL</w:t>
      </w:r>
      <w:r>
        <w:t>, pp 105</w:t>
      </w:r>
      <w:r w:rsidR="003E502E" w:rsidRPr="003E502E">
        <w:t>–</w:t>
      </w:r>
      <w:r>
        <w:t>126</w:t>
      </w:r>
      <w:r w:rsidRPr="00E249F1">
        <w:t>.</w:t>
      </w:r>
    </w:p>
    <w:p w14:paraId="4C3E6758" w14:textId="77777777" w:rsidR="00BE5EBB" w:rsidRDefault="00BE5EBB" w:rsidP="00E36C01">
      <w:pPr>
        <w:ind w:left="720" w:hanging="720"/>
      </w:pPr>
    </w:p>
    <w:p w14:paraId="110F7D47" w14:textId="77777777" w:rsidR="00090158" w:rsidRDefault="00090158" w:rsidP="00090158">
      <w:pPr>
        <w:ind w:left="720" w:hanging="720"/>
      </w:pPr>
      <w:r>
        <w:t xml:space="preserve">Cook R.P. 1983. Effects of acid precipitation on embryonic mortality of </w:t>
      </w:r>
      <w:proofErr w:type="spellStart"/>
      <w:r w:rsidRPr="00090158">
        <w:rPr>
          <w:i/>
        </w:rPr>
        <w:t>Ambystoma</w:t>
      </w:r>
      <w:proofErr w:type="spellEnd"/>
      <w:r>
        <w:t xml:space="preserve"> salamanders in the Connecticut Valley of Massachusetts. Biological Conservation 27:77–88.</w:t>
      </w:r>
    </w:p>
    <w:p w14:paraId="1A45CC43" w14:textId="77777777" w:rsidR="003E502E" w:rsidRDefault="003E502E" w:rsidP="003E502E">
      <w:pPr>
        <w:ind w:left="720" w:hanging="720"/>
      </w:pPr>
      <w:r>
        <w:t>Davis, E. 2013. Seasonal changes in mercury stocks and methylation ratios in vernal pools in the northeastern united states. M.S. Thesis, University of Vermont, Burlington, VT, 56pp.</w:t>
      </w:r>
    </w:p>
    <w:p w14:paraId="02B9D40D" w14:textId="77777777" w:rsidR="00090158" w:rsidRDefault="00090158" w:rsidP="00090158">
      <w:pPr>
        <w:ind w:left="720" w:hanging="720"/>
      </w:pPr>
    </w:p>
    <w:p w14:paraId="2E08A28F" w14:textId="77777777" w:rsidR="001E4649" w:rsidRDefault="001E4649" w:rsidP="001E4649">
      <w:pPr>
        <w:ind w:left="720" w:hanging="720"/>
      </w:pPr>
      <w:r>
        <w:lastRenderedPageBreak/>
        <w:t xml:space="preserve">Driscoll, C.T., H. Young-Ji, C.Y. Chen, D.C. Evers, K.F. Lambert, T.M. </w:t>
      </w:r>
      <w:proofErr w:type="spellStart"/>
      <w:r>
        <w:t>Holsen</w:t>
      </w:r>
      <w:proofErr w:type="spellEnd"/>
      <w:r>
        <w:t xml:space="preserve">, N.C. </w:t>
      </w:r>
      <w:proofErr w:type="spellStart"/>
      <w:r>
        <w:t>Kamman</w:t>
      </w:r>
      <w:proofErr w:type="spellEnd"/>
      <w:r>
        <w:t>, and R.K. Munson. 2007. Mercury contamination in forest and freshwater ecosystems in the northeastern United States. Bioscience 57:17–28.</w:t>
      </w:r>
    </w:p>
    <w:p w14:paraId="1C510565" w14:textId="77777777" w:rsidR="001E4649" w:rsidRDefault="001E4649" w:rsidP="001E4649">
      <w:pPr>
        <w:ind w:left="720" w:hanging="720"/>
      </w:pPr>
    </w:p>
    <w:p w14:paraId="6B48BC12" w14:textId="77777777" w:rsidR="00FD4160" w:rsidRDefault="00FD4160" w:rsidP="00FD4160">
      <w:pPr>
        <w:ind w:left="720" w:hanging="720"/>
      </w:pPr>
      <w:r>
        <w:t xml:space="preserve">Evers D.C., Y-J Han, C.T. Driscoll, N.C. </w:t>
      </w:r>
      <w:proofErr w:type="spellStart"/>
      <w:r>
        <w:t>Kamman</w:t>
      </w:r>
      <w:proofErr w:type="spellEnd"/>
      <w:r>
        <w:t xml:space="preserve">, M.W. </w:t>
      </w:r>
      <w:proofErr w:type="spellStart"/>
      <w:r>
        <w:t>Goodale</w:t>
      </w:r>
      <w:proofErr w:type="spellEnd"/>
      <w:r>
        <w:t xml:space="preserve">, K.F. Lambert, T.M. </w:t>
      </w:r>
      <w:proofErr w:type="spellStart"/>
      <w:r>
        <w:t>Holsen</w:t>
      </w:r>
      <w:proofErr w:type="spellEnd"/>
      <w:r>
        <w:t xml:space="preserve">, C.Y. Chen, T.A. Clair, and T. Butler. 2007. Biological mercury hotspots in the northeastern United States and southeastern Canada. </w:t>
      </w:r>
      <w:proofErr w:type="spellStart"/>
      <w:r>
        <w:t>BioScience</w:t>
      </w:r>
      <w:proofErr w:type="spellEnd"/>
      <w:r>
        <w:t xml:space="preserve"> 57:29–43.</w:t>
      </w:r>
    </w:p>
    <w:p w14:paraId="6063EA36" w14:textId="77777777" w:rsidR="00FD4160" w:rsidRDefault="00FD4160" w:rsidP="00FD4160">
      <w:pPr>
        <w:ind w:left="720" w:hanging="720"/>
      </w:pPr>
    </w:p>
    <w:p w14:paraId="741CF434" w14:textId="77777777" w:rsidR="00814E3D" w:rsidRDefault="00814E3D" w:rsidP="00FD4160">
      <w:pPr>
        <w:ind w:left="720" w:hanging="720"/>
      </w:pPr>
      <w:proofErr w:type="spellStart"/>
      <w:r w:rsidRPr="00814E3D">
        <w:t>Faccio</w:t>
      </w:r>
      <w:proofErr w:type="spellEnd"/>
      <w:r w:rsidRPr="00814E3D">
        <w:t xml:space="preserve">, S. D.; </w:t>
      </w:r>
      <w:r>
        <w:t xml:space="preserve">M. </w:t>
      </w:r>
      <w:r w:rsidRPr="00814E3D">
        <w:t xml:space="preserve">Lew-Smith, </w:t>
      </w:r>
      <w:r>
        <w:t xml:space="preserve">and A. </w:t>
      </w:r>
      <w:proofErr w:type="spellStart"/>
      <w:r>
        <w:t>Worthley</w:t>
      </w:r>
      <w:proofErr w:type="spellEnd"/>
      <w:r w:rsidRPr="00814E3D">
        <w:t>. Vermont Vernal Pool Mapping Project 2009–2012. Final Report to the Natural Heritage Information Project of the Vermont Department of Fish and Wildlife. 40pp.</w:t>
      </w:r>
      <w:r>
        <w:t xml:space="preserve"> </w:t>
      </w:r>
      <w:r w:rsidRPr="00814E3D">
        <w:t>http://vtecostudies.org/wp-content/uploads/2014/08/vce-vernal-pool-mapping-final-report.pdf</w:t>
      </w:r>
    </w:p>
    <w:p w14:paraId="15D15FE3" w14:textId="77777777" w:rsidR="00814E3D" w:rsidRDefault="00814E3D" w:rsidP="00FD4160">
      <w:pPr>
        <w:ind w:left="720" w:hanging="720"/>
      </w:pPr>
    </w:p>
    <w:p w14:paraId="1C5837A5" w14:textId="77777777" w:rsidR="00BE5EBB" w:rsidRDefault="00BE5EBB" w:rsidP="004B4398">
      <w:pPr>
        <w:ind w:left="720" w:hanging="720"/>
      </w:pPr>
      <w:proofErr w:type="spellStart"/>
      <w:r w:rsidRPr="00BE5EBB">
        <w:t>Faccio</w:t>
      </w:r>
      <w:proofErr w:type="spellEnd"/>
      <w:r w:rsidRPr="00BE5EBB">
        <w:t xml:space="preserve">, S.D., S.W. </w:t>
      </w:r>
      <w:proofErr w:type="spellStart"/>
      <w:r w:rsidRPr="00BE5EBB">
        <w:t>MacFaden</w:t>
      </w:r>
      <w:proofErr w:type="spellEnd"/>
      <w:r w:rsidRPr="00BE5EBB">
        <w:t xml:space="preserve">, J.D. Lambert, J. O’Neil-Dunne, and K.P. McFarland. 2016. The North Atlantic Vernal Pool Data Cooperative: 2016 revision. </w:t>
      </w:r>
      <w:r>
        <w:t>Unpublished</w:t>
      </w:r>
      <w:r w:rsidRPr="00BE5EBB">
        <w:t xml:space="preserve"> report submitted to the North Atlantic Landscape Conservation Cooperative.</w:t>
      </w:r>
      <w:r>
        <w:t xml:space="preserve"> 86p</w:t>
      </w:r>
      <w:r w:rsidR="003E502E">
        <w:t>p</w:t>
      </w:r>
      <w:r>
        <w:t xml:space="preserve">. </w:t>
      </w:r>
      <w:r w:rsidRPr="00BE5EBB">
        <w:t>http://vtecostudies.org/wp-content/uploads/2016/07/NALCC_VPDC_Final-Report.V2.July2016_HiRez.pdf</w:t>
      </w:r>
    </w:p>
    <w:p w14:paraId="7F5B86E9" w14:textId="77777777" w:rsidR="00BE5EBB" w:rsidRDefault="00BE5EBB" w:rsidP="00E36C01">
      <w:pPr>
        <w:ind w:left="720" w:hanging="720"/>
      </w:pPr>
    </w:p>
    <w:p w14:paraId="75538DE8" w14:textId="77777777" w:rsidR="00362B4B" w:rsidRDefault="00362B4B" w:rsidP="00E36C01">
      <w:pPr>
        <w:ind w:left="720" w:hanging="720"/>
      </w:pPr>
      <w:proofErr w:type="spellStart"/>
      <w:r w:rsidRPr="00362B4B">
        <w:t>Forzan</w:t>
      </w:r>
      <w:proofErr w:type="spellEnd"/>
      <w:r w:rsidRPr="00362B4B">
        <w:t>, M.J.</w:t>
      </w:r>
      <w:r>
        <w:t>,</w:t>
      </w:r>
      <w:r w:rsidRPr="00362B4B">
        <w:t xml:space="preserve"> R.V. </w:t>
      </w:r>
      <w:proofErr w:type="spellStart"/>
      <w:r w:rsidRPr="00362B4B">
        <w:t>Vanderstichel</w:t>
      </w:r>
      <w:proofErr w:type="spellEnd"/>
      <w:r w:rsidRPr="00362B4B">
        <w:t xml:space="preserve">, </w:t>
      </w:r>
      <w:r>
        <w:t xml:space="preserve">C.T. </w:t>
      </w:r>
      <w:proofErr w:type="spellStart"/>
      <w:r w:rsidRPr="00362B4B">
        <w:t>Ogbuah</w:t>
      </w:r>
      <w:proofErr w:type="spellEnd"/>
      <w:r w:rsidRPr="00362B4B">
        <w:t>,</w:t>
      </w:r>
      <w:r>
        <w:t xml:space="preserve"> J.R.</w:t>
      </w:r>
      <w:r w:rsidRPr="00362B4B">
        <w:t xml:space="preserve"> </w:t>
      </w:r>
      <w:proofErr w:type="spellStart"/>
      <w:r w:rsidRPr="00362B4B">
        <w:t>Barta</w:t>
      </w:r>
      <w:proofErr w:type="spellEnd"/>
      <w:r w:rsidRPr="00362B4B">
        <w:t>,</w:t>
      </w:r>
      <w:r>
        <w:t xml:space="preserve"> and T.G.</w:t>
      </w:r>
      <w:r w:rsidRPr="00362B4B">
        <w:t xml:space="preserve"> Smith.</w:t>
      </w:r>
      <w:r>
        <w:t xml:space="preserve"> 2012.</w:t>
      </w:r>
      <w:r w:rsidRPr="00362B4B">
        <w:t xml:space="preserve"> Blood collection from the facial</w:t>
      </w:r>
      <w:r>
        <w:t xml:space="preserve"> </w:t>
      </w:r>
      <w:r w:rsidRPr="00362B4B">
        <w:t>(maxillary)/</w:t>
      </w:r>
      <w:proofErr w:type="spellStart"/>
      <w:r w:rsidRPr="00362B4B">
        <w:t>musculo</w:t>
      </w:r>
      <w:proofErr w:type="spellEnd"/>
      <w:r w:rsidRPr="00362B4B">
        <w:t xml:space="preserve">-cutaneous vein in true frogs (Family </w:t>
      </w:r>
      <w:proofErr w:type="spellStart"/>
      <w:r w:rsidRPr="00362B4B">
        <w:rPr>
          <w:i/>
        </w:rPr>
        <w:t>Ranidae</w:t>
      </w:r>
      <w:proofErr w:type="spellEnd"/>
      <w:r w:rsidRPr="00362B4B">
        <w:t>). Journal of Wildlife Diseases 48</w:t>
      </w:r>
      <w:r>
        <w:t>:</w:t>
      </w:r>
      <w:r w:rsidRPr="00362B4B">
        <w:t>176–</w:t>
      </w:r>
      <w:r>
        <w:t>180</w:t>
      </w:r>
      <w:r w:rsidRPr="00362B4B">
        <w:t>.</w:t>
      </w:r>
    </w:p>
    <w:p w14:paraId="2177E176" w14:textId="77777777" w:rsidR="00362B4B" w:rsidRDefault="00362B4B" w:rsidP="00E36C01">
      <w:pPr>
        <w:ind w:left="720" w:hanging="720"/>
      </w:pPr>
    </w:p>
    <w:p w14:paraId="0F11402A" w14:textId="77777777" w:rsidR="001F7541" w:rsidRDefault="001F7541" w:rsidP="001F7541">
      <w:pPr>
        <w:ind w:left="720" w:hanging="720"/>
      </w:pPr>
      <w:r>
        <w:t>Galloway M</w:t>
      </w:r>
      <w:r w:rsidR="006A7C79">
        <w:t>.</w:t>
      </w:r>
      <w:r>
        <w:t>E</w:t>
      </w:r>
      <w:r w:rsidR="006A7C79">
        <w:t xml:space="preserve">. </w:t>
      </w:r>
      <w:proofErr w:type="gramStart"/>
      <w:r w:rsidR="006A7C79">
        <w:t>and</w:t>
      </w:r>
      <w:r>
        <w:t xml:space="preserve"> </w:t>
      </w:r>
      <w:r w:rsidR="006A7C79">
        <w:t>.B</w:t>
      </w:r>
      <w:proofErr w:type="gramEnd"/>
      <w:r w:rsidR="006A7C79">
        <w:t xml:space="preserve">.A </w:t>
      </w:r>
      <w:proofErr w:type="spellStart"/>
      <w:r>
        <w:t>Branfireun</w:t>
      </w:r>
      <w:proofErr w:type="spellEnd"/>
      <w:r>
        <w:t>. 2004. Mercury dynamics of a temperate</w:t>
      </w:r>
      <w:r w:rsidR="006A7C79">
        <w:t xml:space="preserve"> </w:t>
      </w:r>
      <w:r>
        <w:t>forested wetland. Science of the Total Environment 325:239–254.</w:t>
      </w:r>
    </w:p>
    <w:p w14:paraId="23D74BFF" w14:textId="77777777" w:rsidR="001F7541" w:rsidRDefault="001F7541" w:rsidP="001F7541">
      <w:pPr>
        <w:ind w:left="720" w:hanging="720"/>
      </w:pPr>
    </w:p>
    <w:p w14:paraId="158B4D15" w14:textId="77777777" w:rsidR="004615AE" w:rsidRDefault="00C810EE" w:rsidP="001F7541">
      <w:pPr>
        <w:ind w:left="720" w:hanging="720"/>
      </w:pPr>
      <w:proofErr w:type="spellStart"/>
      <w:r>
        <w:t>Gosner</w:t>
      </w:r>
      <w:proofErr w:type="spellEnd"/>
      <w:r>
        <w:t xml:space="preserve">, K.L. 1960. A simplified table for staging anuran embryos and larvae with notes on identification. </w:t>
      </w:r>
      <w:proofErr w:type="spellStart"/>
      <w:r>
        <w:t>Herpetologica</w:t>
      </w:r>
      <w:proofErr w:type="spellEnd"/>
      <w:r>
        <w:t xml:space="preserve"> 16:183-190.</w:t>
      </w:r>
    </w:p>
    <w:p w14:paraId="1C18D122" w14:textId="77777777" w:rsidR="00C810EE" w:rsidRDefault="00C810EE" w:rsidP="001F7541">
      <w:pPr>
        <w:ind w:left="720" w:hanging="720"/>
      </w:pPr>
    </w:p>
    <w:p w14:paraId="7F1BC928" w14:textId="77777777" w:rsidR="001F7541" w:rsidRDefault="001F7541" w:rsidP="001F7541">
      <w:pPr>
        <w:ind w:left="720" w:hanging="720"/>
      </w:pPr>
      <w:proofErr w:type="spellStart"/>
      <w:r>
        <w:t>Grigal</w:t>
      </w:r>
      <w:proofErr w:type="spellEnd"/>
      <w:r>
        <w:t xml:space="preserve"> D.F. 2002. Inputs and outputs of mercury from terrestrial watersheds: A review. Environmental Review 10: 1–39.</w:t>
      </w:r>
    </w:p>
    <w:p w14:paraId="6801127E" w14:textId="77777777" w:rsidR="006A7C79" w:rsidRDefault="006A7C79" w:rsidP="001F7541">
      <w:pPr>
        <w:ind w:left="720" w:hanging="720"/>
      </w:pPr>
    </w:p>
    <w:p w14:paraId="0C2F5B7F" w14:textId="77777777" w:rsidR="001F119D" w:rsidRDefault="001F119D" w:rsidP="00E36C01">
      <w:pPr>
        <w:ind w:left="720" w:hanging="720"/>
      </w:pPr>
      <w:proofErr w:type="spellStart"/>
      <w:r w:rsidRPr="001F119D">
        <w:t>Krabbenhoft</w:t>
      </w:r>
      <w:proofErr w:type="spellEnd"/>
      <w:r w:rsidRPr="001F119D">
        <w:t>, D.P.</w:t>
      </w:r>
      <w:r>
        <w:t>,</w:t>
      </w:r>
      <w:r w:rsidRPr="001F119D">
        <w:t xml:space="preserve"> </w:t>
      </w:r>
      <w:r>
        <w:t>J.</w:t>
      </w:r>
      <w:r w:rsidRPr="001F119D">
        <w:t>G.</w:t>
      </w:r>
      <w:r>
        <w:t xml:space="preserve"> </w:t>
      </w:r>
      <w:r w:rsidRPr="001F119D">
        <w:t xml:space="preserve">Wiener, </w:t>
      </w:r>
      <w:r>
        <w:t xml:space="preserve">W.G. </w:t>
      </w:r>
      <w:proofErr w:type="spellStart"/>
      <w:r w:rsidRPr="001F119D">
        <w:t>Brumbaugh</w:t>
      </w:r>
      <w:proofErr w:type="spellEnd"/>
      <w:r w:rsidRPr="001F119D">
        <w:t xml:space="preserve">, </w:t>
      </w:r>
      <w:r>
        <w:t xml:space="preserve">M.L. Olsen, J.F. </w:t>
      </w:r>
      <w:proofErr w:type="spellStart"/>
      <w:r>
        <w:t>DeWild</w:t>
      </w:r>
      <w:proofErr w:type="spellEnd"/>
      <w:r>
        <w:t>, and T.J. Sabin. 1999</w:t>
      </w:r>
      <w:r w:rsidRPr="001F119D">
        <w:t>. A National Pilot Study of Mercury Contamination of Aquatic Ecosystems along Multiple Gradients</w:t>
      </w:r>
      <w:r>
        <w:t>.</w:t>
      </w:r>
      <w:r w:rsidRPr="001F119D">
        <w:t xml:space="preserve"> U.S. Geological Survey Toxic Substances Hydrology Program</w:t>
      </w:r>
      <w:r>
        <w:t xml:space="preserve">, </w:t>
      </w:r>
      <w:r w:rsidRPr="001F119D">
        <w:t>Proceedings of the Technical Meeting, Charleston, South Carolina, March 8-12, 1999, 147</w:t>
      </w:r>
      <w:r w:rsidR="003E502E" w:rsidRPr="001F119D">
        <w:t>p</w:t>
      </w:r>
      <w:r w:rsidR="003E502E">
        <w:t>p</w:t>
      </w:r>
      <w:r w:rsidRPr="001F119D">
        <w:t>.</w:t>
      </w:r>
    </w:p>
    <w:p w14:paraId="0FD5C3F2" w14:textId="77777777" w:rsidR="001F119D" w:rsidRDefault="001F119D" w:rsidP="00E36C01">
      <w:pPr>
        <w:ind w:left="720" w:hanging="720"/>
      </w:pPr>
    </w:p>
    <w:p w14:paraId="16CAE638" w14:textId="77777777" w:rsidR="001F7541" w:rsidRDefault="001F7541" w:rsidP="001F7541">
      <w:pPr>
        <w:ind w:left="720" w:hanging="720"/>
      </w:pPr>
      <w:r>
        <w:t>Lindberg S.E., K-H. Kim, T.P. Meyers, and J.G. Owens. 1995. A micrometeorological gradient approach for quantifying air/surface exchange of mercury vapor: Tests over contaminated soils. Environmental Science and Technology 29: 126–135.</w:t>
      </w:r>
    </w:p>
    <w:p w14:paraId="00EEBAE1" w14:textId="77777777" w:rsidR="001F7541" w:rsidRDefault="001F7541" w:rsidP="001F7541">
      <w:pPr>
        <w:ind w:left="720" w:hanging="720"/>
      </w:pPr>
    </w:p>
    <w:p w14:paraId="6183F69E" w14:textId="77777777" w:rsidR="00C754DB" w:rsidRDefault="00C754DB" w:rsidP="00E36C01">
      <w:pPr>
        <w:ind w:left="720" w:hanging="720"/>
      </w:pPr>
      <w:proofErr w:type="spellStart"/>
      <w:r>
        <w:t>Loftin</w:t>
      </w:r>
      <w:proofErr w:type="spellEnd"/>
      <w:r>
        <w:t xml:space="preserve">, C.S., A.J.K. Calhoun, S.J. Nelson, A.A. </w:t>
      </w:r>
      <w:proofErr w:type="spellStart"/>
      <w:r>
        <w:t>Elskus</w:t>
      </w:r>
      <w:proofErr w:type="spellEnd"/>
      <w:r>
        <w:t>, and K. Simon. 2012. Mercury bioaccumulation in wood frogs developing in seasonal pools. Northeastern Naturalist 19:579</w:t>
      </w:r>
      <w:r w:rsidR="003E502E" w:rsidRPr="003E502E">
        <w:t>–</w:t>
      </w:r>
      <w:r>
        <w:t>600.</w:t>
      </w:r>
    </w:p>
    <w:p w14:paraId="1E990409" w14:textId="77777777" w:rsidR="00C754DB" w:rsidRDefault="00C754DB" w:rsidP="00E36C01">
      <w:pPr>
        <w:ind w:left="720" w:hanging="720"/>
      </w:pPr>
    </w:p>
    <w:p w14:paraId="6F3C9D24" w14:textId="77777777" w:rsidR="00FD4160" w:rsidRDefault="00FD4160" w:rsidP="00FD4160">
      <w:pPr>
        <w:ind w:left="720" w:hanging="720"/>
      </w:pPr>
      <w:r>
        <w:lastRenderedPageBreak/>
        <w:t xml:space="preserve">Miller E.K., A. </w:t>
      </w:r>
      <w:proofErr w:type="spellStart"/>
      <w:r>
        <w:t>VanArsdate</w:t>
      </w:r>
      <w:proofErr w:type="spellEnd"/>
      <w:r>
        <w:t xml:space="preserve">, G.J. Keeler, A. Chalmers, L. </w:t>
      </w:r>
      <w:proofErr w:type="spellStart"/>
      <w:r>
        <w:t>Poissant</w:t>
      </w:r>
      <w:proofErr w:type="spellEnd"/>
      <w:r>
        <w:t xml:space="preserve">, N.C. </w:t>
      </w:r>
      <w:proofErr w:type="spellStart"/>
      <w:r>
        <w:t>Kamman</w:t>
      </w:r>
      <w:proofErr w:type="spellEnd"/>
      <w:r>
        <w:t xml:space="preserve">, and R. </w:t>
      </w:r>
      <w:proofErr w:type="spellStart"/>
      <w:r>
        <w:t>Brulotte</w:t>
      </w:r>
      <w:proofErr w:type="spellEnd"/>
      <w:r>
        <w:t>. 2005. Estimation and mapping of wet and dry mercury deposition across northeastern North America. Ecotoxicology 14:53–70.</w:t>
      </w:r>
    </w:p>
    <w:p w14:paraId="0365600C" w14:textId="77777777" w:rsidR="00FD4160" w:rsidRDefault="00FD4160" w:rsidP="00FD4160">
      <w:pPr>
        <w:ind w:left="720" w:hanging="720"/>
      </w:pPr>
    </w:p>
    <w:p w14:paraId="63226A79" w14:textId="77777777" w:rsidR="004B4398" w:rsidRDefault="004B4398" w:rsidP="0002706B">
      <w:pPr>
        <w:ind w:left="720" w:hanging="720"/>
      </w:pPr>
      <w:r>
        <w:t xml:space="preserve">NEPARC. 2010. Northeast Amphibian and Reptile Species of Regional Responsibility and Conservation Concern. Northeast Partners in Amphibian and Reptile Conservation (NEPARC). Publication 2010-1. </w:t>
      </w:r>
      <w:r w:rsidR="00D90D3B" w:rsidRPr="00D90D3B">
        <w:t>http://northeastparc.org/wp-content/uploads/2016/08/NEPARC_NEspeciesofresponsibility.pdf</w:t>
      </w:r>
    </w:p>
    <w:p w14:paraId="3A5B940D" w14:textId="77777777" w:rsidR="00D90D3B" w:rsidRDefault="00D90D3B" w:rsidP="0002706B">
      <w:pPr>
        <w:ind w:left="720" w:hanging="720"/>
      </w:pPr>
    </w:p>
    <w:p w14:paraId="664B865F" w14:textId="77777777" w:rsidR="00D90D3B" w:rsidRDefault="00D90D3B" w:rsidP="00D90D3B">
      <w:pPr>
        <w:ind w:left="720" w:hanging="720"/>
      </w:pPr>
      <w:r>
        <w:t xml:space="preserve">NEPARC. 2014. Disinfection of Field Equipment to Minimize Risk of Spread of </w:t>
      </w:r>
      <w:proofErr w:type="spellStart"/>
      <w:r>
        <w:t>Chytridiomycosis</w:t>
      </w:r>
      <w:proofErr w:type="spellEnd"/>
      <w:r>
        <w:t xml:space="preserve"> and </w:t>
      </w:r>
      <w:proofErr w:type="spellStart"/>
      <w:r>
        <w:t>Ranavirus</w:t>
      </w:r>
      <w:proofErr w:type="spellEnd"/>
      <w:r>
        <w:t xml:space="preserve">. NEPARC Publication 2014-02. </w:t>
      </w:r>
      <w:r w:rsidRPr="00D90D3B">
        <w:t>http://www.northeastparc.org/products/pdfs/NEPARC_Pub_2014-02_Disinfection_Protocol.pdf</w:t>
      </w:r>
    </w:p>
    <w:p w14:paraId="7A6EC792" w14:textId="77777777" w:rsidR="00090158" w:rsidRDefault="00090158" w:rsidP="0002706B">
      <w:pPr>
        <w:ind w:left="720" w:hanging="720"/>
      </w:pPr>
    </w:p>
    <w:p w14:paraId="06EB1CCF" w14:textId="77777777" w:rsidR="00090158" w:rsidRDefault="00090158" w:rsidP="00090158">
      <w:pPr>
        <w:ind w:left="720" w:hanging="720"/>
      </w:pPr>
      <w:proofErr w:type="spellStart"/>
      <w:r>
        <w:t>Pough</w:t>
      </w:r>
      <w:proofErr w:type="spellEnd"/>
      <w:r>
        <w:t xml:space="preserve"> F.H. 1976. Acid precipitation and embryonic mortality of spotted salamanders, </w:t>
      </w:r>
      <w:proofErr w:type="spellStart"/>
      <w:r w:rsidRPr="00090158">
        <w:rPr>
          <w:i/>
        </w:rPr>
        <w:t>Ambystoma</w:t>
      </w:r>
      <w:proofErr w:type="spellEnd"/>
      <w:r w:rsidRPr="00090158">
        <w:rPr>
          <w:i/>
        </w:rPr>
        <w:t xml:space="preserve"> </w:t>
      </w:r>
      <w:proofErr w:type="spellStart"/>
      <w:r w:rsidRPr="00090158">
        <w:rPr>
          <w:i/>
        </w:rPr>
        <w:t>maculatum</w:t>
      </w:r>
      <w:proofErr w:type="spellEnd"/>
      <w:r>
        <w:t>. Science 192:68–70.</w:t>
      </w:r>
    </w:p>
    <w:p w14:paraId="04BCF2EA" w14:textId="77777777" w:rsidR="004B4398" w:rsidRDefault="004B4398" w:rsidP="004B4398">
      <w:pPr>
        <w:ind w:left="720" w:hanging="720"/>
      </w:pPr>
    </w:p>
    <w:p w14:paraId="5FBFB9F2" w14:textId="77777777" w:rsidR="00297059" w:rsidRDefault="00297059" w:rsidP="00297059">
      <w:pPr>
        <w:ind w:left="720" w:hanging="720"/>
      </w:pPr>
      <w:r>
        <w:t xml:space="preserve">Rea A.W., G.J. Keeler, and T. </w:t>
      </w:r>
      <w:proofErr w:type="spellStart"/>
      <w:r>
        <w:t>Scherbatskoy</w:t>
      </w:r>
      <w:proofErr w:type="spellEnd"/>
      <w:r>
        <w:t xml:space="preserve">. 1996. The deposition of mercury in </w:t>
      </w:r>
      <w:proofErr w:type="spellStart"/>
      <w:r>
        <w:t>throughfall</w:t>
      </w:r>
      <w:proofErr w:type="spellEnd"/>
      <w:r>
        <w:t xml:space="preserve"> and </w:t>
      </w:r>
      <w:proofErr w:type="spellStart"/>
      <w:r>
        <w:t>litterfall</w:t>
      </w:r>
      <w:proofErr w:type="spellEnd"/>
      <w:r>
        <w:t xml:space="preserve"> in the Lake Champlain watershed—a short-term study. Atmospheric Environment 30:3257–3263.</w:t>
      </w:r>
    </w:p>
    <w:p w14:paraId="594D68EE" w14:textId="77777777" w:rsidR="00297059" w:rsidRDefault="00297059" w:rsidP="00297059">
      <w:pPr>
        <w:ind w:left="720" w:hanging="720"/>
      </w:pPr>
    </w:p>
    <w:p w14:paraId="09BF6182" w14:textId="77777777" w:rsidR="004D083D" w:rsidRDefault="004D083D" w:rsidP="004D083D">
      <w:pPr>
        <w:ind w:left="720" w:hanging="720"/>
      </w:pPr>
      <w:proofErr w:type="spellStart"/>
      <w:r>
        <w:t>Risch</w:t>
      </w:r>
      <w:proofErr w:type="spellEnd"/>
      <w:r>
        <w:t xml:space="preserve"> M.R., J.F. </w:t>
      </w:r>
      <w:proofErr w:type="spellStart"/>
      <w:r>
        <w:t>DeWild</w:t>
      </w:r>
      <w:proofErr w:type="spellEnd"/>
      <w:r>
        <w:t xml:space="preserve">, D.P. </w:t>
      </w:r>
      <w:proofErr w:type="spellStart"/>
      <w:r>
        <w:t>Krabbenhoft</w:t>
      </w:r>
      <w:proofErr w:type="spellEnd"/>
      <w:r>
        <w:t xml:space="preserve">, R.K. </w:t>
      </w:r>
      <w:proofErr w:type="spellStart"/>
      <w:r>
        <w:t>Kolka</w:t>
      </w:r>
      <w:proofErr w:type="spellEnd"/>
      <w:r>
        <w:t xml:space="preserve">, L. Zhang. 2012. </w:t>
      </w:r>
      <w:proofErr w:type="spellStart"/>
      <w:r>
        <w:t>Litterfall</w:t>
      </w:r>
      <w:proofErr w:type="spellEnd"/>
      <w:r>
        <w:t xml:space="preserve"> mercury dry deposition in the eastern USA. Environmental Pollution 161:284–290.</w:t>
      </w:r>
    </w:p>
    <w:p w14:paraId="0E0C730C" w14:textId="77777777" w:rsidR="004D083D" w:rsidRDefault="004D083D" w:rsidP="004D083D">
      <w:pPr>
        <w:ind w:left="720" w:hanging="720"/>
      </w:pPr>
    </w:p>
    <w:p w14:paraId="0EA65D64" w14:textId="77777777" w:rsidR="005077DE" w:rsidRDefault="005077DE" w:rsidP="00E36C01">
      <w:pPr>
        <w:ind w:left="720" w:hanging="720"/>
      </w:pPr>
      <w:proofErr w:type="spellStart"/>
      <w:r>
        <w:t>Semlitsch</w:t>
      </w:r>
      <w:proofErr w:type="spellEnd"/>
      <w:r>
        <w:t xml:space="preserve">, R.D. and D.K. Skelly. 2009. Ecology and conservation of pool-breeding amphibians. In: </w:t>
      </w:r>
      <w:r w:rsidRPr="005077DE">
        <w:t xml:space="preserve">Calhoun, A.J.K. and P.G. </w:t>
      </w:r>
      <w:proofErr w:type="spellStart"/>
      <w:r w:rsidRPr="005077DE">
        <w:t>deMaynadier</w:t>
      </w:r>
      <w:proofErr w:type="spellEnd"/>
      <w:r w:rsidRPr="005077DE">
        <w:t xml:space="preserve"> (</w:t>
      </w:r>
      <w:proofErr w:type="spellStart"/>
      <w:r w:rsidRPr="005077DE">
        <w:t>eds</w:t>
      </w:r>
      <w:proofErr w:type="spellEnd"/>
      <w:r w:rsidRPr="005077DE">
        <w:t>) Science and conservation of vernal pools in northeastern North America. CRC Press, Boca Raton, FL, pp</w:t>
      </w:r>
      <w:r>
        <w:t xml:space="preserve"> 127</w:t>
      </w:r>
      <w:r w:rsidR="003E502E" w:rsidRPr="003E502E">
        <w:t>–</w:t>
      </w:r>
      <w:r>
        <w:t>147.</w:t>
      </w:r>
    </w:p>
    <w:p w14:paraId="1F598A7D" w14:textId="77777777" w:rsidR="005077DE" w:rsidRDefault="005077DE" w:rsidP="00E36C01">
      <w:pPr>
        <w:ind w:left="720" w:hanging="720"/>
      </w:pPr>
    </w:p>
    <w:p w14:paraId="4922A9FD" w14:textId="77777777" w:rsidR="0085576A" w:rsidRDefault="0085576A" w:rsidP="0085576A">
      <w:pPr>
        <w:ind w:left="720" w:hanging="720"/>
      </w:pPr>
      <w:proofErr w:type="spellStart"/>
      <w:r>
        <w:t>Unrine</w:t>
      </w:r>
      <w:proofErr w:type="spellEnd"/>
      <w:r>
        <w:t xml:space="preserve">, J.M., C.H. </w:t>
      </w:r>
      <w:proofErr w:type="spellStart"/>
      <w:r>
        <w:t>Jagoe</w:t>
      </w:r>
      <w:proofErr w:type="spellEnd"/>
      <w:r>
        <w:t>, W.A. Hopkins, and H.A. Brant. 2004. Adverse effects of ecologically relevant dietary mercury exposure in southern leopard frog (</w:t>
      </w:r>
      <w:r w:rsidRPr="0085576A">
        <w:rPr>
          <w:i/>
        </w:rPr>
        <w:t xml:space="preserve">Rana </w:t>
      </w:r>
      <w:proofErr w:type="spellStart"/>
      <w:r w:rsidRPr="0085576A">
        <w:rPr>
          <w:i/>
        </w:rPr>
        <w:t>sphenocephala</w:t>
      </w:r>
      <w:proofErr w:type="spellEnd"/>
      <w:r>
        <w:t>) larvae. Environmental Toxicology and Chemistry 23:2964</w:t>
      </w:r>
      <w:r w:rsidR="003E502E" w:rsidRPr="003E502E">
        <w:t>–</w:t>
      </w:r>
      <w:r>
        <w:t>2970.</w:t>
      </w:r>
    </w:p>
    <w:p w14:paraId="51E01AD0" w14:textId="77777777" w:rsidR="0085576A" w:rsidRDefault="0085576A" w:rsidP="0085576A">
      <w:pPr>
        <w:ind w:left="720" w:hanging="720"/>
      </w:pPr>
    </w:p>
    <w:p w14:paraId="1D71777B" w14:textId="77777777" w:rsidR="00BE5EBB" w:rsidRDefault="00BE5EBB" w:rsidP="00E36C01">
      <w:pPr>
        <w:ind w:left="720" w:hanging="720"/>
      </w:pPr>
      <w:r>
        <w:t>Van Meter R., L.L. Bailey, E.H. Campbell Grant. 2008. Methods for estimating the amount of vernal pools in the northeastern United States. Wetlands 28:585</w:t>
      </w:r>
      <w:r w:rsidR="003E502E" w:rsidRPr="003E502E">
        <w:t>–</w:t>
      </w:r>
      <w:r>
        <w:t>593.</w:t>
      </w:r>
    </w:p>
    <w:p w14:paraId="25015BF6" w14:textId="77777777" w:rsidR="0002706B" w:rsidRDefault="0002706B" w:rsidP="00E36C01">
      <w:pPr>
        <w:ind w:left="720" w:hanging="720"/>
      </w:pPr>
    </w:p>
    <w:p w14:paraId="4031C1A3" w14:textId="77777777" w:rsidR="0002706B" w:rsidRDefault="0002706B" w:rsidP="0002706B">
      <w:pPr>
        <w:ind w:left="720" w:hanging="720"/>
      </w:pPr>
      <w:r>
        <w:t xml:space="preserve">Wake, D.B., and V.T. </w:t>
      </w:r>
      <w:proofErr w:type="spellStart"/>
      <w:r>
        <w:t>Vredenburg</w:t>
      </w:r>
      <w:proofErr w:type="spellEnd"/>
      <w:r>
        <w:t>. 2008. Are we in the midst of the sixth mass extinction? A view from the world of amphibians. Proceedings of the National Academy of Science USA 105:11466–11473.</w:t>
      </w:r>
    </w:p>
    <w:p w14:paraId="4FDE58D0" w14:textId="77777777" w:rsidR="00973099" w:rsidRDefault="00973099" w:rsidP="0002706B">
      <w:pPr>
        <w:ind w:left="720" w:hanging="720"/>
      </w:pPr>
    </w:p>
    <w:p w14:paraId="20021229" w14:textId="77777777" w:rsidR="00973099" w:rsidRDefault="00973099" w:rsidP="00973099">
      <w:pPr>
        <w:ind w:left="720" w:hanging="720"/>
      </w:pPr>
      <w:r>
        <w:t xml:space="preserve">Wiener J.G., D.P. </w:t>
      </w:r>
      <w:proofErr w:type="spellStart"/>
      <w:r>
        <w:t>Krabbenhoft</w:t>
      </w:r>
      <w:proofErr w:type="spellEnd"/>
      <w:r>
        <w:t xml:space="preserve">, G.H. Heinz, and A.M. </w:t>
      </w:r>
      <w:proofErr w:type="spellStart"/>
      <w:r>
        <w:t>Scheuhammer</w:t>
      </w:r>
      <w:proofErr w:type="spellEnd"/>
      <w:r>
        <w:t xml:space="preserve">. 2003. Ecotoxicology of mercury. In: Hoffman D.J., B.A. </w:t>
      </w:r>
      <w:proofErr w:type="spellStart"/>
      <w:r>
        <w:t>Rattner</w:t>
      </w:r>
      <w:proofErr w:type="spellEnd"/>
      <w:r>
        <w:t>, G.A. Burton, and J. Cairns (</w:t>
      </w:r>
      <w:proofErr w:type="spellStart"/>
      <w:r>
        <w:t>eds</w:t>
      </w:r>
      <w:proofErr w:type="spellEnd"/>
      <w:r>
        <w:t>) Handbook of ecotoxicology. Lewis Publishers, New York, NY.</w:t>
      </w:r>
    </w:p>
    <w:p w14:paraId="0A7F6645" w14:textId="77777777" w:rsidR="00825591" w:rsidRDefault="00825591" w:rsidP="00973099">
      <w:pPr>
        <w:ind w:left="720" w:hanging="720"/>
      </w:pPr>
    </w:p>
    <w:p w14:paraId="54832175" w14:textId="77777777" w:rsidR="00825591" w:rsidRDefault="00825591" w:rsidP="00973099">
      <w:pPr>
        <w:ind w:left="720" w:hanging="720"/>
      </w:pPr>
      <w:proofErr w:type="spellStart"/>
      <w:r>
        <w:t>Windmiller</w:t>
      </w:r>
      <w:proofErr w:type="spellEnd"/>
      <w:r>
        <w:t>, B.W. 1996. The pond, the forest, and the city: Spotted salamander ecology and conservation in a human-dominated landscape. Ph.D. Dissertation. Tufts University, Medford, MA.</w:t>
      </w:r>
    </w:p>
    <w:sectPr w:rsidR="008255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Lloyd" w:date="2018-02-09T15:35:00Z" w:initials="JDL">
    <w:p w14:paraId="51DF6217" w14:textId="77777777" w:rsidR="002C3B4D" w:rsidRDefault="002C3B4D">
      <w:pPr>
        <w:pStyle w:val="CommentText"/>
      </w:pPr>
      <w:r>
        <w:rPr>
          <w:rStyle w:val="CommentReference"/>
        </w:rPr>
        <w:annotationRef/>
      </w:r>
      <w:r>
        <w:t>I so wish we could leave this in...</w:t>
      </w:r>
    </w:p>
  </w:comment>
  <w:comment w:id="54" w:author="John Lloyd" w:date="2018-02-20T13:37:00Z" w:initials="JDL">
    <w:p w14:paraId="0EA82529" w14:textId="3D22C88A" w:rsidR="00DB2BEA" w:rsidRDefault="00DB2BEA">
      <w:pPr>
        <w:pStyle w:val="CommentText"/>
      </w:pPr>
      <w:r>
        <w:rPr>
          <w:rStyle w:val="CommentReference"/>
        </w:rPr>
        <w:annotationRef/>
      </w:r>
      <w:r>
        <w:t>As I’m writing this, I’m wondering if there is actually a good justification for including this effect in the analysis of adults. Why would it matter?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DF6217" w15:done="0"/>
  <w15:commentEx w15:paraId="0EA825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DF6217" w16cid:durableId="1E283E3C"/>
  <w16cid:commentId w16cid:paraId="0EA82529" w16cid:durableId="1E36A3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Lloyd">
    <w15:presenceInfo w15:providerId="None" w15:userId="John Llo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01"/>
    <w:rsid w:val="00001D3F"/>
    <w:rsid w:val="0002706B"/>
    <w:rsid w:val="00063E72"/>
    <w:rsid w:val="000711A1"/>
    <w:rsid w:val="000718A4"/>
    <w:rsid w:val="0007427C"/>
    <w:rsid w:val="00074C1A"/>
    <w:rsid w:val="00075EF7"/>
    <w:rsid w:val="00090158"/>
    <w:rsid w:val="00096418"/>
    <w:rsid w:val="000B414D"/>
    <w:rsid w:val="000C06D1"/>
    <w:rsid w:val="000C6DF9"/>
    <w:rsid w:val="000D0613"/>
    <w:rsid w:val="000D3751"/>
    <w:rsid w:val="000E637A"/>
    <w:rsid w:val="000F60CF"/>
    <w:rsid w:val="00104F0E"/>
    <w:rsid w:val="00117BB5"/>
    <w:rsid w:val="001568BB"/>
    <w:rsid w:val="0019679D"/>
    <w:rsid w:val="001A5B11"/>
    <w:rsid w:val="001A6E6B"/>
    <w:rsid w:val="001B63A3"/>
    <w:rsid w:val="001E4649"/>
    <w:rsid w:val="001E7F2F"/>
    <w:rsid w:val="001F119D"/>
    <w:rsid w:val="001F2B21"/>
    <w:rsid w:val="001F7541"/>
    <w:rsid w:val="00211E69"/>
    <w:rsid w:val="00243EFB"/>
    <w:rsid w:val="00254723"/>
    <w:rsid w:val="00262D25"/>
    <w:rsid w:val="00264BFE"/>
    <w:rsid w:val="002666C8"/>
    <w:rsid w:val="00283B66"/>
    <w:rsid w:val="00297059"/>
    <w:rsid w:val="002B26F2"/>
    <w:rsid w:val="002C3B4D"/>
    <w:rsid w:val="002F0F2A"/>
    <w:rsid w:val="00307CD2"/>
    <w:rsid w:val="00316D3D"/>
    <w:rsid w:val="0032492B"/>
    <w:rsid w:val="003521EB"/>
    <w:rsid w:val="00362B4B"/>
    <w:rsid w:val="003B2977"/>
    <w:rsid w:val="003C2767"/>
    <w:rsid w:val="003E502E"/>
    <w:rsid w:val="003F25EF"/>
    <w:rsid w:val="004057E4"/>
    <w:rsid w:val="004163B5"/>
    <w:rsid w:val="00422311"/>
    <w:rsid w:val="004555E0"/>
    <w:rsid w:val="00455911"/>
    <w:rsid w:val="004615AE"/>
    <w:rsid w:val="00475D13"/>
    <w:rsid w:val="00490986"/>
    <w:rsid w:val="00494739"/>
    <w:rsid w:val="004B36AC"/>
    <w:rsid w:val="004B4398"/>
    <w:rsid w:val="004C6244"/>
    <w:rsid w:val="004D083D"/>
    <w:rsid w:val="004D5EC5"/>
    <w:rsid w:val="004D7F73"/>
    <w:rsid w:val="004F5CC2"/>
    <w:rsid w:val="00506511"/>
    <w:rsid w:val="005077DE"/>
    <w:rsid w:val="00513398"/>
    <w:rsid w:val="00552F2D"/>
    <w:rsid w:val="00564FD0"/>
    <w:rsid w:val="005742F2"/>
    <w:rsid w:val="0057510B"/>
    <w:rsid w:val="005C3D70"/>
    <w:rsid w:val="005D6704"/>
    <w:rsid w:val="005F2629"/>
    <w:rsid w:val="005F7E55"/>
    <w:rsid w:val="00604615"/>
    <w:rsid w:val="00627362"/>
    <w:rsid w:val="006307D3"/>
    <w:rsid w:val="00636191"/>
    <w:rsid w:val="00652388"/>
    <w:rsid w:val="00654427"/>
    <w:rsid w:val="00661E67"/>
    <w:rsid w:val="00675E66"/>
    <w:rsid w:val="006813FB"/>
    <w:rsid w:val="00682233"/>
    <w:rsid w:val="00693D46"/>
    <w:rsid w:val="00694BAF"/>
    <w:rsid w:val="006974D6"/>
    <w:rsid w:val="006976AD"/>
    <w:rsid w:val="006A7C79"/>
    <w:rsid w:val="006B70E5"/>
    <w:rsid w:val="006D1DA6"/>
    <w:rsid w:val="006D400C"/>
    <w:rsid w:val="006F6062"/>
    <w:rsid w:val="0071661B"/>
    <w:rsid w:val="00730536"/>
    <w:rsid w:val="0073131F"/>
    <w:rsid w:val="00747272"/>
    <w:rsid w:val="00760564"/>
    <w:rsid w:val="00761B34"/>
    <w:rsid w:val="00777385"/>
    <w:rsid w:val="007843B1"/>
    <w:rsid w:val="007A3A12"/>
    <w:rsid w:val="007A56BE"/>
    <w:rsid w:val="007B5CB2"/>
    <w:rsid w:val="007C5360"/>
    <w:rsid w:val="00804250"/>
    <w:rsid w:val="0081215F"/>
    <w:rsid w:val="00814E3D"/>
    <w:rsid w:val="00825591"/>
    <w:rsid w:val="00830885"/>
    <w:rsid w:val="00854968"/>
    <w:rsid w:val="0085576A"/>
    <w:rsid w:val="0087432B"/>
    <w:rsid w:val="00877BDC"/>
    <w:rsid w:val="0088084F"/>
    <w:rsid w:val="00881162"/>
    <w:rsid w:val="00887C6D"/>
    <w:rsid w:val="00890AB6"/>
    <w:rsid w:val="008A4B4E"/>
    <w:rsid w:val="008C7609"/>
    <w:rsid w:val="009100E8"/>
    <w:rsid w:val="00914756"/>
    <w:rsid w:val="0096579F"/>
    <w:rsid w:val="00973099"/>
    <w:rsid w:val="00976B69"/>
    <w:rsid w:val="00980334"/>
    <w:rsid w:val="009A3F70"/>
    <w:rsid w:val="009A48EF"/>
    <w:rsid w:val="009B57B5"/>
    <w:rsid w:val="009E291A"/>
    <w:rsid w:val="009F6025"/>
    <w:rsid w:val="00A678D0"/>
    <w:rsid w:val="00A7071A"/>
    <w:rsid w:val="00A80798"/>
    <w:rsid w:val="00A841CB"/>
    <w:rsid w:val="00A860DE"/>
    <w:rsid w:val="00AA3299"/>
    <w:rsid w:val="00AB6D8C"/>
    <w:rsid w:val="00B00778"/>
    <w:rsid w:val="00B00F24"/>
    <w:rsid w:val="00B37E5F"/>
    <w:rsid w:val="00B431F9"/>
    <w:rsid w:val="00B432DF"/>
    <w:rsid w:val="00B46200"/>
    <w:rsid w:val="00B70315"/>
    <w:rsid w:val="00B70B18"/>
    <w:rsid w:val="00B71F19"/>
    <w:rsid w:val="00B81619"/>
    <w:rsid w:val="00B9181B"/>
    <w:rsid w:val="00BB0EEF"/>
    <w:rsid w:val="00BB3EC9"/>
    <w:rsid w:val="00BC4B27"/>
    <w:rsid w:val="00BE5EBB"/>
    <w:rsid w:val="00C0196E"/>
    <w:rsid w:val="00C075C1"/>
    <w:rsid w:val="00C33833"/>
    <w:rsid w:val="00C37F5A"/>
    <w:rsid w:val="00C46181"/>
    <w:rsid w:val="00C6470F"/>
    <w:rsid w:val="00C72A07"/>
    <w:rsid w:val="00C754DB"/>
    <w:rsid w:val="00C810EE"/>
    <w:rsid w:val="00C83A2B"/>
    <w:rsid w:val="00D03443"/>
    <w:rsid w:val="00D21D6E"/>
    <w:rsid w:val="00D33927"/>
    <w:rsid w:val="00D54AD2"/>
    <w:rsid w:val="00D55EF4"/>
    <w:rsid w:val="00D571D1"/>
    <w:rsid w:val="00D6266F"/>
    <w:rsid w:val="00D72118"/>
    <w:rsid w:val="00D90D3B"/>
    <w:rsid w:val="00DB2BEA"/>
    <w:rsid w:val="00DB70BD"/>
    <w:rsid w:val="00DF5C33"/>
    <w:rsid w:val="00E06232"/>
    <w:rsid w:val="00E10F12"/>
    <w:rsid w:val="00E249F1"/>
    <w:rsid w:val="00E36C01"/>
    <w:rsid w:val="00E37CEB"/>
    <w:rsid w:val="00E41A69"/>
    <w:rsid w:val="00E732B5"/>
    <w:rsid w:val="00EB4550"/>
    <w:rsid w:val="00ED0BAF"/>
    <w:rsid w:val="00ED3C81"/>
    <w:rsid w:val="00F05183"/>
    <w:rsid w:val="00F073BC"/>
    <w:rsid w:val="00F1715C"/>
    <w:rsid w:val="00F22E93"/>
    <w:rsid w:val="00F45ABC"/>
    <w:rsid w:val="00F47918"/>
    <w:rsid w:val="00F549F0"/>
    <w:rsid w:val="00F70719"/>
    <w:rsid w:val="00F8442D"/>
    <w:rsid w:val="00F91789"/>
    <w:rsid w:val="00F91952"/>
    <w:rsid w:val="00F930F7"/>
    <w:rsid w:val="00F960B0"/>
    <w:rsid w:val="00FD4160"/>
    <w:rsid w:val="00FF67EE"/>
    <w:rsid w:val="00FF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77A9"/>
  <w15:docId w15:val="{B781BED9-80A9-E04D-9248-098F95D3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9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EBB"/>
    <w:rPr>
      <w:color w:val="0000FF" w:themeColor="hyperlink"/>
      <w:u w:val="single"/>
    </w:rPr>
  </w:style>
  <w:style w:type="character" w:styleId="CommentReference">
    <w:name w:val="annotation reference"/>
    <w:basedOn w:val="DefaultParagraphFont"/>
    <w:uiPriority w:val="99"/>
    <w:semiHidden/>
    <w:unhideWhenUsed/>
    <w:rsid w:val="002C3B4D"/>
    <w:rPr>
      <w:sz w:val="16"/>
      <w:szCs w:val="16"/>
    </w:rPr>
  </w:style>
  <w:style w:type="paragraph" w:styleId="CommentText">
    <w:name w:val="annotation text"/>
    <w:basedOn w:val="Normal"/>
    <w:link w:val="CommentTextChar"/>
    <w:uiPriority w:val="99"/>
    <w:semiHidden/>
    <w:unhideWhenUsed/>
    <w:rsid w:val="002C3B4D"/>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C3B4D"/>
    <w:rPr>
      <w:sz w:val="20"/>
      <w:szCs w:val="20"/>
    </w:rPr>
  </w:style>
  <w:style w:type="paragraph" w:styleId="CommentSubject">
    <w:name w:val="annotation subject"/>
    <w:basedOn w:val="CommentText"/>
    <w:next w:val="CommentText"/>
    <w:link w:val="CommentSubjectChar"/>
    <w:uiPriority w:val="99"/>
    <w:semiHidden/>
    <w:unhideWhenUsed/>
    <w:rsid w:val="002C3B4D"/>
    <w:rPr>
      <w:b/>
      <w:bCs/>
    </w:rPr>
  </w:style>
  <w:style w:type="character" w:customStyle="1" w:styleId="CommentSubjectChar">
    <w:name w:val="Comment Subject Char"/>
    <w:basedOn w:val="CommentTextChar"/>
    <w:link w:val="CommentSubject"/>
    <w:uiPriority w:val="99"/>
    <w:semiHidden/>
    <w:rsid w:val="002C3B4D"/>
    <w:rPr>
      <w:b/>
      <w:bCs/>
      <w:sz w:val="20"/>
      <w:szCs w:val="20"/>
    </w:rPr>
  </w:style>
  <w:style w:type="paragraph" w:styleId="BalloonText">
    <w:name w:val="Balloon Text"/>
    <w:basedOn w:val="Normal"/>
    <w:link w:val="BalloonTextChar"/>
    <w:uiPriority w:val="99"/>
    <w:semiHidden/>
    <w:unhideWhenUsed/>
    <w:rsid w:val="002C3B4D"/>
    <w:rPr>
      <w:rFonts w:eastAsiaTheme="minorHAnsi"/>
      <w:sz w:val="26"/>
      <w:szCs w:val="26"/>
    </w:rPr>
  </w:style>
  <w:style w:type="character" w:customStyle="1" w:styleId="BalloonTextChar">
    <w:name w:val="Balloon Text Char"/>
    <w:basedOn w:val="DefaultParagraphFont"/>
    <w:link w:val="BalloonText"/>
    <w:uiPriority w:val="99"/>
    <w:semiHidden/>
    <w:rsid w:val="002C3B4D"/>
    <w:rPr>
      <w:rFonts w:ascii="Times New Roman" w:hAnsi="Times New Roman" w:cs="Times New Roman"/>
      <w:sz w:val="26"/>
      <w:szCs w:val="26"/>
    </w:rPr>
  </w:style>
  <w:style w:type="table" w:styleId="TableGrid">
    <w:name w:val="Table Grid"/>
    <w:basedOn w:val="TableNormal"/>
    <w:uiPriority w:val="59"/>
    <w:rsid w:val="003B2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97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ED869-377C-5148-AB5F-5C0B15276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18</Pages>
  <Words>4747</Words>
  <Characters>27063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SDF</dc:creator>
  <cp:lastModifiedBy>John Lloyd</cp:lastModifiedBy>
  <cp:revision>7</cp:revision>
  <dcterms:created xsi:type="dcterms:W3CDTF">2018-02-09T21:14:00Z</dcterms:created>
  <dcterms:modified xsi:type="dcterms:W3CDTF">2018-02-20T19:38:00Z</dcterms:modified>
</cp:coreProperties>
</file>