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王一硕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男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20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43CA879E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主治医师：WYS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3123123213213123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男性生殖器部位持续性疼痛，伴排尿不适，需明确疼痛性质及持续时间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建议完善尿常规、前列腺液检查、性传播疾病筛查及泌尿系统超声，评估是否存在感染或结构异常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 xml:space="preserve">可能为尿道炎、前列腺炎或性传播疾病，需结合实验室检查及症状特点进一步鉴别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建议尽快至泌尿外科或皮肤性病科就诊，避免自行用药，需排除泌尿系统感染、性传播疾病等需专业处理的病理情况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654A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08CB8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C45E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1BE39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75C93"/>
    <w:rsid w:val="00121FF3"/>
    <w:rsid w:val="001A39A8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149</Characters>
  <Application>Microsoft Office Word</Application>
  <DocSecurity>0</DocSecurity>
  <Lines>21</Lines>
  <Paragraphs>17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6</cp:revision>
  <dcterms:created xsi:type="dcterms:W3CDTF">2025-06-26T03:14:00Z</dcterms:created>
  <dcterms:modified xsi:type="dcterms:W3CDTF">2025-06-26T03:48:00Z</dcterms:modified>
  <dc:identifier/>
  <dc:language/>
</cp:coreProperties>
</file>