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65D"/>
          <w:sz w:val="40"/>
        </w:rPr>
        <w:t>Predikcija uspjesnosti parkiranja autonomnog agenta</w:t>
      </w:r>
    </w:p>
    <w:p>
      <w:pPr>
        <w:spacing w:after="240"/>
      </w:pPr>
      <w:r>
        <w:rPr>
          <w:color w:val="5A5A5A"/>
          <w:sz w:val="23"/>
        </w:rPr>
        <w:t>Izvjestaj o klasifikacijskoj analizi dataseta generisanog Q-learning agentom</w:t>
      </w:r>
    </w:p>
    <w:tbl>
      <w:tblPr>
        <w:tblStyle w:val="TableGrid"/>
        <w:tblW w:type="auto" w:w="0"/>
        <w:tblLook w:firstColumn="1" w:firstRow="1" w:lastColumn="0" w:lastRow="0" w:noHBand="0" w:noVBand="1" w:val="04A0"/>
      </w:tblPr>
      <w:tblGrid>
        <w:gridCol w:w="2304"/>
        <w:gridCol w:w="2304"/>
        <w:gridCol w:w="2304"/>
        <w:gridCol w:w="2304"/>
      </w:tblGrid>
      <w:tr>
        <w:tc>
          <w:tcPr>
            <w:tcW w:type="dxa" w:w="1656"/>
            <w:shd w:val="clear" w:fill="EDF2F8"/>
          </w:tcPr>
          <w:p>
            <w:pPr>
              <w:spacing w:after="40" w:before="40"/>
            </w:pPr>
            <w:r>
              <w:rPr>
                <w:b/>
                <w:color w:val="1B365D"/>
                <w:sz w:val="19"/>
              </w:rPr>
              <w:t>Autor</w:t>
            </w:r>
          </w:p>
        </w:tc>
        <w:tc>
          <w:tcPr>
            <w:tcW w:type="dxa" w:w="3240"/>
          </w:tcPr>
          <w:p>
            <w:pPr>
              <w:spacing w:after="40" w:before="40"/>
            </w:pPr>
            <w:r>
              <w:rPr>
                <w:b w:val="0"/>
                <w:sz w:val="19"/>
              </w:rPr>
              <w:t>Edin Sehovic (IB250211)</w:t>
            </w:r>
          </w:p>
        </w:tc>
        <w:tc>
          <w:tcPr>
            <w:tcW w:type="dxa" w:w="1656"/>
            <w:shd w:val="clear" w:fill="EDF2F8"/>
          </w:tcPr>
          <w:p>
            <w:pPr>
              <w:spacing w:after="40" w:before="40"/>
            </w:pPr>
            <w:r>
              <w:rPr>
                <w:b/>
                <w:color w:val="1B365D"/>
                <w:sz w:val="19"/>
              </w:rPr>
              <w:t>Datum</w:t>
            </w:r>
          </w:p>
        </w:tc>
        <w:tc>
          <w:tcPr>
            <w:tcW w:type="dxa" w:w="2664"/>
          </w:tcPr>
          <w:p>
            <w:pPr>
              <w:spacing w:after="40" w:before="40"/>
            </w:pPr>
            <w:r>
              <w:rPr>
                <w:b w:val="0"/>
                <w:sz w:val="19"/>
              </w:rPr>
              <w:t>07.09.2026.</w:t>
            </w:r>
          </w:p>
        </w:tc>
      </w:tr>
      <w:tr>
        <w:tc>
          <w:tcPr>
            <w:tcW w:type="dxa" w:w="1656"/>
            <w:shd w:val="clear" w:fill="EDF2F8"/>
          </w:tcPr>
          <w:p>
            <w:pPr>
              <w:spacing w:after="40" w:before="40"/>
            </w:pPr>
            <w:r>
              <w:rPr>
                <w:b/>
                <w:color w:val="1B365D"/>
                <w:sz w:val="19"/>
              </w:rPr>
              <w:t>Dataset</w:t>
            </w:r>
          </w:p>
        </w:tc>
        <w:tc>
          <w:tcPr>
            <w:tcW w:type="dxa" w:w="3240"/>
          </w:tcPr>
          <w:p>
            <w:pPr>
              <w:spacing w:after="40" w:before="40"/>
            </w:pPr>
            <w:r>
              <w:rPr>
                <w:b w:val="0"/>
                <w:sz w:val="19"/>
              </w:rPr>
              <w:t>parking_episode_dataset</w:t>
            </w:r>
          </w:p>
        </w:tc>
        <w:tc>
          <w:tcPr>
            <w:tcW w:type="dxa" w:w="1656"/>
            <w:shd w:val="clear" w:fill="EDF2F8"/>
          </w:tcPr>
          <w:p>
            <w:pPr>
              <w:spacing w:after="40" w:before="40"/>
            </w:pPr>
            <w:r>
              <w:rPr>
                <w:b/>
                <w:color w:val="1B365D"/>
                <w:sz w:val="19"/>
              </w:rPr>
              <w:t>Broj epizoda</w:t>
            </w:r>
          </w:p>
        </w:tc>
        <w:tc>
          <w:tcPr>
            <w:tcW w:type="dxa" w:w="2664"/>
          </w:tcPr>
          <w:p>
            <w:pPr>
              <w:spacing w:after="40" w:before="40"/>
            </w:pPr>
            <w:r>
              <w:rPr>
                <w:b w:val="0"/>
                <w:sz w:val="19"/>
              </w:rPr>
              <w:t>31.165</w:t>
            </w:r>
          </w:p>
        </w:tc>
      </w:tr>
      <w:tr>
        <w:tc>
          <w:tcPr>
            <w:tcW w:type="dxa" w:w="1656"/>
            <w:shd w:val="clear" w:fill="EDF2F8"/>
          </w:tcPr>
          <w:p>
            <w:pPr>
              <w:spacing w:after="40" w:before="40"/>
            </w:pPr>
            <w:r>
              <w:rPr>
                <w:b/>
                <w:color w:val="1B365D"/>
                <w:sz w:val="19"/>
              </w:rPr>
              <w:t>Izvor podataka</w:t>
            </w:r>
          </w:p>
        </w:tc>
        <w:tc>
          <w:tcPr>
            <w:tcW w:type="dxa" w:w="3240"/>
          </w:tcPr>
          <w:p>
            <w:pPr>
              <w:spacing w:after="40" w:before="40"/>
            </w:pPr>
            <w:r>
              <w:rPr>
                <w:b w:val="0"/>
                <w:sz w:val="19"/>
              </w:rPr>
              <w:t>Q-learning parking agent (TypeScript)</w:t>
            </w:r>
          </w:p>
        </w:tc>
        <w:tc>
          <w:tcPr>
            <w:tcW w:type="dxa" w:w="1656"/>
            <w:shd w:val="clear" w:fill="EDF2F8"/>
          </w:tcPr>
          <w:p>
            <w:pPr>
              <w:spacing w:after="40" w:before="40"/>
            </w:pPr>
            <w:r>
              <w:rPr>
                <w:b/>
                <w:color w:val="1B365D"/>
                <w:sz w:val="19"/>
              </w:rPr>
              <w:t>Najbolji model</w:t>
            </w:r>
          </w:p>
        </w:tc>
        <w:tc>
          <w:tcPr>
            <w:tcW w:type="dxa" w:w="2664"/>
          </w:tcPr>
          <w:p>
            <w:pPr>
              <w:spacing w:after="40" w:before="40"/>
            </w:pPr>
            <w:r>
              <w:rPr>
                <w:b w:val="0"/>
                <w:sz w:val="19"/>
              </w:rPr>
              <w:t>Gradient Boosting</w:t>
            </w:r>
          </w:p>
        </w:tc>
      </w:tr>
    </w:tbl>
    <w:p>
      <w:pPr>
        <w:spacing w:after="0"/>
      </w:pPr>
    </w:p>
    <w:p>
      <w:pPr>
        <w:spacing w:before="320" w:after="80"/>
      </w:pPr>
      <w:r>
        <w:rPr>
          <w:b/>
          <w:color w:val="1B365D"/>
          <w:sz w:val="28"/>
        </w:rPr>
        <w:t>1. Sazetak</w:t>
      </w:r>
    </w:p>
    <w:p>
      <w:pPr>
        <w:pBdr>
          <w:bottom w:val="single" w:sz="12" w:space="1" w:color="1B365D"/>
        </w:pBdr>
        <w:spacing w:after="200"/>
      </w:pPr>
    </w:p>
    <w:p>
      <w:r>
        <w:rPr>
          <w:i w:val="0"/>
          <w:sz w:val="21"/>
        </w:rPr>
        <w:t>Ovaj izvjestaj analizira mogucnost predvidjanja ishoda parkiranja autonomnog agenta prije zavrsetka epizode, na osnovu karakteristika okoline i ranog ponasanja agenta. Dataset obuhvata 31.165 epizoda generisanih vlastitim Q-learning agentom, pri cemu jedan zapis odgovara jednom pokusaju parkiranja. Poredjena su tri klasifikatora: Random Forest, logisticka regresija i Gradient Boosting. Najbolji rezultat postize Gradient Boosting, s tacnoscu 88.21% i AUC vrijednoscu 0.9484 na nezavisnom testnom skupu, sto potvrdjuje da je ishod epizode predvidiv u mjeri znatno iznad slucajnog pogadjanja.</w:t>
      </w:r>
    </w:p>
    <w:p>
      <w:pPr>
        <w:spacing w:before="200" w:after="60"/>
      </w:pPr>
      <w:r>
        <w:rPr>
          <w:b/>
          <w:color w:val="1F6FB2"/>
          <w:sz w:val="23"/>
        </w:rPr>
        <w:t>Kljucni nalazi</w:t>
      </w:r>
    </w:p>
    <w:p>
      <w:pPr>
        <w:pStyle w:val="ListBullet"/>
        <w:spacing w:after="40"/>
      </w:pPr>
      <w:r>
        <w:rPr>
          <w:sz w:val="21"/>
        </w:rPr>
        <w:t>Random Forest postize Accuracy 0.8785, F1 0.9022 i AUC 0.9431.</w:t>
      </w:r>
    </w:p>
    <w:p>
      <w:pPr>
        <w:pStyle w:val="ListBullet"/>
        <w:spacing w:after="40"/>
      </w:pPr>
      <w:r>
        <w:rPr>
          <w:sz w:val="21"/>
        </w:rPr>
        <w:t>Logisticka regresija postize Accuracy 0.8651, F1 0.8917 i AUC 0.9301.</w:t>
      </w:r>
    </w:p>
    <w:p>
      <w:pPr>
        <w:pStyle w:val="ListBullet"/>
        <w:spacing w:after="40"/>
      </w:pPr>
      <w:r>
        <w:rPr>
          <w:sz w:val="21"/>
        </w:rPr>
        <w:t>Gradient Boosting postize Accuracy 0.8821, F1 0.9044 i AUC 0.9484.</w:t>
      </w:r>
    </w:p>
    <w:p>
      <w:pPr>
        <w:pStyle w:val="ListBullet"/>
        <w:spacing w:after="40"/>
      </w:pPr>
      <w:r>
        <w:rPr>
          <w:sz w:val="21"/>
        </w:rPr>
        <w:t>Najbolji je model Gradient Boosting; raspon AUC vrijednosti izmedju modela iznosi 0.0183.</w:t>
      </w:r>
    </w:p>
    <w:p>
      <w:pPr>
        <w:pStyle w:val="ListBullet"/>
        <w:spacing w:after="40"/>
      </w:pPr>
      <w:r>
        <w:rPr>
          <w:sz w:val="21"/>
        </w:rPr>
        <w:t>Tri najutjecajnije varijable su QConfidenceScore, ExperienceEpisodes, RoadDensity.</w:t>
      </w:r>
    </w:p>
    <w:p>
      <w:pPr>
        <w:pStyle w:val="ListBullet"/>
        <w:spacing w:after="40"/>
      </w:pPr>
      <w:r>
        <w:rPr>
          <w:sz w:val="21"/>
        </w:rPr>
        <w:t>Prvih pet varijabli nosi 70.1% ukupne vaznosti, pa je predikcija koncentrisana na mali broj obiljezja.</w:t>
      </w:r>
    </w:p>
    <w:p>
      <w:pPr>
        <w:pStyle w:val="ListBullet"/>
        <w:spacing w:after="40"/>
      </w:pPr>
      <w:r>
        <w:rPr>
          <w:sz w:val="21"/>
        </w:rPr>
        <w:t>Ukupan raspon rezultata izmedju najslabije i najbolje iteracije iznosi svega 0.33 p.p. tacnosti, sto pokazuje da je zadatak stabilan i da rezultat ne ovisi presudno o izboru konfiguracije.</w:t>
      </w:r>
    </w:p>
    <w:p>
      <w:pPr>
        <w:spacing w:before="320" w:after="80"/>
      </w:pPr>
      <w:r>
        <w:rPr>
          <w:b/>
          <w:color w:val="1B365D"/>
          <w:sz w:val="28"/>
        </w:rPr>
        <w:t>2. Podaci</w:t>
      </w:r>
    </w:p>
    <w:p>
      <w:pPr>
        <w:pBdr>
          <w:bottom w:val="single" w:sz="12" w:space="1" w:color="1B365D"/>
        </w:pBdr>
        <w:spacing w:after="200"/>
      </w:pPr>
    </w:p>
    <w:p>
      <w:pPr>
        <w:spacing w:before="200" w:after="60"/>
      </w:pPr>
      <w:r>
        <w:rPr>
          <w:b/>
          <w:color w:val="1F6FB2"/>
          <w:sz w:val="23"/>
        </w:rPr>
        <w:t>2.1 Porijeklo i struktura</w:t>
      </w:r>
    </w:p>
    <w:p>
      <w:r>
        <w:rPr>
          <w:i w:val="0"/>
          <w:sz w:val="21"/>
        </w:rPr>
        <w:t>Podaci su generisani vlastitom implementacijom Q-learning agenta koji uci parkirati u simuliranom okruzenju. Svaka epizoda predstavlja jedan pokusaj parkiranja i biljezi se kao jedan zapis. Uz ishod epizode, zapis sadrzi karakteristike generisane mape (broj prepreka, gustoca parkiranih vozila, gustoca prepreka na cesti), stanje agenta na pocetku epizode (nivo iskustva, broj prethodnih epizoda, vrijednost epsilon) i skup ordinalnih ocjena ranog ponasanja agenta unutar epizode. Buduci da se tezina mape nasumicno varira po epizodi, dataset sadrzi stvarnu varijaciju tezine, pa ishod ovisi i o okolini i o dostignutoj vjestini agenta.</w:t>
      </w:r>
    </w:p>
    <w:p>
      <w:pPr>
        <w:spacing w:before="160" w:after="60"/>
      </w:pPr>
      <w:r>
        <w:rPr>
          <w:b/>
          <w:color w:val="1B365D"/>
          <w:sz w:val="19"/>
        </w:rPr>
        <w:t xml:space="preserve">Tabela 1. </w:t>
      </w:r>
      <w:r>
        <w:rPr>
          <w:color w:val="5A5A5A"/>
          <w:sz w:val="19"/>
        </w:rPr>
        <w:t>Osnovni pokazatelji dataseta.</w:t>
      </w:r>
    </w:p>
    <w:tbl>
      <w:tblPr>
        <w:tblStyle w:val="TableGrid"/>
        <w:tblW w:type="auto" w:w="0"/>
        <w:jc w:val="center"/>
        <w:tblLook w:firstColumn="1" w:firstRow="1" w:lastColumn="0" w:lastRow="0" w:noHBand="0" w:noVBand="1" w:val="04A0"/>
      </w:tblPr>
      <w:tblGrid>
        <w:gridCol w:w="4608"/>
        <w:gridCol w:w="4608"/>
      </w:tblGrid>
      <w:tr>
        <w:tc>
          <w:tcPr>
            <w:tcW w:type="dxa" w:w="4896"/>
            <w:shd w:val="clear" w:fill="1B365D"/>
          </w:tcPr>
          <w:p>
            <w:pPr>
              <w:spacing w:after="40" w:before="40"/>
            </w:pPr>
            <w:r>
              <w:rPr>
                <w:b/>
                <w:color w:val="FFFFFF"/>
                <w:sz w:val="19"/>
              </w:rPr>
              <w:t>Pokazatelj</w:t>
            </w:r>
          </w:p>
        </w:tc>
        <w:tc>
          <w:tcPr>
            <w:tcW w:type="dxa" w:w="4176"/>
            <w:shd w:val="clear" w:fill="1B365D"/>
          </w:tcPr>
          <w:p>
            <w:pPr>
              <w:spacing w:after="40" w:before="40"/>
            </w:pPr>
            <w:r>
              <w:rPr>
                <w:b/>
                <w:color w:val="FFFFFF"/>
                <w:sz w:val="19"/>
              </w:rPr>
              <w:t>Vrijednost</w:t>
            </w:r>
          </w:p>
        </w:tc>
      </w:tr>
      <w:tr>
        <w:tc>
          <w:tcPr>
            <w:tcW w:type="dxa" w:w="4896"/>
          </w:tcPr>
          <w:p>
            <w:pPr>
              <w:spacing w:after="40" w:before="40"/>
            </w:pPr>
            <w:r>
              <w:rPr>
                <w:b w:val="0"/>
                <w:sz w:val="19"/>
              </w:rPr>
              <w:t>Broj zapisa (epizoda)</w:t>
            </w:r>
          </w:p>
        </w:tc>
        <w:tc>
          <w:tcPr>
            <w:tcW w:type="dxa" w:w="4176"/>
          </w:tcPr>
          <w:p>
            <w:pPr>
              <w:spacing w:after="40" w:before="40"/>
              <w:jc w:val="center"/>
            </w:pPr>
            <w:r>
              <w:rPr>
                <w:b w:val="0"/>
                <w:sz w:val="19"/>
              </w:rPr>
              <w:t>31.165</w:t>
            </w:r>
          </w:p>
        </w:tc>
      </w:tr>
      <w:tr>
        <w:tc>
          <w:tcPr>
            <w:tcW w:type="dxa" w:w="4896"/>
            <w:shd w:val="clear" w:fill="F3F6FA"/>
          </w:tcPr>
          <w:p>
            <w:pPr>
              <w:spacing w:after="40" w:before="40"/>
            </w:pPr>
            <w:r>
              <w:rPr>
                <w:b w:val="0"/>
                <w:sz w:val="19"/>
              </w:rPr>
              <w:t>Broj kolona u izvornom datasetu</w:t>
            </w:r>
          </w:p>
        </w:tc>
        <w:tc>
          <w:tcPr>
            <w:tcW w:type="dxa" w:w="4176"/>
            <w:shd w:val="clear" w:fill="F3F6FA"/>
          </w:tcPr>
          <w:p>
            <w:pPr>
              <w:spacing w:after="40" w:before="40"/>
              <w:jc w:val="center"/>
            </w:pPr>
            <w:r>
              <w:rPr>
                <w:b w:val="0"/>
                <w:sz w:val="19"/>
              </w:rPr>
              <w:t>23</w:t>
            </w:r>
          </w:p>
        </w:tc>
      </w:tr>
      <w:tr>
        <w:tc>
          <w:tcPr>
            <w:tcW w:type="dxa" w:w="4896"/>
          </w:tcPr>
          <w:p>
            <w:pPr>
              <w:spacing w:after="40" w:before="40"/>
            </w:pPr>
            <w:r>
              <w:rPr>
                <w:b w:val="0"/>
                <w:sz w:val="19"/>
              </w:rPr>
              <w:t>Broj ulaznih varijabli u modelu</w:t>
            </w:r>
          </w:p>
        </w:tc>
        <w:tc>
          <w:tcPr>
            <w:tcW w:type="dxa" w:w="4176"/>
          </w:tcPr>
          <w:p>
            <w:pPr>
              <w:spacing w:after="40" w:before="40"/>
              <w:jc w:val="center"/>
            </w:pPr>
            <w:r>
              <w:rPr>
                <w:b w:val="0"/>
                <w:sz w:val="19"/>
              </w:rPr>
              <w:t>16</w:t>
            </w:r>
          </w:p>
        </w:tc>
      </w:tr>
      <w:tr>
        <w:tc>
          <w:tcPr>
            <w:tcW w:type="dxa" w:w="4896"/>
            <w:shd w:val="clear" w:fill="F3F6FA"/>
          </w:tcPr>
          <w:p>
            <w:pPr>
              <w:spacing w:after="40" w:before="40"/>
            </w:pPr>
            <w:r>
              <w:rPr>
                <w:b w:val="0"/>
                <w:sz w:val="19"/>
              </w:rPr>
              <w:t>Ciljna varijabla</w:t>
            </w:r>
          </w:p>
        </w:tc>
        <w:tc>
          <w:tcPr>
            <w:tcW w:type="dxa" w:w="4176"/>
            <w:shd w:val="clear" w:fill="F3F6FA"/>
          </w:tcPr>
          <w:p>
            <w:pPr>
              <w:spacing w:after="40" w:before="40"/>
              <w:jc w:val="center"/>
            </w:pPr>
            <w:r>
              <w:rPr>
                <w:b w:val="0"/>
                <w:sz w:val="19"/>
              </w:rPr>
              <w:t>ParkingSuccess (Parked / NotParked)</w:t>
            </w:r>
          </w:p>
        </w:tc>
      </w:tr>
      <w:tr>
        <w:tc>
          <w:tcPr>
            <w:tcW w:type="dxa" w:w="4896"/>
          </w:tcPr>
          <w:p>
            <w:pPr>
              <w:spacing w:after="40" w:before="40"/>
            </w:pPr>
            <w:r>
              <w:rPr>
                <w:b w:val="0"/>
                <w:sz w:val="19"/>
              </w:rPr>
              <w:t>Zapisa u skupu za treniranje</w:t>
            </w:r>
          </w:p>
        </w:tc>
        <w:tc>
          <w:tcPr>
            <w:tcW w:type="dxa" w:w="4176"/>
          </w:tcPr>
          <w:p>
            <w:pPr>
              <w:spacing w:after="40" w:before="40"/>
              <w:jc w:val="center"/>
            </w:pPr>
            <w:r>
              <w:rPr>
                <w:b w:val="0"/>
                <w:sz w:val="19"/>
              </w:rPr>
              <w:t>24.932</w:t>
            </w:r>
          </w:p>
        </w:tc>
      </w:tr>
      <w:tr>
        <w:tc>
          <w:tcPr>
            <w:tcW w:type="dxa" w:w="4896"/>
            <w:shd w:val="clear" w:fill="F3F6FA"/>
          </w:tcPr>
          <w:p>
            <w:pPr>
              <w:spacing w:after="40" w:before="40"/>
            </w:pPr>
            <w:r>
              <w:rPr>
                <w:b w:val="0"/>
                <w:sz w:val="19"/>
              </w:rPr>
              <w:t>Zapisa u skupu za testiranje</w:t>
            </w:r>
          </w:p>
        </w:tc>
        <w:tc>
          <w:tcPr>
            <w:tcW w:type="dxa" w:w="4176"/>
            <w:shd w:val="clear" w:fill="F3F6FA"/>
          </w:tcPr>
          <w:p>
            <w:pPr>
              <w:spacing w:after="40" w:before="40"/>
              <w:jc w:val="center"/>
            </w:pPr>
            <w:r>
              <w:rPr>
                <w:b w:val="0"/>
                <w:sz w:val="19"/>
              </w:rPr>
              <w:t>6.233</w:t>
            </w:r>
          </w:p>
        </w:tc>
      </w:tr>
    </w:tbl>
    <w:p>
      <w:pPr>
        <w:spacing w:after="0"/>
      </w:pPr>
    </w:p>
    <w:p>
      <w:pPr>
        <w:spacing w:before="200" w:after="60"/>
      </w:pPr>
      <w:r>
        <w:rPr>
          <w:b/>
          <w:color w:val="1F6FB2"/>
          <w:sz w:val="23"/>
        </w:rPr>
        <w:t>2.2 Raspodjela ciljne varijable</w:t>
      </w:r>
    </w:p>
    <w:p>
      <w:r>
        <w:rPr>
          <w:i w:val="0"/>
          <w:sz w:val="21"/>
        </w:rPr>
        <w:t>Ciljna varijabla je ParkingSuccess s dvije vrijednosti: Parked kada agent uspjesno zavrsi parkiranje i NotParked u svim ostalim slucajevima. Raspodjela klasa je umjereno neuravnotezena (60.5% naspram 39.5%), pri cemu je vecinska klasa Parked. Neuravnotezenost je uzeta u obzir stratifikovanom podjelom na skup za treniranje i testiranje.</w:t>
      </w:r>
    </w:p>
    <w:p>
      <w:pPr>
        <w:spacing w:before="160" w:after="60"/>
      </w:pPr>
      <w:r>
        <w:rPr>
          <w:b/>
          <w:color w:val="1B365D"/>
          <w:sz w:val="19"/>
        </w:rPr>
        <w:t xml:space="preserve">Tabela 2. </w:t>
      </w:r>
      <w:r>
        <w:rPr>
          <w:color w:val="5A5A5A"/>
          <w:sz w:val="19"/>
        </w:rPr>
        <w:t>Raspodjela klasa ciljne varijable.</w:t>
      </w:r>
    </w:p>
    <w:tbl>
      <w:tblPr>
        <w:tblStyle w:val="TableGrid"/>
        <w:tblW w:type="auto" w:w="0"/>
        <w:jc w:val="center"/>
        <w:tblLook w:firstColumn="1" w:firstRow="1" w:lastColumn="0" w:lastRow="0" w:noHBand="0" w:noVBand="1" w:val="04A0"/>
      </w:tblPr>
      <w:tblGrid>
        <w:gridCol w:w="3072"/>
        <w:gridCol w:w="3072"/>
        <w:gridCol w:w="3072"/>
      </w:tblGrid>
      <w:tr>
        <w:tc>
          <w:tcPr>
            <w:tcW w:type="dxa" w:w="3024"/>
            <w:shd w:val="clear" w:fill="1B365D"/>
          </w:tcPr>
          <w:p>
            <w:pPr>
              <w:spacing w:after="40" w:before="40"/>
            </w:pPr>
            <w:r>
              <w:rPr>
                <w:b/>
                <w:color w:val="FFFFFF"/>
                <w:sz w:val="19"/>
              </w:rPr>
              <w:t>Klasa</w:t>
            </w:r>
          </w:p>
        </w:tc>
        <w:tc>
          <w:tcPr>
            <w:tcW w:type="dxa" w:w="3024"/>
            <w:shd w:val="clear" w:fill="1B365D"/>
          </w:tcPr>
          <w:p>
            <w:pPr>
              <w:spacing w:after="40" w:before="40"/>
            </w:pPr>
            <w:r>
              <w:rPr>
                <w:b/>
                <w:color w:val="FFFFFF"/>
                <w:sz w:val="19"/>
              </w:rPr>
              <w:t>Broj epizoda</w:t>
            </w:r>
          </w:p>
        </w:tc>
        <w:tc>
          <w:tcPr>
            <w:tcW w:type="dxa" w:w="3024"/>
            <w:shd w:val="clear" w:fill="1B365D"/>
          </w:tcPr>
          <w:p>
            <w:pPr>
              <w:spacing w:after="40" w:before="40"/>
            </w:pPr>
            <w:r>
              <w:rPr>
                <w:b/>
                <w:color w:val="FFFFFF"/>
                <w:sz w:val="19"/>
              </w:rPr>
              <w:t>Udio</w:t>
            </w:r>
          </w:p>
        </w:tc>
      </w:tr>
      <w:tr>
        <w:tc>
          <w:tcPr>
            <w:tcW w:type="dxa" w:w="3024"/>
          </w:tcPr>
          <w:p>
            <w:pPr>
              <w:spacing w:after="40" w:before="40"/>
            </w:pPr>
            <w:r>
              <w:rPr>
                <w:b w:val="0"/>
                <w:sz w:val="19"/>
              </w:rPr>
              <w:t>Parked</w:t>
            </w:r>
          </w:p>
        </w:tc>
        <w:tc>
          <w:tcPr>
            <w:tcW w:type="dxa" w:w="3024"/>
          </w:tcPr>
          <w:p>
            <w:pPr>
              <w:spacing w:after="40" w:before="40"/>
              <w:jc w:val="center"/>
            </w:pPr>
            <w:r>
              <w:rPr>
                <w:b w:val="0"/>
                <w:sz w:val="19"/>
              </w:rPr>
              <w:t>18.840</w:t>
            </w:r>
          </w:p>
        </w:tc>
        <w:tc>
          <w:tcPr>
            <w:tcW w:type="dxa" w:w="3024"/>
          </w:tcPr>
          <w:p>
            <w:pPr>
              <w:spacing w:after="40" w:before="40"/>
              <w:jc w:val="center"/>
            </w:pPr>
            <w:r>
              <w:rPr>
                <w:b w:val="0"/>
                <w:sz w:val="19"/>
              </w:rPr>
              <w:t>60.5%</w:t>
            </w:r>
          </w:p>
        </w:tc>
      </w:tr>
      <w:tr>
        <w:tc>
          <w:tcPr>
            <w:tcW w:type="dxa" w:w="3024"/>
            <w:shd w:val="clear" w:fill="F3F6FA"/>
          </w:tcPr>
          <w:p>
            <w:pPr>
              <w:spacing w:after="40" w:before="40"/>
            </w:pPr>
            <w:r>
              <w:rPr>
                <w:b w:val="0"/>
                <w:sz w:val="19"/>
              </w:rPr>
              <w:t>NotParked</w:t>
            </w:r>
          </w:p>
        </w:tc>
        <w:tc>
          <w:tcPr>
            <w:tcW w:type="dxa" w:w="3024"/>
            <w:shd w:val="clear" w:fill="F3F6FA"/>
          </w:tcPr>
          <w:p>
            <w:pPr>
              <w:spacing w:after="40" w:before="40"/>
              <w:jc w:val="center"/>
            </w:pPr>
            <w:r>
              <w:rPr>
                <w:b w:val="0"/>
                <w:sz w:val="19"/>
              </w:rPr>
              <w:t>12.325</w:t>
            </w:r>
          </w:p>
        </w:tc>
        <w:tc>
          <w:tcPr>
            <w:tcW w:type="dxa" w:w="3024"/>
            <w:shd w:val="clear" w:fill="F3F6FA"/>
          </w:tcPr>
          <w:p>
            <w:pPr>
              <w:spacing w:after="40" w:before="40"/>
              <w:jc w:val="center"/>
            </w:pPr>
            <w:r>
              <w:rPr>
                <w:b w:val="0"/>
                <w:sz w:val="19"/>
              </w:rPr>
              <w:t>39.5%</w:t>
            </w:r>
          </w:p>
        </w:tc>
      </w:tr>
      <w:tr>
        <w:tc>
          <w:tcPr>
            <w:tcW w:type="dxa" w:w="3024"/>
          </w:tcPr>
          <w:p>
            <w:pPr>
              <w:spacing w:after="40" w:before="40"/>
            </w:pPr>
            <w:r>
              <w:rPr>
                <w:b w:val="0"/>
                <w:sz w:val="19"/>
              </w:rPr>
              <w:t>Ukupno</w:t>
            </w:r>
          </w:p>
        </w:tc>
        <w:tc>
          <w:tcPr>
            <w:tcW w:type="dxa" w:w="3024"/>
          </w:tcPr>
          <w:p>
            <w:pPr>
              <w:spacing w:after="40" w:before="40"/>
              <w:jc w:val="center"/>
            </w:pPr>
            <w:r>
              <w:rPr>
                <w:b w:val="0"/>
                <w:sz w:val="19"/>
              </w:rPr>
              <w:t>31.165</w:t>
            </w:r>
          </w:p>
        </w:tc>
        <w:tc>
          <w:tcPr>
            <w:tcW w:type="dxa" w:w="3024"/>
          </w:tcPr>
          <w:p>
            <w:pPr>
              <w:spacing w:after="40" w:before="40"/>
              <w:jc w:val="center"/>
            </w:pPr>
            <w:r>
              <w:rPr>
                <w:b w:val="0"/>
                <w:sz w:val="19"/>
              </w:rPr>
              <w:t>100.0%</w:t>
            </w:r>
          </w:p>
        </w:tc>
      </w:tr>
    </w:tbl>
    <w:p>
      <w:pPr>
        <w:spacing w:after="0"/>
      </w:pPr>
    </w:p>
    <w:p>
      <w:pPr>
        <w:spacing w:before="160" w:after="40"/>
        <w:jc w:val="center"/>
      </w:pPr>
      <w:r>
        <w:drawing>
          <wp:inline xmlns:a="http://schemas.openxmlformats.org/drawingml/2006/main" xmlns:pic="http://schemas.openxmlformats.org/drawingml/2006/picture">
            <wp:extent cx="3291840" cy="2179040"/>
            <wp:docPr id="1" name="Picture 1"/>
            <wp:cNvGraphicFramePr>
              <a:graphicFrameLocks noChangeAspect="1"/>
            </wp:cNvGraphicFramePr>
            <a:graphic>
              <a:graphicData uri="http://schemas.openxmlformats.org/drawingml/2006/picture">
                <pic:pic>
                  <pic:nvPicPr>
                    <pic:cNvPr id="0" name="graf_01_distribucija_ciljne.png"/>
                    <pic:cNvPicPr/>
                  </pic:nvPicPr>
                  <pic:blipFill>
                    <a:blip r:embed="rId10"/>
                    <a:stretch>
                      <a:fillRect/>
                    </a:stretch>
                  </pic:blipFill>
                  <pic:spPr>
                    <a:xfrm>
                      <a:off x="0" y="0"/>
                      <a:ext cx="3291840" cy="2179040"/>
                    </a:xfrm>
                    <a:prstGeom prst="rect"/>
                  </pic:spPr>
                </pic:pic>
              </a:graphicData>
            </a:graphic>
          </wp:inline>
        </w:drawing>
      </w:r>
    </w:p>
    <w:p>
      <w:pPr>
        <w:spacing w:after="200"/>
        <w:jc w:val="center"/>
      </w:pPr>
      <w:r>
        <w:rPr>
          <w:b/>
          <w:color w:val="1B365D"/>
          <w:sz w:val="18"/>
        </w:rPr>
        <w:t xml:space="preserve">Slika 1. </w:t>
      </w:r>
      <w:r>
        <w:rPr>
          <w:color w:val="5A5A5A"/>
          <w:sz w:val="18"/>
        </w:rPr>
        <w:t>Raspodjela ciljne varijable ParkingSuccess.</w:t>
      </w:r>
    </w:p>
    <w:p>
      <w:pPr>
        <w:spacing w:before="200" w:after="60"/>
      </w:pPr>
      <w:r>
        <w:rPr>
          <w:b/>
          <w:color w:val="1F6FB2"/>
          <w:sz w:val="23"/>
        </w:rPr>
        <w:t>2.3 Kvalitet podataka</w:t>
      </w:r>
    </w:p>
    <w:p>
      <w:r>
        <w:rPr>
          <w:i w:val="0"/>
          <w:sz w:val="21"/>
        </w:rPr>
        <w:t>Nedostajuce vrijednosti utvrdjene su u sljedecim kolonama:</w:t>
      </w:r>
    </w:p>
    <w:p>
      <w:pPr>
        <w:spacing w:before="160" w:after="60"/>
      </w:pPr>
      <w:r>
        <w:rPr>
          <w:b/>
          <w:color w:val="1B365D"/>
          <w:sz w:val="19"/>
        </w:rPr>
        <w:t xml:space="preserve">Tabela 3. </w:t>
      </w:r>
      <w:r>
        <w:rPr>
          <w:color w:val="5A5A5A"/>
          <w:sz w:val="19"/>
        </w:rPr>
        <w:t>Kolone s nedostajucim vrijednostima.</w:t>
      </w:r>
    </w:p>
    <w:tbl>
      <w:tblPr>
        <w:tblStyle w:val="TableGrid"/>
        <w:tblW w:type="auto" w:w="0"/>
        <w:jc w:val="center"/>
        <w:tblLook w:firstColumn="1" w:firstRow="1" w:lastColumn="0" w:lastRow="0" w:noHBand="0" w:noVBand="1" w:val="04A0"/>
      </w:tblPr>
      <w:tblGrid>
        <w:gridCol w:w="2304"/>
        <w:gridCol w:w="2304"/>
        <w:gridCol w:w="2304"/>
        <w:gridCol w:w="2304"/>
      </w:tblGrid>
      <w:tr>
        <w:tc>
          <w:tcPr>
            <w:tcW w:type="dxa" w:w="3024"/>
            <w:shd w:val="clear" w:fill="1B365D"/>
          </w:tcPr>
          <w:p>
            <w:pPr>
              <w:spacing w:after="40" w:before="40"/>
            </w:pPr>
            <w:r>
              <w:rPr>
                <w:b/>
                <w:color w:val="FFFFFF"/>
                <w:sz w:val="19"/>
              </w:rPr>
              <w:t>Kolona</w:t>
            </w:r>
          </w:p>
        </w:tc>
        <w:tc>
          <w:tcPr>
            <w:tcW w:type="dxa" w:w="1728"/>
            <w:shd w:val="clear" w:fill="1B365D"/>
          </w:tcPr>
          <w:p>
            <w:pPr>
              <w:spacing w:after="40" w:before="40"/>
            </w:pPr>
            <w:r>
              <w:rPr>
                <w:b/>
                <w:color w:val="FFFFFF"/>
                <w:sz w:val="19"/>
              </w:rPr>
              <w:t>Nedostaje</w:t>
            </w:r>
          </w:p>
        </w:tc>
        <w:tc>
          <w:tcPr>
            <w:tcW w:type="dxa" w:w="1584"/>
            <w:shd w:val="clear" w:fill="1B365D"/>
          </w:tcPr>
          <w:p>
            <w:pPr>
              <w:spacing w:after="40" w:before="40"/>
            </w:pPr>
            <w:r>
              <w:rPr>
                <w:b/>
                <w:color w:val="FFFFFF"/>
                <w:sz w:val="19"/>
              </w:rPr>
              <w:t>Udio</w:t>
            </w:r>
          </w:p>
        </w:tc>
        <w:tc>
          <w:tcPr>
            <w:tcW w:type="dxa" w:w="2880"/>
            <w:shd w:val="clear" w:fill="1B365D"/>
          </w:tcPr>
          <w:p>
            <w:pPr>
              <w:spacing w:after="40" w:before="40"/>
            </w:pPr>
            <w:r>
              <w:rPr>
                <w:b/>
                <w:color w:val="FFFFFF"/>
                <w:sz w:val="19"/>
              </w:rPr>
              <w:t>Postupak</w:t>
            </w:r>
          </w:p>
        </w:tc>
      </w:tr>
      <w:tr>
        <w:tc>
          <w:tcPr>
            <w:tcW w:type="dxa" w:w="3024"/>
          </w:tcPr>
          <w:p>
            <w:pPr>
              <w:spacing w:after="40" w:before="40"/>
            </w:pPr>
            <w:r>
              <w:rPr>
                <w:b w:val="0"/>
                <w:sz w:val="19"/>
              </w:rPr>
              <w:t>EarlyRewardSum</w:t>
            </w:r>
          </w:p>
        </w:tc>
        <w:tc>
          <w:tcPr>
            <w:tcW w:type="dxa" w:w="1728"/>
          </w:tcPr>
          <w:p>
            <w:pPr>
              <w:spacing w:after="40" w:before="40"/>
              <w:jc w:val="center"/>
            </w:pPr>
            <w:r>
              <w:rPr>
                <w:b w:val="0"/>
                <w:sz w:val="19"/>
              </w:rPr>
              <w:t>519</w:t>
            </w:r>
          </w:p>
        </w:tc>
        <w:tc>
          <w:tcPr>
            <w:tcW w:type="dxa" w:w="1584"/>
          </w:tcPr>
          <w:p>
            <w:pPr>
              <w:spacing w:after="40" w:before="40"/>
              <w:jc w:val="center"/>
            </w:pPr>
            <w:r>
              <w:rPr>
                <w:b w:val="0"/>
                <w:sz w:val="19"/>
              </w:rPr>
              <w:t>1.67%</w:t>
            </w:r>
          </w:p>
        </w:tc>
        <w:tc>
          <w:tcPr>
            <w:tcW w:type="dxa" w:w="2880"/>
          </w:tcPr>
          <w:p>
            <w:pPr>
              <w:spacing w:after="40" w:before="40"/>
              <w:jc w:val="center"/>
            </w:pPr>
            <w:r>
              <w:rPr>
                <w:b w:val="0"/>
                <w:sz w:val="19"/>
              </w:rPr>
              <w:t>imputacija medijanom (-6)</w:t>
            </w:r>
          </w:p>
        </w:tc>
      </w:tr>
      <w:tr>
        <w:tc>
          <w:tcPr>
            <w:tcW w:type="dxa" w:w="3024"/>
            <w:shd w:val="clear" w:fill="F3F6FA"/>
          </w:tcPr>
          <w:p>
            <w:pPr>
              <w:spacing w:after="40" w:before="40"/>
            </w:pPr>
            <w:r>
              <w:rPr>
                <w:b w:val="0"/>
                <w:sz w:val="19"/>
              </w:rPr>
              <w:t>DetourSteps</w:t>
            </w:r>
          </w:p>
        </w:tc>
        <w:tc>
          <w:tcPr>
            <w:tcW w:type="dxa" w:w="1728"/>
            <w:shd w:val="clear" w:fill="F3F6FA"/>
          </w:tcPr>
          <w:p>
            <w:pPr>
              <w:spacing w:after="40" w:before="40"/>
              <w:jc w:val="center"/>
            </w:pPr>
            <w:r>
              <w:rPr>
                <w:b w:val="0"/>
                <w:sz w:val="19"/>
              </w:rPr>
              <w:t>12.325</w:t>
            </w:r>
          </w:p>
        </w:tc>
        <w:tc>
          <w:tcPr>
            <w:tcW w:type="dxa" w:w="1584"/>
            <w:shd w:val="clear" w:fill="F3F6FA"/>
          </w:tcPr>
          <w:p>
            <w:pPr>
              <w:spacing w:after="40" w:before="40"/>
              <w:jc w:val="center"/>
            </w:pPr>
            <w:r>
              <w:rPr>
                <w:b w:val="0"/>
                <w:sz w:val="19"/>
              </w:rPr>
              <w:t>39.55%</w:t>
            </w:r>
          </w:p>
        </w:tc>
        <w:tc>
          <w:tcPr>
            <w:tcW w:type="dxa" w:w="2880"/>
            <w:shd w:val="clear" w:fill="F3F6FA"/>
          </w:tcPr>
          <w:p>
            <w:pPr>
              <w:spacing w:after="40" w:before="40"/>
              <w:jc w:val="center"/>
            </w:pPr>
            <w:r>
              <w:rPr>
                <w:b w:val="0"/>
                <w:sz w:val="19"/>
              </w:rPr>
              <w:t>kolona iskljucena iz modela</w:t>
            </w:r>
          </w:p>
        </w:tc>
      </w:tr>
    </w:tbl>
    <w:p>
      <w:pPr>
        <w:spacing w:after="0"/>
      </w:pPr>
    </w:p>
    <w:p>
      <w:r>
        <w:rPr>
          <w:i w:val="0"/>
          <w:sz w:val="21"/>
        </w:rPr>
        <w:t>Varijable su mjesovitog tipa: kontinuirane (gustoce), cjelobrojne (broj prepreka, broj epizoda), ordinalne ocjene u rasponu 0-5 i kategoricke oznake. Korelacija izmedju ObstacleCount i PathObstacles iznosi r=1.00, zbog cega je druga varijabla iskljucena iz modela.</w:t>
      </w:r>
    </w:p>
    <w:p>
      <w:pPr>
        <w:spacing w:before="320" w:after="80"/>
      </w:pPr>
      <w:r>
        <w:rPr>
          <w:b/>
          <w:color w:val="1B365D"/>
          <w:sz w:val="28"/>
        </w:rPr>
        <w:t>3. Metodologija</w:t>
      </w:r>
    </w:p>
    <w:p>
      <w:pPr>
        <w:pBdr>
          <w:bottom w:val="single" w:sz="12" w:space="1" w:color="1B365D"/>
        </w:pBdr>
        <w:spacing w:after="200"/>
      </w:pPr>
    </w:p>
    <w:p>
      <w:pPr>
        <w:spacing w:before="200" w:after="60"/>
      </w:pPr>
      <w:r>
        <w:rPr>
          <w:b/>
          <w:color w:val="1F6FB2"/>
          <w:sz w:val="23"/>
        </w:rPr>
        <w:t>3.1 Priprema podataka</w:t>
      </w:r>
    </w:p>
    <w:p>
      <w:pPr>
        <w:pStyle w:val="ListBullet"/>
        <w:spacing w:after="40"/>
      </w:pPr>
      <w:r>
        <w:rPr>
          <w:sz w:val="21"/>
        </w:rPr>
        <w:t>Kategoricke varijable pretvorene su u numericki oblik postupkom LabelEncoder.</w:t>
      </w:r>
    </w:p>
    <w:p>
      <w:pPr>
        <w:pStyle w:val="ListBullet"/>
        <w:spacing w:after="40"/>
      </w:pPr>
      <w:r>
        <w:rPr>
          <w:sz w:val="21"/>
        </w:rPr>
        <w:t>Nedostajuce vrijednosti popunjene su medijanom odgovarajuce kolone.</w:t>
      </w:r>
    </w:p>
    <w:p>
      <w:pPr>
        <w:pStyle w:val="ListBullet"/>
        <w:spacing w:after="40"/>
      </w:pPr>
      <w:r>
        <w:rPr>
          <w:sz w:val="21"/>
        </w:rPr>
        <w:t>Iskljucene su varijable koje cure informaciju o ishodu ili su redundantne.</w:t>
      </w:r>
    </w:p>
    <w:p>
      <w:pPr>
        <w:pStyle w:val="ListBullet"/>
        <w:spacing w:after="40"/>
      </w:pPr>
      <w:r>
        <w:rPr>
          <w:sz w:val="21"/>
        </w:rPr>
        <w:t>Za logisticku regresiju ulazi su standardizovani postupkom StandardScaler; Random Forest ne zahtijeva skaliranje.</w:t>
      </w:r>
    </w:p>
    <w:p>
      <w:pPr>
        <w:pStyle w:val="ListBullet"/>
        <w:spacing w:after="40"/>
      </w:pPr>
      <w:r>
        <w:rPr>
          <w:sz w:val="21"/>
        </w:rPr>
        <w:t>Podjela na skup za treniranje i testiranje izvrsena je stratifikovano, uz fiksiranu vrijednost random_state radi ponovljivosti rezultata.</w:t>
      </w:r>
    </w:p>
    <w:p>
      <w:pPr>
        <w:spacing w:before="200" w:after="60"/>
      </w:pPr>
      <w:r>
        <w:rPr>
          <w:b/>
          <w:color w:val="1F6FB2"/>
          <w:sz w:val="23"/>
        </w:rPr>
        <w:t>3.2 Izbor ulaznih varijabli</w:t>
      </w:r>
    </w:p>
    <w:p>
      <w:r>
        <w:rPr>
          <w:i w:val="0"/>
          <w:sz w:val="21"/>
        </w:rPr>
        <w:t>Iz skupa ulaznih varijabli uklonjene su one koje bi modelu otkrile ishod epizode prije nego sto je on stvarno poznat, kao i one koje ne nose dodatnu informaciju. Bez ovog koraka model bi postizao neuporedivo bolje rezultate koji ne bi imali prakticnu vrijednost, jer u stvarnoj primjeni te vrijednosti u trenutku predikcije nisu dostupne.</w:t>
      </w:r>
    </w:p>
    <w:p>
      <w:pPr>
        <w:spacing w:before="160" w:after="60"/>
      </w:pPr>
      <w:r>
        <w:rPr>
          <w:b/>
          <w:color w:val="1B365D"/>
          <w:sz w:val="19"/>
        </w:rPr>
        <w:t xml:space="preserve">Tabela 4. </w:t>
      </w:r>
      <w:r>
        <w:rPr>
          <w:color w:val="5A5A5A"/>
          <w:sz w:val="19"/>
        </w:rPr>
        <w:t>Iskljucene varijable i obrazlozenje.</w:t>
      </w:r>
    </w:p>
    <w:tbl>
      <w:tblPr>
        <w:tblStyle w:val="TableGrid"/>
        <w:tblW w:type="auto" w:w="0"/>
        <w:jc w:val="center"/>
        <w:tblLook w:firstColumn="1" w:firstRow="1" w:lastColumn="0" w:lastRow="0" w:noHBand="0" w:noVBand="1" w:val="04A0"/>
      </w:tblPr>
      <w:tblGrid>
        <w:gridCol w:w="4608"/>
        <w:gridCol w:w="4608"/>
      </w:tblGrid>
      <w:tr>
        <w:tc>
          <w:tcPr>
            <w:tcW w:type="dxa" w:w="2736"/>
            <w:shd w:val="clear" w:fill="1B365D"/>
          </w:tcPr>
          <w:p>
            <w:pPr>
              <w:spacing w:after="40" w:before="40"/>
            </w:pPr>
            <w:r>
              <w:rPr>
                <w:b/>
                <w:color w:val="FFFFFF"/>
                <w:sz w:val="19"/>
              </w:rPr>
              <w:t>Varijabla</w:t>
            </w:r>
          </w:p>
        </w:tc>
        <w:tc>
          <w:tcPr>
            <w:tcW w:type="dxa" w:w="6336"/>
            <w:shd w:val="clear" w:fill="1B365D"/>
          </w:tcPr>
          <w:p>
            <w:pPr>
              <w:spacing w:after="40" w:before="40"/>
            </w:pPr>
            <w:r>
              <w:rPr>
                <w:b/>
                <w:color w:val="FFFFFF"/>
                <w:sz w:val="19"/>
              </w:rPr>
              <w:t>Razlog iskljucenja</w:t>
            </w:r>
          </w:p>
        </w:tc>
      </w:tr>
      <w:tr>
        <w:tc>
          <w:tcPr>
            <w:tcW w:type="dxa" w:w="2736"/>
          </w:tcPr>
          <w:p>
            <w:pPr>
              <w:spacing w:after="40" w:before="40"/>
            </w:pPr>
            <w:r>
              <w:rPr>
                <w:b w:val="0"/>
                <w:sz w:val="19"/>
              </w:rPr>
              <w:t>ID</w:t>
            </w:r>
          </w:p>
        </w:tc>
        <w:tc>
          <w:tcPr>
            <w:tcW w:type="dxa" w:w="6336"/>
          </w:tcPr>
          <w:p>
            <w:pPr>
              <w:spacing w:after="40" w:before="40"/>
            </w:pPr>
            <w:r>
              <w:rPr>
                <w:b w:val="0"/>
                <w:sz w:val="19"/>
              </w:rPr>
              <w:t>Redni broj epizode; nema prediktivnu vrijednost.</w:t>
            </w:r>
          </w:p>
        </w:tc>
      </w:tr>
      <w:tr>
        <w:tc>
          <w:tcPr>
            <w:tcW w:type="dxa" w:w="2736"/>
            <w:shd w:val="clear" w:fill="F3F6FA"/>
          </w:tcPr>
          <w:p>
            <w:pPr>
              <w:spacing w:after="40" w:before="40"/>
            </w:pPr>
            <w:r>
              <w:rPr>
                <w:b w:val="0"/>
                <w:sz w:val="19"/>
              </w:rPr>
              <w:t>Outcome</w:t>
            </w:r>
          </w:p>
        </w:tc>
        <w:tc>
          <w:tcPr>
            <w:tcW w:type="dxa" w:w="6336"/>
            <w:shd w:val="clear" w:fill="F3F6FA"/>
          </w:tcPr>
          <w:p>
            <w:pPr>
              <w:spacing w:after="40" w:before="40"/>
            </w:pPr>
            <w:r>
              <w:rPr>
                <w:b w:val="0"/>
                <w:sz w:val="19"/>
              </w:rPr>
              <w:t>Tekstualni ishod epizode iz kojeg je izvedena ciljna varijabla (curenje informacije).</w:t>
            </w:r>
          </w:p>
        </w:tc>
      </w:tr>
      <w:tr>
        <w:tc>
          <w:tcPr>
            <w:tcW w:type="dxa" w:w="2736"/>
          </w:tcPr>
          <w:p>
            <w:pPr>
              <w:spacing w:after="40" w:before="40"/>
            </w:pPr>
            <w:r>
              <w:rPr>
                <w:b w:val="0"/>
                <w:sz w:val="19"/>
              </w:rPr>
              <w:t>TotalSteps</w:t>
            </w:r>
          </w:p>
        </w:tc>
        <w:tc>
          <w:tcPr>
            <w:tcW w:type="dxa" w:w="6336"/>
          </w:tcPr>
          <w:p>
            <w:pPr>
              <w:spacing w:after="40" w:before="40"/>
            </w:pPr>
            <w:r>
              <w:rPr>
                <w:b w:val="0"/>
                <w:sz w:val="19"/>
              </w:rPr>
              <w:t>Poznat tek po zavrsetku epizode; ishod ga direktno determinira.</w:t>
            </w:r>
          </w:p>
        </w:tc>
      </w:tr>
      <w:tr>
        <w:tc>
          <w:tcPr>
            <w:tcW w:type="dxa" w:w="2736"/>
            <w:shd w:val="clear" w:fill="F3F6FA"/>
          </w:tcPr>
          <w:p>
            <w:pPr>
              <w:spacing w:after="40" w:before="40"/>
            </w:pPr>
            <w:r>
              <w:rPr>
                <w:b w:val="0"/>
                <w:sz w:val="19"/>
              </w:rPr>
              <w:t>DetourSteps</w:t>
            </w:r>
          </w:p>
        </w:tc>
        <w:tc>
          <w:tcPr>
            <w:tcW w:type="dxa" w:w="6336"/>
            <w:shd w:val="clear" w:fill="F3F6FA"/>
          </w:tcPr>
          <w:p>
            <w:pPr>
              <w:spacing w:after="40" w:before="40"/>
            </w:pPr>
            <w:r>
              <w:rPr>
                <w:b w:val="0"/>
                <w:sz w:val="19"/>
              </w:rPr>
              <w:t>Definisan samo za uspjesne epizode; nedostupan u trenutku predikcije.</w:t>
            </w:r>
          </w:p>
        </w:tc>
      </w:tr>
      <w:tr>
        <w:tc>
          <w:tcPr>
            <w:tcW w:type="dxa" w:w="2736"/>
          </w:tcPr>
          <w:p>
            <w:pPr>
              <w:spacing w:after="40" w:before="40"/>
            </w:pPr>
            <w:r>
              <w:rPr>
                <w:b w:val="0"/>
                <w:sz w:val="19"/>
              </w:rPr>
              <w:t>PathObstacles</w:t>
            </w:r>
          </w:p>
        </w:tc>
        <w:tc>
          <w:tcPr>
            <w:tcW w:type="dxa" w:w="6336"/>
          </w:tcPr>
          <w:p>
            <w:pPr>
              <w:spacing w:after="40" w:before="40"/>
            </w:pPr>
            <w:r>
              <w:rPr>
                <w:b w:val="0"/>
                <w:sz w:val="19"/>
              </w:rPr>
              <w:t>Korelacija r=1.00 s ObstacleCount; redundantna.</w:t>
            </w:r>
          </w:p>
        </w:tc>
      </w:tr>
      <w:tr>
        <w:tc>
          <w:tcPr>
            <w:tcW w:type="dxa" w:w="2736"/>
            <w:shd w:val="clear" w:fill="F3F6FA"/>
          </w:tcPr>
          <w:p>
            <w:pPr>
              <w:spacing w:after="40" w:before="40"/>
            </w:pPr>
            <w:r>
              <w:rPr>
                <w:b w:val="0"/>
                <w:sz w:val="19"/>
              </w:rPr>
              <w:t>GridTheme</w:t>
            </w:r>
          </w:p>
        </w:tc>
        <w:tc>
          <w:tcPr>
            <w:tcW w:type="dxa" w:w="6336"/>
            <w:shd w:val="clear" w:fill="F3F6FA"/>
          </w:tcPr>
          <w:p>
            <w:pPr>
              <w:spacing w:after="40" w:before="40"/>
            </w:pPr>
            <w:r>
              <w:rPr>
                <w:b w:val="0"/>
                <w:sz w:val="19"/>
              </w:rPr>
              <w:t>Vizuelna oznaka teme prikaza; bez uticaja na dinamiku epizode.</w:t>
            </w:r>
          </w:p>
        </w:tc>
      </w:tr>
    </w:tbl>
    <w:p>
      <w:pPr>
        <w:spacing w:after="0"/>
      </w:pPr>
    </w:p>
    <w:p>
      <w:pPr>
        <w:spacing w:before="160" w:after="40"/>
        <w:jc w:val="center"/>
      </w:pPr>
      <w:r>
        <w:drawing>
          <wp:inline xmlns:a="http://schemas.openxmlformats.org/drawingml/2006/main" xmlns:pic="http://schemas.openxmlformats.org/drawingml/2006/picture">
            <wp:extent cx="3931920" cy="3068286"/>
            <wp:docPr id="2" name="Picture 2"/>
            <wp:cNvGraphicFramePr>
              <a:graphicFrameLocks noChangeAspect="1"/>
            </wp:cNvGraphicFramePr>
            <a:graphic>
              <a:graphicData uri="http://schemas.openxmlformats.org/drawingml/2006/picture">
                <pic:pic>
                  <pic:nvPicPr>
                    <pic:cNvPr id="0" name="graf_03_korelacijska_matrica.png"/>
                    <pic:cNvPicPr/>
                  </pic:nvPicPr>
                  <pic:blipFill>
                    <a:blip r:embed="rId11"/>
                    <a:stretch>
                      <a:fillRect/>
                    </a:stretch>
                  </pic:blipFill>
                  <pic:spPr>
                    <a:xfrm>
                      <a:off x="0" y="0"/>
                      <a:ext cx="3931920" cy="3068286"/>
                    </a:xfrm>
                    <a:prstGeom prst="rect"/>
                  </pic:spPr>
                </pic:pic>
              </a:graphicData>
            </a:graphic>
          </wp:inline>
        </w:drawing>
      </w:r>
    </w:p>
    <w:p>
      <w:pPr>
        <w:spacing w:after="200"/>
        <w:jc w:val="center"/>
      </w:pPr>
      <w:r>
        <w:rPr>
          <w:b/>
          <w:color w:val="1B365D"/>
          <w:sz w:val="18"/>
        </w:rPr>
        <w:t xml:space="preserve">Slika 2. </w:t>
      </w:r>
      <w:r>
        <w:rPr>
          <w:color w:val="5A5A5A"/>
          <w:sz w:val="18"/>
        </w:rPr>
        <w:t>Korelacijska matrica ordinalnih ocjena ponasanja agenta (0-5).</w:t>
      </w:r>
    </w:p>
    <w:p>
      <w:pPr>
        <w:spacing w:before="200" w:after="60"/>
      </w:pPr>
      <w:r>
        <w:rPr>
          <w:b/>
          <w:color w:val="1F6FB2"/>
          <w:sz w:val="23"/>
        </w:rPr>
        <w:t>3.3 Modeli</w:t>
      </w:r>
    </w:p>
    <w:p>
      <w:r>
        <w:rPr>
          <w:i w:val="0"/>
          <w:sz w:val="21"/>
        </w:rPr>
        <w:t>Poredjena su tri klasifikatora razlicite prirode. Random Forest je ansambl odluke stabala sposoban da modelira nelinearne odnose i interakcije medju varijablama. Logisticka regresija je linearni model koji sluzi kao referentna vrijednost: ako slozeniji model ne donosi znacajan napredak u odnosu na nju, dodatna slozenost nije opravdana. Gradient Boosting je drugi ansambl stabala, koji ih gradi uzastopno tako da svako naredno stablo ispravlja greske prethodnih, i sluzi kao kontrola da postignuti rezultat nije svojstven samo jednom algoritmu.</w:t>
      </w:r>
    </w:p>
    <w:p>
      <w:pPr>
        <w:spacing w:before="160" w:after="60"/>
      </w:pPr>
      <w:r>
        <w:rPr>
          <w:b/>
          <w:color w:val="1B365D"/>
          <w:sz w:val="19"/>
        </w:rPr>
        <w:t xml:space="preserve">Tabela 5. </w:t>
      </w:r>
      <w:r>
        <w:rPr>
          <w:color w:val="5A5A5A"/>
          <w:sz w:val="19"/>
        </w:rPr>
        <w:t>Konfiguracija poredjenih modela.</w:t>
      </w:r>
    </w:p>
    <w:tbl>
      <w:tblPr>
        <w:tblStyle w:val="TableGrid"/>
        <w:tblW w:type="auto" w:w="0"/>
        <w:jc w:val="center"/>
        <w:tblLook w:firstColumn="1" w:firstRow="1" w:lastColumn="0" w:lastRow="0" w:noHBand="0" w:noVBand="1" w:val="04A0"/>
      </w:tblPr>
      <w:tblGrid>
        <w:gridCol w:w="3072"/>
        <w:gridCol w:w="3072"/>
        <w:gridCol w:w="3072"/>
      </w:tblGrid>
      <w:tr>
        <w:tc>
          <w:tcPr>
            <w:tcW w:type="dxa" w:w="2448"/>
            <w:shd w:val="clear" w:fill="1B365D"/>
          </w:tcPr>
          <w:p>
            <w:pPr>
              <w:spacing w:after="40" w:before="40"/>
            </w:pPr>
            <w:r>
              <w:rPr>
                <w:b/>
                <w:color w:val="FFFFFF"/>
                <w:sz w:val="19"/>
              </w:rPr>
              <w:t>Model</w:t>
            </w:r>
          </w:p>
        </w:tc>
        <w:tc>
          <w:tcPr>
            <w:tcW w:type="dxa" w:w="2736"/>
            <w:shd w:val="clear" w:fill="1B365D"/>
          </w:tcPr>
          <w:p>
            <w:pPr>
              <w:spacing w:after="40" w:before="40"/>
            </w:pPr>
            <w:r>
              <w:rPr>
                <w:b/>
                <w:color w:val="FFFFFF"/>
                <w:sz w:val="19"/>
              </w:rPr>
              <w:t>Uloga</w:t>
            </w:r>
          </w:p>
        </w:tc>
        <w:tc>
          <w:tcPr>
            <w:tcW w:type="dxa" w:w="3888"/>
            <w:shd w:val="clear" w:fill="1B365D"/>
          </w:tcPr>
          <w:p>
            <w:pPr>
              <w:spacing w:after="40" w:before="40"/>
            </w:pPr>
            <w:r>
              <w:rPr>
                <w:b/>
                <w:color w:val="FFFFFF"/>
                <w:sz w:val="19"/>
              </w:rPr>
              <w:t>Kljucni parametri</w:t>
            </w:r>
          </w:p>
        </w:tc>
      </w:tr>
      <w:tr>
        <w:tc>
          <w:tcPr>
            <w:tcW w:type="dxa" w:w="2448"/>
          </w:tcPr>
          <w:p>
            <w:pPr>
              <w:spacing w:after="40" w:before="40"/>
            </w:pPr>
            <w:r>
              <w:rPr>
                <w:b w:val="0"/>
                <w:sz w:val="19"/>
              </w:rPr>
              <w:t>Random Forest</w:t>
            </w:r>
          </w:p>
        </w:tc>
        <w:tc>
          <w:tcPr>
            <w:tcW w:type="dxa" w:w="2736"/>
          </w:tcPr>
          <w:p>
            <w:pPr>
              <w:spacing w:after="40" w:before="40"/>
            </w:pPr>
            <w:r>
              <w:rPr>
                <w:b w:val="0"/>
                <w:sz w:val="19"/>
              </w:rPr>
              <w:t>Model u primjeni</w:t>
            </w:r>
          </w:p>
        </w:tc>
        <w:tc>
          <w:tcPr>
            <w:tcW w:type="dxa" w:w="3888"/>
          </w:tcPr>
          <w:p>
            <w:pPr>
              <w:spacing w:after="40" w:before="40"/>
            </w:pPr>
            <w:r>
              <w:rPr>
                <w:b w:val="0"/>
                <w:sz w:val="19"/>
              </w:rPr>
              <w:t>n_estimators=200, max_depth=20, min_samples_split=5</w:t>
            </w:r>
          </w:p>
        </w:tc>
      </w:tr>
      <w:tr>
        <w:tc>
          <w:tcPr>
            <w:tcW w:type="dxa" w:w="2448"/>
            <w:shd w:val="clear" w:fill="F3F6FA"/>
          </w:tcPr>
          <w:p>
            <w:pPr>
              <w:spacing w:after="40" w:before="40"/>
            </w:pPr>
            <w:r>
              <w:rPr>
                <w:b w:val="0"/>
                <w:sz w:val="19"/>
              </w:rPr>
              <w:t>Logisticka regresija</w:t>
            </w:r>
          </w:p>
        </w:tc>
        <w:tc>
          <w:tcPr>
            <w:tcW w:type="dxa" w:w="2736"/>
            <w:shd w:val="clear" w:fill="F3F6FA"/>
          </w:tcPr>
          <w:p>
            <w:pPr>
              <w:spacing w:after="40" w:before="40"/>
            </w:pPr>
            <w:r>
              <w:rPr>
                <w:b w:val="0"/>
                <w:sz w:val="19"/>
              </w:rPr>
              <w:t>Referentna vrijednost</w:t>
            </w:r>
          </w:p>
        </w:tc>
        <w:tc>
          <w:tcPr>
            <w:tcW w:type="dxa" w:w="3888"/>
            <w:shd w:val="clear" w:fill="F3F6FA"/>
          </w:tcPr>
          <w:p>
            <w:pPr>
              <w:spacing w:after="40" w:before="40"/>
            </w:pPr>
            <w:r>
              <w:rPr>
                <w:b w:val="0"/>
                <w:sz w:val="19"/>
              </w:rPr>
              <w:t>max_iter=1000, ulazi standardizovani (StandardScaler)</w:t>
            </w:r>
          </w:p>
        </w:tc>
      </w:tr>
      <w:tr>
        <w:tc>
          <w:tcPr>
            <w:tcW w:type="dxa" w:w="2448"/>
          </w:tcPr>
          <w:p>
            <w:pPr>
              <w:spacing w:after="40" w:before="40"/>
            </w:pPr>
            <w:r>
              <w:rPr>
                <w:b w:val="0"/>
                <w:sz w:val="19"/>
              </w:rPr>
              <w:t>Gradient Boosting</w:t>
            </w:r>
          </w:p>
        </w:tc>
        <w:tc>
          <w:tcPr>
            <w:tcW w:type="dxa" w:w="2736"/>
          </w:tcPr>
          <w:p>
            <w:pPr>
              <w:spacing w:after="40" w:before="40"/>
            </w:pPr>
            <w:r>
              <w:rPr>
                <w:b w:val="0"/>
                <w:sz w:val="19"/>
              </w:rPr>
              <w:t>Kontrolni ansambl</w:t>
            </w:r>
          </w:p>
        </w:tc>
        <w:tc>
          <w:tcPr>
            <w:tcW w:type="dxa" w:w="3888"/>
          </w:tcPr>
          <w:p>
            <w:pPr>
              <w:spacing w:after="40" w:before="40"/>
            </w:pPr>
            <w:r>
              <w:rPr>
                <w:b w:val="0"/>
                <w:sz w:val="19"/>
              </w:rPr>
              <w:t>HistGradientBoosting, max_iter=200</w:t>
            </w:r>
          </w:p>
        </w:tc>
      </w:tr>
    </w:tbl>
    <w:p>
      <w:pPr>
        <w:spacing w:after="0"/>
      </w:pPr>
    </w:p>
    <w:p>
      <w:pPr>
        <w:spacing w:before="200" w:after="60"/>
      </w:pPr>
      <w:r>
        <w:rPr>
          <w:b/>
          <w:color w:val="1F6FB2"/>
          <w:sz w:val="23"/>
        </w:rPr>
        <w:t>3.4 Protokol evaluacije</w:t>
      </w:r>
    </w:p>
    <w:p>
      <w:r>
        <w:rPr>
          <w:i w:val="0"/>
          <w:sz w:val="21"/>
        </w:rPr>
        <w:t>Model je treniran na skupu od 24.932 zapisa i evaluiran na nezavisnom testnom skupu od 6.233 zapisa koji nije koristen tokom treniranja. Kvalitet je mjeren kroz pet metrika: Accuracy, Precision, Recall, F1 i AUC. AUC je uzet kao primarna metrika jer ne ovisi o izboru praga odlucivanja i otporniji je na neuravnotezenost klasa. Kao referentnu tacku treba imati u vidu da bi model koji uvijek predvidja vecinsku klasu postigao tacnost od 60.5%.</w:t>
      </w:r>
    </w:p>
    <w:p>
      <w:pPr>
        <w:spacing w:before="320" w:after="80"/>
      </w:pPr>
      <w:r>
        <w:rPr>
          <w:b/>
          <w:color w:val="1B365D"/>
          <w:sz w:val="28"/>
        </w:rPr>
        <w:t>4. Eksplorativna analiza</w:t>
      </w:r>
    </w:p>
    <w:p>
      <w:pPr>
        <w:pBdr>
          <w:bottom w:val="single" w:sz="12" w:space="1" w:color="1B365D"/>
        </w:pBdr>
        <w:spacing w:after="200"/>
      </w:pPr>
    </w:p>
    <w:p>
      <w:r>
        <w:rPr>
          <w:i w:val="0"/>
          <w:sz w:val="21"/>
        </w:rPr>
        <w:t>Prije modeliranja ispitane su raspodjele varijabli i njihov odnos prema ishodu. Stopa uspjesnosti dosljedno raste s nivoom iskustva agenta (Novice 1.0%, Intermediate 54.6%, Expert 72.5%), sto potvrdjuje da dataset vjerno biljezi napredak ucenja kroz vrijeme.</w:t>
      </w:r>
    </w:p>
    <w:p>
      <w:pPr>
        <w:spacing w:before="160" w:after="40"/>
        <w:jc w:val="center"/>
      </w:pPr>
      <w:r>
        <w:drawing>
          <wp:inline xmlns:a="http://schemas.openxmlformats.org/drawingml/2006/main" xmlns:pic="http://schemas.openxmlformats.org/drawingml/2006/picture">
            <wp:extent cx="5486400" cy="3584840"/>
            <wp:docPr id="3" name="Picture 3"/>
            <wp:cNvGraphicFramePr>
              <a:graphicFrameLocks noChangeAspect="1"/>
            </wp:cNvGraphicFramePr>
            <a:graphic>
              <a:graphicData uri="http://schemas.openxmlformats.org/drawingml/2006/picture">
                <pic:pic>
                  <pic:nvPicPr>
                    <pic:cNvPr id="0" name="graf_02_numericke_distribucije.png"/>
                    <pic:cNvPicPr/>
                  </pic:nvPicPr>
                  <pic:blipFill>
                    <a:blip r:embed="rId12"/>
                    <a:stretch>
                      <a:fillRect/>
                    </a:stretch>
                  </pic:blipFill>
                  <pic:spPr>
                    <a:xfrm>
                      <a:off x="0" y="0"/>
                      <a:ext cx="5486400" cy="3584840"/>
                    </a:xfrm>
                    <a:prstGeom prst="rect"/>
                  </pic:spPr>
                </pic:pic>
              </a:graphicData>
            </a:graphic>
          </wp:inline>
        </w:drawing>
      </w:r>
    </w:p>
    <w:p>
      <w:pPr>
        <w:spacing w:after="200"/>
        <w:jc w:val="center"/>
      </w:pPr>
      <w:r>
        <w:rPr>
          <w:b/>
          <w:color w:val="1B365D"/>
          <w:sz w:val="18"/>
        </w:rPr>
        <w:t xml:space="preserve">Slika 3. </w:t>
      </w:r>
      <w:r>
        <w:rPr>
          <w:color w:val="5A5A5A"/>
          <w:sz w:val="18"/>
        </w:rPr>
        <w:t>Distribucije odabranih numerickih varijabli.</w:t>
      </w:r>
    </w:p>
    <w:p>
      <w:pPr>
        <w:spacing w:before="160" w:after="40"/>
        <w:jc w:val="center"/>
      </w:pPr>
      <w:r>
        <w:drawing>
          <wp:inline xmlns:a="http://schemas.openxmlformats.org/drawingml/2006/main" xmlns:pic="http://schemas.openxmlformats.org/drawingml/2006/picture">
            <wp:extent cx="5669280" cy="1814023"/>
            <wp:docPr id="4" name="Picture 4"/>
            <wp:cNvGraphicFramePr>
              <a:graphicFrameLocks noChangeAspect="1"/>
            </wp:cNvGraphicFramePr>
            <a:graphic>
              <a:graphicData uri="http://schemas.openxmlformats.org/drawingml/2006/picture">
                <pic:pic>
                  <pic:nvPicPr>
                    <pic:cNvPr id="0" name="graf_04_uspjeh_kategoricke.png"/>
                    <pic:cNvPicPr/>
                  </pic:nvPicPr>
                  <pic:blipFill>
                    <a:blip r:embed="rId13"/>
                    <a:stretch>
                      <a:fillRect/>
                    </a:stretch>
                  </pic:blipFill>
                  <pic:spPr>
                    <a:xfrm>
                      <a:off x="0" y="0"/>
                      <a:ext cx="5669280" cy="1814023"/>
                    </a:xfrm>
                    <a:prstGeom prst="rect"/>
                  </pic:spPr>
                </pic:pic>
              </a:graphicData>
            </a:graphic>
          </wp:inline>
        </w:drawing>
      </w:r>
    </w:p>
    <w:p>
      <w:pPr>
        <w:spacing w:after="200"/>
        <w:jc w:val="center"/>
      </w:pPr>
      <w:r>
        <w:rPr>
          <w:b/>
          <w:color w:val="1B365D"/>
          <w:sz w:val="18"/>
        </w:rPr>
        <w:t xml:space="preserve">Slika 4. </w:t>
      </w:r>
      <w:r>
        <w:rPr>
          <w:color w:val="5A5A5A"/>
          <w:sz w:val="18"/>
        </w:rPr>
        <w:t>Stopa uspjesnosti parkiranja po kategorickim varijablama.</w:t>
      </w:r>
    </w:p>
    <w:p>
      <w:pPr>
        <w:spacing w:before="320" w:after="80"/>
      </w:pPr>
      <w:r>
        <w:rPr>
          <w:b/>
          <w:color w:val="1B365D"/>
          <w:sz w:val="28"/>
        </w:rPr>
        <w:t>5. Rezultati</w:t>
      </w:r>
    </w:p>
    <w:p>
      <w:pPr>
        <w:pBdr>
          <w:bottom w:val="single" w:sz="12" w:space="1" w:color="1B365D"/>
        </w:pBdr>
        <w:spacing w:after="200"/>
      </w:pPr>
    </w:p>
    <w:p>
      <w:pPr>
        <w:spacing w:before="200" w:after="60"/>
      </w:pPr>
      <w:r>
        <w:rPr>
          <w:b/>
          <w:color w:val="1F6FB2"/>
          <w:sz w:val="23"/>
        </w:rPr>
        <w:t>5.1 Iteracije treniranja</w:t>
      </w:r>
    </w:p>
    <w:p>
      <w:r>
        <w:rPr>
          <w:i w:val="0"/>
          <w:sz w:val="21"/>
        </w:rPr>
        <w:t>Model je razvijan kroz cetiri iteracije, pri cemu je u svakoj mijenjan jedan aspekt konfiguracije kako bi se izolovao njegov doprinos. Ukupan raspon rezultata izmedju najslabije i najbolje iteracije iznosi svega 0.33 p.p. tacnosti, sto pokazuje da je zadatak stabilan i da rezultat ne ovisi presudno o izboru konfiguracije.</w:t>
      </w:r>
    </w:p>
    <w:p>
      <w:pPr>
        <w:spacing w:before="160" w:after="60"/>
      </w:pPr>
      <w:r>
        <w:rPr>
          <w:b/>
          <w:color w:val="1B365D"/>
          <w:sz w:val="19"/>
        </w:rPr>
        <w:t xml:space="preserve">Tabela 6. </w:t>
      </w:r>
      <w:r>
        <w:rPr>
          <w:color w:val="5A5A5A"/>
          <w:sz w:val="19"/>
        </w:rPr>
        <w:t>Rezultati iterativnog razvoja Random Forest modela.</w:t>
      </w:r>
    </w:p>
    <w:tbl>
      <w:tblPr>
        <w:tblStyle w:val="TableGrid"/>
        <w:tblW w:type="auto" w:w="0"/>
        <w:jc w:val="center"/>
        <w:tblLook w:firstColumn="1" w:firstRow="1" w:lastColumn="0" w:lastRow="0" w:noHBand="0" w:noVBand="1" w:val="04A0"/>
      </w:tblPr>
      <w:tblGrid>
        <w:gridCol w:w="1317"/>
        <w:gridCol w:w="1317"/>
        <w:gridCol w:w="1317"/>
        <w:gridCol w:w="1317"/>
        <w:gridCol w:w="1317"/>
        <w:gridCol w:w="1317"/>
        <w:gridCol w:w="1317"/>
      </w:tblGrid>
      <w:tr>
        <w:tc>
          <w:tcPr>
            <w:tcW w:type="dxa" w:w="648"/>
            <w:shd w:val="clear" w:fill="1B365D"/>
          </w:tcPr>
          <w:p>
            <w:pPr>
              <w:spacing w:after="40" w:before="40"/>
            </w:pPr>
            <w:r>
              <w:rPr>
                <w:b/>
                <w:color w:val="FFFFFF"/>
                <w:sz w:val="19"/>
              </w:rPr>
              <w:t>Iter.</w:t>
            </w:r>
          </w:p>
        </w:tc>
        <w:tc>
          <w:tcPr>
            <w:tcW w:type="dxa" w:w="1224"/>
            <w:shd w:val="clear" w:fill="1B365D"/>
          </w:tcPr>
          <w:p>
            <w:pPr>
              <w:spacing w:after="40" w:before="40"/>
            </w:pPr>
            <w:r>
              <w:rPr>
                <w:b/>
                <w:color w:val="FFFFFF"/>
                <w:sz w:val="19"/>
              </w:rPr>
              <w:t>Varijable</w:t>
            </w:r>
          </w:p>
        </w:tc>
        <w:tc>
          <w:tcPr>
            <w:tcW w:type="dxa" w:w="936"/>
            <w:shd w:val="clear" w:fill="1B365D"/>
          </w:tcPr>
          <w:p>
            <w:pPr>
              <w:spacing w:after="40" w:before="40"/>
            </w:pPr>
            <w:r>
              <w:rPr>
                <w:b/>
                <w:color w:val="FFFFFF"/>
                <w:sz w:val="19"/>
              </w:rPr>
              <w:t>Omjer</w:t>
            </w:r>
          </w:p>
        </w:tc>
        <w:tc>
          <w:tcPr>
            <w:tcW w:type="dxa" w:w="1152"/>
            <w:shd w:val="clear" w:fill="1B365D"/>
          </w:tcPr>
          <w:p>
            <w:pPr>
              <w:spacing w:after="40" w:before="40"/>
            </w:pPr>
            <w:r>
              <w:rPr>
                <w:b/>
                <w:color w:val="FFFFFF"/>
                <w:sz w:val="19"/>
              </w:rPr>
              <w:t>Accuracy</w:t>
            </w:r>
          </w:p>
        </w:tc>
        <w:tc>
          <w:tcPr>
            <w:tcW w:type="dxa" w:w="1008"/>
            <w:shd w:val="clear" w:fill="1B365D"/>
          </w:tcPr>
          <w:p>
            <w:pPr>
              <w:spacing w:after="40" w:before="40"/>
            </w:pPr>
            <w:r>
              <w:rPr>
                <w:b/>
                <w:color w:val="FFFFFF"/>
                <w:sz w:val="19"/>
              </w:rPr>
              <w:t>F1</w:t>
            </w:r>
          </w:p>
        </w:tc>
        <w:tc>
          <w:tcPr>
            <w:tcW w:type="dxa" w:w="1008"/>
            <w:shd w:val="clear" w:fill="1B365D"/>
          </w:tcPr>
          <w:p>
            <w:pPr>
              <w:spacing w:after="40" w:before="40"/>
            </w:pPr>
            <w:r>
              <w:rPr>
                <w:b/>
                <w:color w:val="FFFFFF"/>
                <w:sz w:val="19"/>
              </w:rPr>
              <w:t>AUC</w:t>
            </w:r>
          </w:p>
        </w:tc>
        <w:tc>
          <w:tcPr>
            <w:tcW w:type="dxa" w:w="3024"/>
            <w:shd w:val="clear" w:fill="1B365D"/>
          </w:tcPr>
          <w:p>
            <w:pPr>
              <w:spacing w:after="40" w:before="40"/>
            </w:pPr>
            <w:r>
              <w:rPr>
                <w:b/>
                <w:color w:val="FFFFFF"/>
                <w:sz w:val="19"/>
              </w:rPr>
              <w:t>Napomena</w:t>
            </w:r>
          </w:p>
        </w:tc>
      </w:tr>
      <w:tr>
        <w:tc>
          <w:tcPr>
            <w:tcW w:type="dxa" w:w="648"/>
          </w:tcPr>
          <w:p>
            <w:pPr>
              <w:spacing w:after="40" w:before="40"/>
            </w:pPr>
            <w:r>
              <w:rPr>
                <w:b w:val="0"/>
                <w:sz w:val="19"/>
              </w:rPr>
              <w:t>1</w:t>
            </w:r>
          </w:p>
        </w:tc>
        <w:tc>
          <w:tcPr>
            <w:tcW w:type="dxa" w:w="1224"/>
          </w:tcPr>
          <w:p>
            <w:pPr>
              <w:spacing w:after="40" w:before="40"/>
              <w:jc w:val="center"/>
            </w:pPr>
            <w:r>
              <w:rPr>
                <w:b w:val="0"/>
                <w:sz w:val="19"/>
              </w:rPr>
              <w:t>18</w:t>
            </w:r>
          </w:p>
        </w:tc>
        <w:tc>
          <w:tcPr>
            <w:tcW w:type="dxa" w:w="936"/>
          </w:tcPr>
          <w:p>
            <w:pPr>
              <w:spacing w:after="40" w:before="40"/>
              <w:jc w:val="center"/>
            </w:pPr>
            <w:r>
              <w:rPr>
                <w:b w:val="0"/>
                <w:sz w:val="19"/>
              </w:rPr>
              <w:t>70:30</w:t>
            </w:r>
          </w:p>
        </w:tc>
        <w:tc>
          <w:tcPr>
            <w:tcW w:type="dxa" w:w="1152"/>
          </w:tcPr>
          <w:p>
            <w:pPr>
              <w:spacing w:after="40" w:before="40"/>
              <w:jc w:val="center"/>
            </w:pPr>
            <w:r>
              <w:rPr>
                <w:b w:val="0"/>
                <w:sz w:val="19"/>
              </w:rPr>
              <w:t>0.8776</w:t>
            </w:r>
          </w:p>
        </w:tc>
        <w:tc>
          <w:tcPr>
            <w:tcW w:type="dxa" w:w="1008"/>
          </w:tcPr>
          <w:p>
            <w:pPr>
              <w:spacing w:after="40" w:before="40"/>
              <w:jc w:val="center"/>
            </w:pPr>
            <w:r>
              <w:rPr>
                <w:b w:val="0"/>
                <w:sz w:val="19"/>
              </w:rPr>
              <w:t>0.9008</w:t>
            </w:r>
          </w:p>
        </w:tc>
        <w:tc>
          <w:tcPr>
            <w:tcW w:type="dxa" w:w="1008"/>
          </w:tcPr>
          <w:p>
            <w:pPr>
              <w:spacing w:after="40" w:before="40"/>
              <w:jc w:val="center"/>
            </w:pPr>
            <w:r>
              <w:rPr>
                <w:b w:val="0"/>
                <w:sz w:val="19"/>
              </w:rPr>
              <w:t>0.9401</w:t>
            </w:r>
          </w:p>
        </w:tc>
        <w:tc>
          <w:tcPr>
            <w:tcW w:type="dxa" w:w="3024"/>
          </w:tcPr>
          <w:p>
            <w:pPr>
              <w:spacing w:after="40" w:before="40"/>
              <w:jc w:val="center"/>
            </w:pPr>
            <w:r>
              <w:rPr>
                <w:b w:val="0"/>
                <w:sz w:val="19"/>
              </w:rPr>
              <w:t>Polazna konfiguracija s punim skupom varijabli.</w:t>
            </w:r>
          </w:p>
        </w:tc>
      </w:tr>
      <w:tr>
        <w:tc>
          <w:tcPr>
            <w:tcW w:type="dxa" w:w="648"/>
            <w:shd w:val="clear" w:fill="F3F6FA"/>
          </w:tcPr>
          <w:p>
            <w:pPr>
              <w:spacing w:after="40" w:before="40"/>
            </w:pPr>
            <w:r>
              <w:rPr>
                <w:b w:val="0"/>
                <w:sz w:val="19"/>
              </w:rPr>
              <w:t>2</w:t>
            </w:r>
          </w:p>
        </w:tc>
        <w:tc>
          <w:tcPr>
            <w:tcW w:type="dxa" w:w="1224"/>
            <w:shd w:val="clear" w:fill="F3F6FA"/>
          </w:tcPr>
          <w:p>
            <w:pPr>
              <w:spacing w:after="40" w:before="40"/>
              <w:jc w:val="center"/>
            </w:pPr>
            <w:r>
              <w:rPr>
                <w:b w:val="0"/>
                <w:sz w:val="19"/>
              </w:rPr>
              <w:t>16</w:t>
            </w:r>
          </w:p>
        </w:tc>
        <w:tc>
          <w:tcPr>
            <w:tcW w:type="dxa" w:w="936"/>
            <w:shd w:val="clear" w:fill="F3F6FA"/>
          </w:tcPr>
          <w:p>
            <w:pPr>
              <w:spacing w:after="40" w:before="40"/>
              <w:jc w:val="center"/>
            </w:pPr>
            <w:r>
              <w:rPr>
                <w:b w:val="0"/>
                <w:sz w:val="19"/>
              </w:rPr>
              <w:t>70:30</w:t>
            </w:r>
          </w:p>
        </w:tc>
        <w:tc>
          <w:tcPr>
            <w:tcW w:type="dxa" w:w="1152"/>
            <w:shd w:val="clear" w:fill="F3F6FA"/>
          </w:tcPr>
          <w:p>
            <w:pPr>
              <w:spacing w:after="40" w:before="40"/>
              <w:jc w:val="center"/>
            </w:pPr>
            <w:r>
              <w:rPr>
                <w:b w:val="0"/>
                <w:sz w:val="19"/>
              </w:rPr>
              <w:t>0.8781</w:t>
            </w:r>
          </w:p>
        </w:tc>
        <w:tc>
          <w:tcPr>
            <w:tcW w:type="dxa" w:w="1008"/>
            <w:shd w:val="clear" w:fill="F3F6FA"/>
          </w:tcPr>
          <w:p>
            <w:pPr>
              <w:spacing w:after="40" w:before="40"/>
              <w:jc w:val="center"/>
            </w:pPr>
            <w:r>
              <w:rPr>
                <w:b w:val="0"/>
                <w:sz w:val="19"/>
              </w:rPr>
              <w:t>0.9012</w:t>
            </w:r>
          </w:p>
        </w:tc>
        <w:tc>
          <w:tcPr>
            <w:tcW w:type="dxa" w:w="1008"/>
            <w:shd w:val="clear" w:fill="F3F6FA"/>
          </w:tcPr>
          <w:p>
            <w:pPr>
              <w:spacing w:after="40" w:before="40"/>
              <w:jc w:val="center"/>
            </w:pPr>
            <w:r>
              <w:rPr>
                <w:b w:val="0"/>
                <w:sz w:val="19"/>
              </w:rPr>
              <w:t>0.9396</w:t>
            </w:r>
          </w:p>
        </w:tc>
        <w:tc>
          <w:tcPr>
            <w:tcW w:type="dxa" w:w="3024"/>
            <w:shd w:val="clear" w:fill="F3F6FA"/>
          </w:tcPr>
          <w:p>
            <w:pPr>
              <w:spacing w:after="40" w:before="40"/>
              <w:jc w:val="center"/>
            </w:pPr>
            <w:r>
              <w:rPr>
                <w:b w:val="0"/>
                <w:sz w:val="19"/>
              </w:rPr>
              <w:t>Uklanjanje redundantnih varijabli: promjena skupa varijabli gotovo bez efekta.</w:t>
            </w:r>
          </w:p>
        </w:tc>
      </w:tr>
      <w:tr>
        <w:tc>
          <w:tcPr>
            <w:tcW w:type="dxa" w:w="648"/>
          </w:tcPr>
          <w:p>
            <w:pPr>
              <w:spacing w:after="40" w:before="40"/>
            </w:pPr>
            <w:r>
              <w:rPr>
                <w:b w:val="0"/>
                <w:sz w:val="19"/>
              </w:rPr>
              <w:t>3</w:t>
            </w:r>
          </w:p>
        </w:tc>
        <w:tc>
          <w:tcPr>
            <w:tcW w:type="dxa" w:w="1224"/>
          </w:tcPr>
          <w:p>
            <w:pPr>
              <w:spacing w:after="40" w:before="40"/>
              <w:jc w:val="center"/>
            </w:pPr>
            <w:r>
              <w:rPr>
                <w:b w:val="0"/>
                <w:sz w:val="19"/>
              </w:rPr>
              <w:t>16</w:t>
            </w:r>
          </w:p>
        </w:tc>
        <w:tc>
          <w:tcPr>
            <w:tcW w:type="dxa" w:w="936"/>
          </w:tcPr>
          <w:p>
            <w:pPr>
              <w:spacing w:after="40" w:before="40"/>
              <w:jc w:val="center"/>
            </w:pPr>
            <w:r>
              <w:rPr>
                <w:b w:val="0"/>
                <w:sz w:val="19"/>
              </w:rPr>
              <w:t>80:20</w:t>
            </w:r>
          </w:p>
        </w:tc>
        <w:tc>
          <w:tcPr>
            <w:tcW w:type="dxa" w:w="1152"/>
          </w:tcPr>
          <w:p>
            <w:pPr>
              <w:spacing w:after="40" w:before="40"/>
              <w:jc w:val="center"/>
            </w:pPr>
            <w:r>
              <w:rPr>
                <w:b w:val="0"/>
                <w:sz w:val="19"/>
              </w:rPr>
              <w:t>0.8752</w:t>
            </w:r>
          </w:p>
        </w:tc>
        <w:tc>
          <w:tcPr>
            <w:tcW w:type="dxa" w:w="1008"/>
          </w:tcPr>
          <w:p>
            <w:pPr>
              <w:spacing w:after="40" w:before="40"/>
              <w:jc w:val="center"/>
            </w:pPr>
            <w:r>
              <w:rPr>
                <w:b w:val="0"/>
                <w:sz w:val="19"/>
              </w:rPr>
              <w:t>0.8990</w:t>
            </w:r>
          </w:p>
        </w:tc>
        <w:tc>
          <w:tcPr>
            <w:tcW w:type="dxa" w:w="1008"/>
          </w:tcPr>
          <w:p>
            <w:pPr>
              <w:spacing w:after="40" w:before="40"/>
              <w:jc w:val="center"/>
            </w:pPr>
            <w:r>
              <w:rPr>
                <w:b w:val="0"/>
                <w:sz w:val="19"/>
              </w:rPr>
              <w:t>0.9395</w:t>
            </w:r>
          </w:p>
        </w:tc>
        <w:tc>
          <w:tcPr>
            <w:tcW w:type="dxa" w:w="3024"/>
          </w:tcPr>
          <w:p>
            <w:pPr>
              <w:spacing w:after="40" w:before="40"/>
              <w:jc w:val="center"/>
            </w:pPr>
            <w:r>
              <w:rPr>
                <w:b w:val="0"/>
                <w:sz w:val="19"/>
              </w:rPr>
              <w:t>Promjena omjera podjele: veci skup za treniranje smanjuje tacnost za 0.29 p.p..</w:t>
            </w:r>
          </w:p>
        </w:tc>
      </w:tr>
      <w:tr>
        <w:tc>
          <w:tcPr>
            <w:tcW w:type="dxa" w:w="648"/>
            <w:shd w:val="clear" w:fill="F3F6FA"/>
          </w:tcPr>
          <w:p>
            <w:pPr>
              <w:spacing w:after="40" w:before="40"/>
            </w:pPr>
            <w:r>
              <w:rPr>
                <w:b w:val="0"/>
                <w:sz w:val="19"/>
              </w:rPr>
              <w:t>4</w:t>
            </w:r>
          </w:p>
        </w:tc>
        <w:tc>
          <w:tcPr>
            <w:tcW w:type="dxa" w:w="1224"/>
            <w:shd w:val="clear" w:fill="F3F6FA"/>
          </w:tcPr>
          <w:p>
            <w:pPr>
              <w:spacing w:after="40" w:before="40"/>
              <w:jc w:val="center"/>
            </w:pPr>
            <w:r>
              <w:rPr>
                <w:b w:val="0"/>
                <w:sz w:val="19"/>
              </w:rPr>
              <w:t>16</w:t>
            </w:r>
          </w:p>
        </w:tc>
        <w:tc>
          <w:tcPr>
            <w:tcW w:type="dxa" w:w="936"/>
            <w:shd w:val="clear" w:fill="F3F6FA"/>
          </w:tcPr>
          <w:p>
            <w:pPr>
              <w:spacing w:after="40" w:before="40"/>
              <w:jc w:val="center"/>
            </w:pPr>
            <w:r>
              <w:rPr>
                <w:b w:val="0"/>
                <w:sz w:val="19"/>
              </w:rPr>
              <w:t>80:20</w:t>
            </w:r>
          </w:p>
        </w:tc>
        <w:tc>
          <w:tcPr>
            <w:tcW w:type="dxa" w:w="1152"/>
            <w:shd w:val="clear" w:fill="F3F6FA"/>
          </w:tcPr>
          <w:p>
            <w:pPr>
              <w:spacing w:after="40" w:before="40"/>
              <w:jc w:val="center"/>
            </w:pPr>
            <w:r>
              <w:rPr>
                <w:b w:val="0"/>
                <w:sz w:val="19"/>
              </w:rPr>
              <w:t>0.8785</w:t>
            </w:r>
          </w:p>
        </w:tc>
        <w:tc>
          <w:tcPr>
            <w:tcW w:type="dxa" w:w="1008"/>
            <w:shd w:val="clear" w:fill="F3F6FA"/>
          </w:tcPr>
          <w:p>
            <w:pPr>
              <w:spacing w:after="40" w:before="40"/>
              <w:jc w:val="center"/>
            </w:pPr>
            <w:r>
              <w:rPr>
                <w:b w:val="0"/>
                <w:sz w:val="19"/>
              </w:rPr>
              <w:t>0.9022</w:t>
            </w:r>
          </w:p>
        </w:tc>
        <w:tc>
          <w:tcPr>
            <w:tcW w:type="dxa" w:w="1008"/>
            <w:shd w:val="clear" w:fill="F3F6FA"/>
          </w:tcPr>
          <w:p>
            <w:pPr>
              <w:spacing w:after="40" w:before="40"/>
              <w:jc w:val="center"/>
            </w:pPr>
            <w:r>
              <w:rPr>
                <w:b w:val="0"/>
                <w:sz w:val="19"/>
              </w:rPr>
              <w:t>0.9431</w:t>
            </w:r>
          </w:p>
        </w:tc>
        <w:tc>
          <w:tcPr>
            <w:tcW w:type="dxa" w:w="3024"/>
            <w:shd w:val="clear" w:fill="F3F6FA"/>
          </w:tcPr>
          <w:p>
            <w:pPr>
              <w:spacing w:after="40" w:before="40"/>
              <w:jc w:val="center"/>
            </w:pPr>
            <w:r>
              <w:rPr>
                <w:b w:val="0"/>
                <w:sz w:val="19"/>
              </w:rPr>
              <w:t>Podeseni hiperparametri; najbolji rezultat i finalni izbor.</w:t>
            </w:r>
          </w:p>
        </w:tc>
      </w:tr>
    </w:tbl>
    <w:p>
      <w:pPr>
        <w:spacing w:after="0"/>
      </w:pPr>
    </w:p>
    <w:p>
      <w:pPr>
        <w:spacing w:before="200" w:after="60"/>
      </w:pPr>
      <w:r>
        <w:rPr>
          <w:b/>
          <w:color w:val="1F6FB2"/>
          <w:sz w:val="23"/>
        </w:rPr>
        <w:t>5.2 Vaznost varijabli</w:t>
      </w:r>
    </w:p>
    <w:p>
      <w:r>
        <w:rPr>
          <w:i w:val="0"/>
          <w:sz w:val="21"/>
        </w:rPr>
        <w:t>Vaznost varijabli izracunata je na osnovu prosjecnog smanjenja neciste podjele u stablima finalnog modela. Najveci doprinos ima varijabla QConfidenceScore, sto je smisleno: ona odrazava koliko je agent siguran u svoje odluke na pocetku epizode, sto je najdirektniji pokazatelj dostignute vjestine. Prvih pet varijabli nosi 70.1% ukupne vaznosti, sto znaci da je predikcija koncentrisana na mali broj informativnih obiljezja.</w:t>
      </w:r>
    </w:p>
    <w:p>
      <w:pPr>
        <w:spacing w:before="160" w:after="60"/>
      </w:pPr>
      <w:r>
        <w:rPr>
          <w:b/>
          <w:color w:val="1B365D"/>
          <w:sz w:val="19"/>
        </w:rPr>
        <w:t xml:space="preserve">Tabela 7. </w:t>
      </w:r>
      <w:r>
        <w:rPr>
          <w:color w:val="5A5A5A"/>
          <w:sz w:val="19"/>
        </w:rPr>
        <w:t>Deset najvaznijih varijabli finalnog modela.</w:t>
      </w:r>
    </w:p>
    <w:tbl>
      <w:tblPr>
        <w:tblStyle w:val="TableGrid"/>
        <w:tblW w:type="auto" w:w="0"/>
        <w:jc w:val="center"/>
        <w:tblLook w:firstColumn="1" w:firstRow="1" w:lastColumn="0" w:lastRow="0" w:noHBand="0" w:noVBand="1" w:val="04A0"/>
      </w:tblPr>
      <w:tblGrid>
        <w:gridCol w:w="2304"/>
        <w:gridCol w:w="2304"/>
        <w:gridCol w:w="2304"/>
        <w:gridCol w:w="2304"/>
      </w:tblGrid>
      <w:tr>
        <w:tc>
          <w:tcPr>
            <w:tcW w:type="dxa" w:w="1008"/>
            <w:shd w:val="clear" w:fill="1B365D"/>
          </w:tcPr>
          <w:p>
            <w:pPr>
              <w:spacing w:after="40" w:before="40"/>
            </w:pPr>
            <w:r>
              <w:rPr>
                <w:b/>
                <w:color w:val="FFFFFF"/>
                <w:sz w:val="19"/>
              </w:rPr>
              <w:t>Rang</w:t>
            </w:r>
          </w:p>
        </w:tc>
        <w:tc>
          <w:tcPr>
            <w:tcW w:type="dxa" w:w="3744"/>
            <w:shd w:val="clear" w:fill="1B365D"/>
          </w:tcPr>
          <w:p>
            <w:pPr>
              <w:spacing w:after="40" w:before="40"/>
            </w:pPr>
            <w:r>
              <w:rPr>
                <w:b/>
                <w:color w:val="FFFFFF"/>
                <w:sz w:val="19"/>
              </w:rPr>
              <w:t>Varijabla</w:t>
            </w:r>
          </w:p>
        </w:tc>
        <w:tc>
          <w:tcPr>
            <w:tcW w:type="dxa" w:w="1872"/>
            <w:shd w:val="clear" w:fill="1B365D"/>
          </w:tcPr>
          <w:p>
            <w:pPr>
              <w:spacing w:after="40" w:before="40"/>
            </w:pPr>
            <w:r>
              <w:rPr>
                <w:b/>
                <w:color w:val="FFFFFF"/>
                <w:sz w:val="19"/>
              </w:rPr>
              <w:t>Vaznost</w:t>
            </w:r>
          </w:p>
        </w:tc>
        <w:tc>
          <w:tcPr>
            <w:tcW w:type="dxa" w:w="2016"/>
            <w:shd w:val="clear" w:fill="1B365D"/>
          </w:tcPr>
          <w:p>
            <w:pPr>
              <w:spacing w:after="40" w:before="40"/>
            </w:pPr>
            <w:r>
              <w:rPr>
                <w:b/>
                <w:color w:val="FFFFFF"/>
                <w:sz w:val="19"/>
              </w:rPr>
              <w:t>Kumulativno</w:t>
            </w:r>
          </w:p>
        </w:tc>
      </w:tr>
      <w:tr>
        <w:tc>
          <w:tcPr>
            <w:tcW w:type="dxa" w:w="1008"/>
          </w:tcPr>
          <w:p>
            <w:pPr>
              <w:spacing w:after="40" w:before="40"/>
            </w:pPr>
            <w:r>
              <w:rPr>
                <w:b w:val="0"/>
                <w:sz w:val="19"/>
              </w:rPr>
              <w:t>1</w:t>
            </w:r>
          </w:p>
        </w:tc>
        <w:tc>
          <w:tcPr>
            <w:tcW w:type="dxa" w:w="3744"/>
          </w:tcPr>
          <w:p>
            <w:pPr>
              <w:spacing w:after="40" w:before="40"/>
              <w:jc w:val="center"/>
            </w:pPr>
            <w:r>
              <w:rPr>
                <w:b w:val="0"/>
                <w:sz w:val="19"/>
              </w:rPr>
              <w:t>QConfidenceScore</w:t>
            </w:r>
          </w:p>
        </w:tc>
        <w:tc>
          <w:tcPr>
            <w:tcW w:type="dxa" w:w="1872"/>
          </w:tcPr>
          <w:p>
            <w:pPr>
              <w:spacing w:after="40" w:before="40"/>
              <w:jc w:val="center"/>
            </w:pPr>
            <w:r>
              <w:rPr>
                <w:b w:val="0"/>
                <w:sz w:val="19"/>
              </w:rPr>
              <w:t>0.3391</w:t>
            </w:r>
          </w:p>
        </w:tc>
        <w:tc>
          <w:tcPr>
            <w:tcW w:type="dxa" w:w="2016"/>
          </w:tcPr>
          <w:p>
            <w:pPr>
              <w:spacing w:after="40" w:before="40"/>
              <w:jc w:val="center"/>
            </w:pPr>
            <w:r>
              <w:rPr>
                <w:b w:val="0"/>
                <w:sz w:val="19"/>
              </w:rPr>
              <w:t>33.9%</w:t>
            </w:r>
          </w:p>
        </w:tc>
      </w:tr>
      <w:tr>
        <w:tc>
          <w:tcPr>
            <w:tcW w:type="dxa" w:w="1008"/>
            <w:shd w:val="clear" w:fill="F3F6FA"/>
          </w:tcPr>
          <w:p>
            <w:pPr>
              <w:spacing w:after="40" w:before="40"/>
            </w:pPr>
            <w:r>
              <w:rPr>
                <w:b w:val="0"/>
                <w:sz w:val="19"/>
              </w:rPr>
              <w:t>2</w:t>
            </w:r>
          </w:p>
        </w:tc>
        <w:tc>
          <w:tcPr>
            <w:tcW w:type="dxa" w:w="3744"/>
            <w:shd w:val="clear" w:fill="F3F6FA"/>
          </w:tcPr>
          <w:p>
            <w:pPr>
              <w:spacing w:after="40" w:before="40"/>
              <w:jc w:val="center"/>
            </w:pPr>
            <w:r>
              <w:rPr>
                <w:b w:val="0"/>
                <w:sz w:val="19"/>
              </w:rPr>
              <w:t>ExperienceEpisodes</w:t>
            </w:r>
          </w:p>
        </w:tc>
        <w:tc>
          <w:tcPr>
            <w:tcW w:type="dxa" w:w="1872"/>
            <w:shd w:val="clear" w:fill="F3F6FA"/>
          </w:tcPr>
          <w:p>
            <w:pPr>
              <w:spacing w:after="40" w:before="40"/>
              <w:jc w:val="center"/>
            </w:pPr>
            <w:r>
              <w:rPr>
                <w:b w:val="0"/>
                <w:sz w:val="19"/>
              </w:rPr>
              <w:t>0.1231</w:t>
            </w:r>
          </w:p>
        </w:tc>
        <w:tc>
          <w:tcPr>
            <w:tcW w:type="dxa" w:w="2016"/>
            <w:shd w:val="clear" w:fill="F3F6FA"/>
          </w:tcPr>
          <w:p>
            <w:pPr>
              <w:spacing w:after="40" w:before="40"/>
              <w:jc w:val="center"/>
            </w:pPr>
            <w:r>
              <w:rPr>
                <w:b w:val="0"/>
                <w:sz w:val="19"/>
              </w:rPr>
              <w:t>46.2%</w:t>
            </w:r>
          </w:p>
        </w:tc>
      </w:tr>
      <w:tr>
        <w:tc>
          <w:tcPr>
            <w:tcW w:type="dxa" w:w="1008"/>
          </w:tcPr>
          <w:p>
            <w:pPr>
              <w:spacing w:after="40" w:before="40"/>
            </w:pPr>
            <w:r>
              <w:rPr>
                <w:b w:val="0"/>
                <w:sz w:val="19"/>
              </w:rPr>
              <w:t>3</w:t>
            </w:r>
          </w:p>
        </w:tc>
        <w:tc>
          <w:tcPr>
            <w:tcW w:type="dxa" w:w="3744"/>
          </w:tcPr>
          <w:p>
            <w:pPr>
              <w:spacing w:after="40" w:before="40"/>
              <w:jc w:val="center"/>
            </w:pPr>
            <w:r>
              <w:rPr>
                <w:b w:val="0"/>
                <w:sz w:val="19"/>
              </w:rPr>
              <w:t>RoadDensity</w:t>
            </w:r>
          </w:p>
        </w:tc>
        <w:tc>
          <w:tcPr>
            <w:tcW w:type="dxa" w:w="1872"/>
          </w:tcPr>
          <w:p>
            <w:pPr>
              <w:spacing w:after="40" w:before="40"/>
              <w:jc w:val="center"/>
            </w:pPr>
            <w:r>
              <w:rPr>
                <w:b w:val="0"/>
                <w:sz w:val="19"/>
              </w:rPr>
              <w:t>0.1061</w:t>
            </w:r>
          </w:p>
        </w:tc>
        <w:tc>
          <w:tcPr>
            <w:tcW w:type="dxa" w:w="2016"/>
          </w:tcPr>
          <w:p>
            <w:pPr>
              <w:spacing w:after="40" w:before="40"/>
              <w:jc w:val="center"/>
            </w:pPr>
            <w:r>
              <w:rPr>
                <w:b w:val="0"/>
                <w:sz w:val="19"/>
              </w:rPr>
              <w:t>56.8%</w:t>
            </w:r>
          </w:p>
        </w:tc>
      </w:tr>
      <w:tr>
        <w:tc>
          <w:tcPr>
            <w:tcW w:type="dxa" w:w="1008"/>
            <w:shd w:val="clear" w:fill="F3F6FA"/>
          </w:tcPr>
          <w:p>
            <w:pPr>
              <w:spacing w:after="40" w:before="40"/>
            </w:pPr>
            <w:r>
              <w:rPr>
                <w:b w:val="0"/>
                <w:sz w:val="19"/>
              </w:rPr>
              <w:t>4</w:t>
            </w:r>
          </w:p>
        </w:tc>
        <w:tc>
          <w:tcPr>
            <w:tcW w:type="dxa" w:w="3744"/>
            <w:shd w:val="clear" w:fill="F3F6FA"/>
          </w:tcPr>
          <w:p>
            <w:pPr>
              <w:spacing w:after="40" w:before="40"/>
              <w:jc w:val="center"/>
            </w:pPr>
            <w:r>
              <w:rPr>
                <w:b w:val="0"/>
                <w:sz w:val="19"/>
              </w:rPr>
              <w:t>EpsilonStart</w:t>
            </w:r>
          </w:p>
        </w:tc>
        <w:tc>
          <w:tcPr>
            <w:tcW w:type="dxa" w:w="1872"/>
            <w:shd w:val="clear" w:fill="F3F6FA"/>
          </w:tcPr>
          <w:p>
            <w:pPr>
              <w:spacing w:after="40" w:before="40"/>
              <w:jc w:val="center"/>
            </w:pPr>
            <w:r>
              <w:rPr>
                <w:b w:val="0"/>
                <w:sz w:val="19"/>
              </w:rPr>
              <w:t>0.0754</w:t>
            </w:r>
          </w:p>
        </w:tc>
        <w:tc>
          <w:tcPr>
            <w:tcW w:type="dxa" w:w="2016"/>
            <w:shd w:val="clear" w:fill="F3F6FA"/>
          </w:tcPr>
          <w:p>
            <w:pPr>
              <w:spacing w:after="40" w:before="40"/>
              <w:jc w:val="center"/>
            </w:pPr>
            <w:r>
              <w:rPr>
                <w:b w:val="0"/>
                <w:sz w:val="19"/>
              </w:rPr>
              <w:t>64.4%</w:t>
            </w:r>
          </w:p>
        </w:tc>
      </w:tr>
      <w:tr>
        <w:tc>
          <w:tcPr>
            <w:tcW w:type="dxa" w:w="1008"/>
          </w:tcPr>
          <w:p>
            <w:pPr>
              <w:spacing w:after="40" w:before="40"/>
            </w:pPr>
            <w:r>
              <w:rPr>
                <w:b w:val="0"/>
                <w:sz w:val="19"/>
              </w:rPr>
              <w:t>5</w:t>
            </w:r>
          </w:p>
        </w:tc>
        <w:tc>
          <w:tcPr>
            <w:tcW w:type="dxa" w:w="3744"/>
          </w:tcPr>
          <w:p>
            <w:pPr>
              <w:spacing w:after="40" w:before="40"/>
              <w:jc w:val="center"/>
            </w:pPr>
            <w:r>
              <w:rPr>
                <w:b w:val="0"/>
                <w:sz w:val="19"/>
              </w:rPr>
              <w:t>ParkedDensity</w:t>
            </w:r>
          </w:p>
        </w:tc>
        <w:tc>
          <w:tcPr>
            <w:tcW w:type="dxa" w:w="1872"/>
          </w:tcPr>
          <w:p>
            <w:pPr>
              <w:spacing w:after="40" w:before="40"/>
              <w:jc w:val="center"/>
            </w:pPr>
            <w:r>
              <w:rPr>
                <w:b w:val="0"/>
                <w:sz w:val="19"/>
              </w:rPr>
              <w:t>0.0569</w:t>
            </w:r>
          </w:p>
        </w:tc>
        <w:tc>
          <w:tcPr>
            <w:tcW w:type="dxa" w:w="2016"/>
          </w:tcPr>
          <w:p>
            <w:pPr>
              <w:spacing w:after="40" w:before="40"/>
              <w:jc w:val="center"/>
            </w:pPr>
            <w:r>
              <w:rPr>
                <w:b w:val="0"/>
                <w:sz w:val="19"/>
              </w:rPr>
              <w:t>70.1%</w:t>
            </w:r>
          </w:p>
        </w:tc>
      </w:tr>
      <w:tr>
        <w:tc>
          <w:tcPr>
            <w:tcW w:type="dxa" w:w="1008"/>
            <w:shd w:val="clear" w:fill="F3F6FA"/>
          </w:tcPr>
          <w:p>
            <w:pPr>
              <w:spacing w:after="40" w:before="40"/>
            </w:pPr>
            <w:r>
              <w:rPr>
                <w:b w:val="0"/>
                <w:sz w:val="19"/>
              </w:rPr>
              <w:t>6</w:t>
            </w:r>
          </w:p>
        </w:tc>
        <w:tc>
          <w:tcPr>
            <w:tcW w:type="dxa" w:w="3744"/>
            <w:shd w:val="clear" w:fill="F3F6FA"/>
          </w:tcPr>
          <w:p>
            <w:pPr>
              <w:spacing w:after="40" w:before="40"/>
              <w:jc w:val="center"/>
            </w:pPr>
            <w:r>
              <w:rPr>
                <w:b w:val="0"/>
                <w:sz w:val="19"/>
              </w:rPr>
              <w:t>ObstacleCount</w:t>
            </w:r>
          </w:p>
        </w:tc>
        <w:tc>
          <w:tcPr>
            <w:tcW w:type="dxa" w:w="1872"/>
            <w:shd w:val="clear" w:fill="F3F6FA"/>
          </w:tcPr>
          <w:p>
            <w:pPr>
              <w:spacing w:after="40" w:before="40"/>
              <w:jc w:val="center"/>
            </w:pPr>
            <w:r>
              <w:rPr>
                <w:b w:val="0"/>
                <w:sz w:val="19"/>
              </w:rPr>
              <w:t>0.0539</w:t>
            </w:r>
          </w:p>
        </w:tc>
        <w:tc>
          <w:tcPr>
            <w:tcW w:type="dxa" w:w="2016"/>
            <w:shd w:val="clear" w:fill="F3F6FA"/>
          </w:tcPr>
          <w:p>
            <w:pPr>
              <w:spacing w:after="40" w:before="40"/>
              <w:jc w:val="center"/>
            </w:pPr>
            <w:r>
              <w:rPr>
                <w:b w:val="0"/>
                <w:sz w:val="19"/>
              </w:rPr>
              <w:t>75.4%</w:t>
            </w:r>
          </w:p>
        </w:tc>
      </w:tr>
      <w:tr>
        <w:tc>
          <w:tcPr>
            <w:tcW w:type="dxa" w:w="1008"/>
          </w:tcPr>
          <w:p>
            <w:pPr>
              <w:spacing w:after="40" w:before="40"/>
            </w:pPr>
            <w:r>
              <w:rPr>
                <w:b w:val="0"/>
                <w:sz w:val="19"/>
              </w:rPr>
              <w:t>7</w:t>
            </w:r>
          </w:p>
        </w:tc>
        <w:tc>
          <w:tcPr>
            <w:tcW w:type="dxa" w:w="3744"/>
          </w:tcPr>
          <w:p>
            <w:pPr>
              <w:spacing w:after="40" w:before="40"/>
              <w:jc w:val="center"/>
            </w:pPr>
            <w:r>
              <w:rPr>
                <w:b w:val="0"/>
                <w:sz w:val="19"/>
              </w:rPr>
              <w:t>DominantDirection_enc</w:t>
            </w:r>
          </w:p>
        </w:tc>
        <w:tc>
          <w:tcPr>
            <w:tcW w:type="dxa" w:w="1872"/>
          </w:tcPr>
          <w:p>
            <w:pPr>
              <w:spacing w:after="40" w:before="40"/>
              <w:jc w:val="center"/>
            </w:pPr>
            <w:r>
              <w:rPr>
                <w:b w:val="0"/>
                <w:sz w:val="19"/>
              </w:rPr>
              <w:t>0.0405</w:t>
            </w:r>
          </w:p>
        </w:tc>
        <w:tc>
          <w:tcPr>
            <w:tcW w:type="dxa" w:w="2016"/>
          </w:tcPr>
          <w:p>
            <w:pPr>
              <w:spacing w:after="40" w:before="40"/>
              <w:jc w:val="center"/>
            </w:pPr>
            <w:r>
              <w:rPr>
                <w:b w:val="0"/>
                <w:sz w:val="19"/>
              </w:rPr>
              <w:t>79.5%</w:t>
            </w:r>
          </w:p>
        </w:tc>
      </w:tr>
      <w:tr>
        <w:tc>
          <w:tcPr>
            <w:tcW w:type="dxa" w:w="1008"/>
            <w:shd w:val="clear" w:fill="F3F6FA"/>
          </w:tcPr>
          <w:p>
            <w:pPr>
              <w:spacing w:after="40" w:before="40"/>
            </w:pPr>
            <w:r>
              <w:rPr>
                <w:b w:val="0"/>
                <w:sz w:val="19"/>
              </w:rPr>
              <w:t>8</w:t>
            </w:r>
          </w:p>
        </w:tc>
        <w:tc>
          <w:tcPr>
            <w:tcW w:type="dxa" w:w="3744"/>
            <w:shd w:val="clear" w:fill="F3F6FA"/>
          </w:tcPr>
          <w:p>
            <w:pPr>
              <w:spacing w:after="40" w:before="40"/>
              <w:jc w:val="center"/>
            </w:pPr>
            <w:r>
              <w:rPr>
                <w:b w:val="0"/>
                <w:sz w:val="19"/>
              </w:rPr>
              <w:t>ExperienceLevel_enc</w:t>
            </w:r>
          </w:p>
        </w:tc>
        <w:tc>
          <w:tcPr>
            <w:tcW w:type="dxa" w:w="1872"/>
            <w:shd w:val="clear" w:fill="F3F6FA"/>
          </w:tcPr>
          <w:p>
            <w:pPr>
              <w:spacing w:after="40" w:before="40"/>
              <w:jc w:val="center"/>
            </w:pPr>
            <w:r>
              <w:rPr>
                <w:b w:val="0"/>
                <w:sz w:val="19"/>
              </w:rPr>
              <w:t>0.0402</w:t>
            </w:r>
          </w:p>
        </w:tc>
        <w:tc>
          <w:tcPr>
            <w:tcW w:type="dxa" w:w="2016"/>
            <w:shd w:val="clear" w:fill="F3F6FA"/>
          </w:tcPr>
          <w:p>
            <w:pPr>
              <w:spacing w:after="40" w:before="40"/>
              <w:jc w:val="center"/>
            </w:pPr>
            <w:r>
              <w:rPr>
                <w:b w:val="0"/>
                <w:sz w:val="19"/>
              </w:rPr>
              <w:t>83.5%</w:t>
            </w:r>
          </w:p>
        </w:tc>
      </w:tr>
      <w:tr>
        <w:tc>
          <w:tcPr>
            <w:tcW w:type="dxa" w:w="1008"/>
          </w:tcPr>
          <w:p>
            <w:pPr>
              <w:spacing w:after="40" w:before="40"/>
            </w:pPr>
            <w:r>
              <w:rPr>
                <w:b w:val="0"/>
                <w:sz w:val="19"/>
              </w:rPr>
              <w:t>9</w:t>
            </w:r>
          </w:p>
        </w:tc>
        <w:tc>
          <w:tcPr>
            <w:tcW w:type="dxa" w:w="3744"/>
          </w:tcPr>
          <w:p>
            <w:pPr>
              <w:spacing w:after="40" w:before="40"/>
              <w:jc w:val="center"/>
            </w:pPr>
            <w:r>
              <w:rPr>
                <w:b w:val="0"/>
                <w:sz w:val="19"/>
              </w:rPr>
              <w:t>EarlyProgress</w:t>
            </w:r>
          </w:p>
        </w:tc>
        <w:tc>
          <w:tcPr>
            <w:tcW w:type="dxa" w:w="1872"/>
          </w:tcPr>
          <w:p>
            <w:pPr>
              <w:spacing w:after="40" w:before="40"/>
              <w:jc w:val="center"/>
            </w:pPr>
            <w:r>
              <w:rPr>
                <w:b w:val="0"/>
                <w:sz w:val="19"/>
              </w:rPr>
              <w:t>0.0322</w:t>
            </w:r>
          </w:p>
        </w:tc>
        <w:tc>
          <w:tcPr>
            <w:tcW w:type="dxa" w:w="2016"/>
          </w:tcPr>
          <w:p>
            <w:pPr>
              <w:spacing w:after="40" w:before="40"/>
              <w:jc w:val="center"/>
            </w:pPr>
            <w:r>
              <w:rPr>
                <w:b w:val="0"/>
                <w:sz w:val="19"/>
              </w:rPr>
              <w:t>86.7%</w:t>
            </w:r>
          </w:p>
        </w:tc>
      </w:tr>
      <w:tr>
        <w:tc>
          <w:tcPr>
            <w:tcW w:type="dxa" w:w="1008"/>
            <w:shd w:val="clear" w:fill="F3F6FA"/>
          </w:tcPr>
          <w:p>
            <w:pPr>
              <w:spacing w:after="40" w:before="40"/>
            </w:pPr>
            <w:r>
              <w:rPr>
                <w:b w:val="0"/>
                <w:sz w:val="19"/>
              </w:rPr>
              <w:t>10</w:t>
            </w:r>
          </w:p>
        </w:tc>
        <w:tc>
          <w:tcPr>
            <w:tcW w:type="dxa" w:w="3744"/>
            <w:shd w:val="clear" w:fill="F3F6FA"/>
          </w:tcPr>
          <w:p>
            <w:pPr>
              <w:spacing w:after="40" w:before="40"/>
              <w:jc w:val="center"/>
            </w:pPr>
            <w:r>
              <w:rPr>
                <w:b w:val="0"/>
                <w:sz w:val="19"/>
              </w:rPr>
              <w:t>ExplorationBalanceScore</w:t>
            </w:r>
          </w:p>
        </w:tc>
        <w:tc>
          <w:tcPr>
            <w:tcW w:type="dxa" w:w="1872"/>
            <w:shd w:val="clear" w:fill="F3F6FA"/>
          </w:tcPr>
          <w:p>
            <w:pPr>
              <w:spacing w:after="40" w:before="40"/>
              <w:jc w:val="center"/>
            </w:pPr>
            <w:r>
              <w:rPr>
                <w:b w:val="0"/>
                <w:sz w:val="19"/>
              </w:rPr>
              <w:t>0.0257</w:t>
            </w:r>
          </w:p>
        </w:tc>
        <w:tc>
          <w:tcPr>
            <w:tcW w:type="dxa" w:w="2016"/>
            <w:shd w:val="clear" w:fill="F3F6FA"/>
          </w:tcPr>
          <w:p>
            <w:pPr>
              <w:spacing w:after="40" w:before="40"/>
              <w:jc w:val="center"/>
            </w:pPr>
            <w:r>
              <w:rPr>
                <w:b w:val="0"/>
                <w:sz w:val="19"/>
              </w:rPr>
              <w:t>89.3%</w:t>
            </w:r>
          </w:p>
        </w:tc>
      </w:tr>
    </w:tbl>
    <w:p>
      <w:pPr>
        <w:spacing w:after="0"/>
      </w:pPr>
    </w:p>
    <w:p>
      <w:pPr>
        <w:spacing w:before="160" w:after="40"/>
        <w:jc w:val="center"/>
      </w:pPr>
      <w:r>
        <w:drawing>
          <wp:inline xmlns:a="http://schemas.openxmlformats.org/drawingml/2006/main" xmlns:pic="http://schemas.openxmlformats.org/drawingml/2006/picture">
            <wp:extent cx="4297680" cy="3331004"/>
            <wp:docPr id="5" name="Picture 5"/>
            <wp:cNvGraphicFramePr>
              <a:graphicFrameLocks noChangeAspect="1"/>
            </wp:cNvGraphicFramePr>
            <a:graphic>
              <a:graphicData uri="http://schemas.openxmlformats.org/drawingml/2006/picture">
                <pic:pic>
                  <pic:nvPicPr>
                    <pic:cNvPr id="0" name="graf_05_feature_importance.png"/>
                    <pic:cNvPicPr/>
                  </pic:nvPicPr>
                  <pic:blipFill>
                    <a:blip r:embed="rId14"/>
                    <a:stretch>
                      <a:fillRect/>
                    </a:stretch>
                  </pic:blipFill>
                  <pic:spPr>
                    <a:xfrm>
                      <a:off x="0" y="0"/>
                      <a:ext cx="4297680" cy="3331004"/>
                    </a:xfrm>
                    <a:prstGeom prst="rect"/>
                  </pic:spPr>
                </pic:pic>
              </a:graphicData>
            </a:graphic>
          </wp:inline>
        </w:drawing>
      </w:r>
    </w:p>
    <w:p>
      <w:pPr>
        <w:spacing w:after="200"/>
        <w:jc w:val="center"/>
      </w:pPr>
      <w:r>
        <w:rPr>
          <w:b/>
          <w:color w:val="1B365D"/>
          <w:sz w:val="18"/>
        </w:rPr>
        <w:t xml:space="preserve">Slika 5. </w:t>
      </w:r>
      <w:r>
        <w:rPr>
          <w:color w:val="5A5A5A"/>
          <w:sz w:val="18"/>
        </w:rPr>
        <w:t>Vaznost varijabli prema finalnom Random Forest modelu.</w:t>
      </w:r>
    </w:p>
    <w:p>
      <w:pPr>
        <w:spacing w:before="200" w:after="60"/>
      </w:pPr>
      <w:r>
        <w:rPr>
          <w:b/>
          <w:color w:val="1F6FB2"/>
          <w:sz w:val="23"/>
        </w:rPr>
        <w:t>5.3 Usporedba modela</w:t>
      </w:r>
    </w:p>
    <w:p>
      <w:r>
        <w:rPr>
          <w:i w:val="0"/>
          <w:sz w:val="21"/>
        </w:rPr>
        <w:t>Sva tri modela postizu upotrebljive rezultate. Model Gradient Boosting je najbolji po svim mjerenim metrikama. Raspon AUC vrijednosti izmedju najboljeg i najslabijeg modela iznosi 0.0183. Razlika izmedju prva dva modela (Gradient Boosting i Random Forest) iznosi 0.0053, dakle malo, ali dosljedno.</w:t>
      </w:r>
    </w:p>
    <w:p>
      <w:pPr>
        <w:spacing w:before="160" w:after="60"/>
      </w:pPr>
      <w:r>
        <w:rPr>
          <w:b/>
          <w:color w:val="1B365D"/>
          <w:sz w:val="19"/>
        </w:rPr>
        <w:t xml:space="preserve">Tabela 8. </w:t>
      </w:r>
      <w:r>
        <w:rPr>
          <w:color w:val="5A5A5A"/>
          <w:sz w:val="19"/>
        </w:rPr>
        <w:t>Usporedba metrika na testnom skupu.</w:t>
      </w:r>
    </w:p>
    <w:tbl>
      <w:tblPr>
        <w:tblStyle w:val="TableGrid"/>
        <w:tblW w:type="auto" w:w="0"/>
        <w:jc w:val="center"/>
        <w:tblLook w:firstColumn="1" w:firstRow="1" w:lastColumn="0" w:lastRow="0" w:noHBand="0" w:noVBand="1" w:val="04A0"/>
      </w:tblPr>
      <w:tblGrid>
        <w:gridCol w:w="1536"/>
        <w:gridCol w:w="1536"/>
        <w:gridCol w:w="1536"/>
        <w:gridCol w:w="1536"/>
        <w:gridCol w:w="1536"/>
        <w:gridCol w:w="1536"/>
      </w:tblGrid>
      <w:tr>
        <w:tc>
          <w:tcPr>
            <w:tcW w:type="dxa" w:w="2880"/>
            <w:shd w:val="clear" w:fill="1B365D"/>
          </w:tcPr>
          <w:p>
            <w:pPr>
              <w:spacing w:after="40" w:before="40"/>
            </w:pPr>
            <w:r>
              <w:rPr>
                <w:b/>
                <w:color w:val="FFFFFF"/>
                <w:sz w:val="19"/>
              </w:rPr>
              <w:t>Model</w:t>
            </w:r>
          </w:p>
        </w:tc>
        <w:tc>
          <w:tcPr>
            <w:tcW w:type="dxa" w:w="1296"/>
            <w:shd w:val="clear" w:fill="1B365D"/>
          </w:tcPr>
          <w:p>
            <w:pPr>
              <w:spacing w:after="40" w:before="40"/>
            </w:pPr>
            <w:r>
              <w:rPr>
                <w:b/>
                <w:color w:val="FFFFFF"/>
                <w:sz w:val="19"/>
              </w:rPr>
              <w:t>Accuracy</w:t>
            </w:r>
          </w:p>
        </w:tc>
        <w:tc>
          <w:tcPr>
            <w:tcW w:type="dxa" w:w="1296"/>
            <w:shd w:val="clear" w:fill="1B365D"/>
          </w:tcPr>
          <w:p>
            <w:pPr>
              <w:spacing w:after="40" w:before="40"/>
            </w:pPr>
            <w:r>
              <w:rPr>
                <w:b/>
                <w:color w:val="FFFFFF"/>
                <w:sz w:val="19"/>
              </w:rPr>
              <w:t>Precision</w:t>
            </w:r>
          </w:p>
        </w:tc>
        <w:tc>
          <w:tcPr>
            <w:tcW w:type="dxa" w:w="1224"/>
            <w:shd w:val="clear" w:fill="1B365D"/>
          </w:tcPr>
          <w:p>
            <w:pPr>
              <w:spacing w:after="40" w:before="40"/>
            </w:pPr>
            <w:r>
              <w:rPr>
                <w:b/>
                <w:color w:val="FFFFFF"/>
                <w:sz w:val="19"/>
              </w:rPr>
              <w:t>Recall</w:t>
            </w:r>
          </w:p>
        </w:tc>
        <w:tc>
          <w:tcPr>
            <w:tcW w:type="dxa" w:w="1152"/>
            <w:shd w:val="clear" w:fill="1B365D"/>
          </w:tcPr>
          <w:p>
            <w:pPr>
              <w:spacing w:after="40" w:before="40"/>
            </w:pPr>
            <w:r>
              <w:rPr>
                <w:b/>
                <w:color w:val="FFFFFF"/>
                <w:sz w:val="19"/>
              </w:rPr>
              <w:t>F1</w:t>
            </w:r>
          </w:p>
        </w:tc>
        <w:tc>
          <w:tcPr>
            <w:tcW w:type="dxa" w:w="1224"/>
            <w:shd w:val="clear" w:fill="1B365D"/>
          </w:tcPr>
          <w:p>
            <w:pPr>
              <w:spacing w:after="40" w:before="40"/>
            </w:pPr>
            <w:r>
              <w:rPr>
                <w:b/>
                <w:color w:val="FFFFFF"/>
                <w:sz w:val="19"/>
              </w:rPr>
              <w:t>AUC</w:t>
            </w:r>
          </w:p>
        </w:tc>
      </w:tr>
      <w:tr>
        <w:tc>
          <w:tcPr>
            <w:tcW w:type="dxa" w:w="2880"/>
          </w:tcPr>
          <w:p>
            <w:pPr>
              <w:spacing w:after="40" w:before="40"/>
            </w:pPr>
            <w:r>
              <w:rPr>
                <w:b w:val="0"/>
                <w:sz w:val="19"/>
              </w:rPr>
              <w:t>Random Forest (podeseni)</w:t>
            </w:r>
          </w:p>
        </w:tc>
        <w:tc>
          <w:tcPr>
            <w:tcW w:type="dxa" w:w="1296"/>
          </w:tcPr>
          <w:p>
            <w:pPr>
              <w:spacing w:after="40" w:before="40"/>
              <w:jc w:val="center"/>
            </w:pPr>
            <w:r>
              <w:rPr>
                <w:b w:val="0"/>
                <w:sz w:val="19"/>
              </w:rPr>
              <w:t>0.8785</w:t>
            </w:r>
          </w:p>
        </w:tc>
        <w:tc>
          <w:tcPr>
            <w:tcW w:type="dxa" w:w="1296"/>
          </w:tcPr>
          <w:p>
            <w:pPr>
              <w:spacing w:after="40" w:before="40"/>
              <w:jc w:val="center"/>
            </w:pPr>
            <w:r>
              <w:rPr>
                <w:b w:val="0"/>
                <w:sz w:val="19"/>
              </w:rPr>
              <w:t>0.8791</w:t>
            </w:r>
          </w:p>
        </w:tc>
        <w:tc>
          <w:tcPr>
            <w:tcW w:type="dxa" w:w="1224"/>
          </w:tcPr>
          <w:p>
            <w:pPr>
              <w:spacing w:after="40" w:before="40"/>
              <w:jc w:val="center"/>
            </w:pPr>
            <w:r>
              <w:rPr>
                <w:b w:val="0"/>
                <w:sz w:val="19"/>
              </w:rPr>
              <w:t>0.9265</w:t>
            </w:r>
          </w:p>
        </w:tc>
        <w:tc>
          <w:tcPr>
            <w:tcW w:type="dxa" w:w="1152"/>
          </w:tcPr>
          <w:p>
            <w:pPr>
              <w:spacing w:after="40" w:before="40"/>
              <w:jc w:val="center"/>
            </w:pPr>
            <w:r>
              <w:rPr>
                <w:b w:val="0"/>
                <w:sz w:val="19"/>
              </w:rPr>
              <w:t>0.9022</w:t>
            </w:r>
          </w:p>
        </w:tc>
        <w:tc>
          <w:tcPr>
            <w:tcW w:type="dxa" w:w="1224"/>
          </w:tcPr>
          <w:p>
            <w:pPr>
              <w:spacing w:after="40" w:before="40"/>
              <w:jc w:val="center"/>
            </w:pPr>
            <w:r>
              <w:rPr>
                <w:b w:val="0"/>
                <w:sz w:val="19"/>
              </w:rPr>
              <w:t>0.9431</w:t>
            </w:r>
          </w:p>
        </w:tc>
      </w:tr>
      <w:tr>
        <w:tc>
          <w:tcPr>
            <w:tcW w:type="dxa" w:w="2880"/>
            <w:shd w:val="clear" w:fill="F3F6FA"/>
          </w:tcPr>
          <w:p>
            <w:pPr>
              <w:spacing w:after="40" w:before="40"/>
            </w:pPr>
            <w:r>
              <w:rPr>
                <w:b w:val="0"/>
                <w:sz w:val="19"/>
              </w:rPr>
              <w:t>Logisticka regresija</w:t>
            </w:r>
          </w:p>
        </w:tc>
        <w:tc>
          <w:tcPr>
            <w:tcW w:type="dxa" w:w="1296"/>
            <w:shd w:val="clear" w:fill="F3F6FA"/>
          </w:tcPr>
          <w:p>
            <w:pPr>
              <w:spacing w:after="40" w:before="40"/>
              <w:jc w:val="center"/>
            </w:pPr>
            <w:r>
              <w:rPr>
                <w:b w:val="0"/>
                <w:sz w:val="19"/>
              </w:rPr>
              <w:t>0.8651</w:t>
            </w:r>
          </w:p>
        </w:tc>
        <w:tc>
          <w:tcPr>
            <w:tcW w:type="dxa" w:w="1296"/>
            <w:shd w:val="clear" w:fill="F3F6FA"/>
          </w:tcPr>
          <w:p>
            <w:pPr>
              <w:spacing w:after="40" w:before="40"/>
              <w:jc w:val="center"/>
            </w:pPr>
            <w:r>
              <w:rPr>
                <w:b w:val="0"/>
                <w:sz w:val="19"/>
              </w:rPr>
              <w:t>0.8661</w:t>
            </w:r>
          </w:p>
        </w:tc>
        <w:tc>
          <w:tcPr>
            <w:tcW w:type="dxa" w:w="1224"/>
            <w:shd w:val="clear" w:fill="F3F6FA"/>
          </w:tcPr>
          <w:p>
            <w:pPr>
              <w:spacing w:after="40" w:before="40"/>
              <w:jc w:val="center"/>
            </w:pPr>
            <w:r>
              <w:rPr>
                <w:b w:val="0"/>
                <w:sz w:val="19"/>
              </w:rPr>
              <w:t>0.9188</w:t>
            </w:r>
          </w:p>
        </w:tc>
        <w:tc>
          <w:tcPr>
            <w:tcW w:type="dxa" w:w="1152"/>
            <w:shd w:val="clear" w:fill="F3F6FA"/>
          </w:tcPr>
          <w:p>
            <w:pPr>
              <w:spacing w:after="40" w:before="40"/>
              <w:jc w:val="center"/>
            </w:pPr>
            <w:r>
              <w:rPr>
                <w:b w:val="0"/>
                <w:sz w:val="19"/>
              </w:rPr>
              <w:t>0.8917</w:t>
            </w:r>
          </w:p>
        </w:tc>
        <w:tc>
          <w:tcPr>
            <w:tcW w:type="dxa" w:w="1224"/>
            <w:shd w:val="clear" w:fill="F3F6FA"/>
          </w:tcPr>
          <w:p>
            <w:pPr>
              <w:spacing w:after="40" w:before="40"/>
              <w:jc w:val="center"/>
            </w:pPr>
            <w:r>
              <w:rPr>
                <w:b w:val="0"/>
                <w:sz w:val="19"/>
              </w:rPr>
              <w:t>0.9301</w:t>
            </w:r>
          </w:p>
        </w:tc>
      </w:tr>
      <w:tr>
        <w:tc>
          <w:tcPr>
            <w:tcW w:type="dxa" w:w="2880"/>
          </w:tcPr>
          <w:p>
            <w:pPr>
              <w:spacing w:after="40" w:before="40"/>
            </w:pPr>
            <w:r>
              <w:rPr>
                <w:b w:val="0"/>
                <w:sz w:val="19"/>
              </w:rPr>
              <w:t>Gradient Boosting</w:t>
            </w:r>
          </w:p>
        </w:tc>
        <w:tc>
          <w:tcPr>
            <w:tcW w:type="dxa" w:w="1296"/>
          </w:tcPr>
          <w:p>
            <w:pPr>
              <w:spacing w:after="40" w:before="40"/>
              <w:jc w:val="center"/>
            </w:pPr>
            <w:r>
              <w:rPr>
                <w:b w:val="0"/>
                <w:sz w:val="19"/>
              </w:rPr>
              <w:t>0.8821</w:t>
            </w:r>
          </w:p>
        </w:tc>
        <w:tc>
          <w:tcPr>
            <w:tcW w:type="dxa" w:w="1296"/>
          </w:tcPr>
          <w:p>
            <w:pPr>
              <w:spacing w:after="40" w:before="40"/>
              <w:jc w:val="center"/>
            </w:pPr>
            <w:r>
              <w:rPr>
                <w:b w:val="0"/>
                <w:sz w:val="19"/>
              </w:rPr>
              <w:t>0.8868</w:t>
            </w:r>
          </w:p>
        </w:tc>
        <w:tc>
          <w:tcPr>
            <w:tcW w:type="dxa" w:w="1224"/>
          </w:tcPr>
          <w:p>
            <w:pPr>
              <w:spacing w:after="40" w:before="40"/>
              <w:jc w:val="center"/>
            </w:pPr>
            <w:r>
              <w:rPr>
                <w:b w:val="0"/>
                <w:sz w:val="19"/>
              </w:rPr>
              <w:t>0.9228</w:t>
            </w:r>
          </w:p>
        </w:tc>
        <w:tc>
          <w:tcPr>
            <w:tcW w:type="dxa" w:w="1152"/>
          </w:tcPr>
          <w:p>
            <w:pPr>
              <w:spacing w:after="40" w:before="40"/>
              <w:jc w:val="center"/>
            </w:pPr>
            <w:r>
              <w:rPr>
                <w:b w:val="0"/>
                <w:sz w:val="19"/>
              </w:rPr>
              <w:t>0.9044</w:t>
            </w:r>
          </w:p>
        </w:tc>
        <w:tc>
          <w:tcPr>
            <w:tcW w:type="dxa" w:w="1224"/>
          </w:tcPr>
          <w:p>
            <w:pPr>
              <w:spacing w:after="40" w:before="40"/>
              <w:jc w:val="center"/>
            </w:pPr>
            <w:r>
              <w:rPr>
                <w:b w:val="0"/>
                <w:sz w:val="19"/>
              </w:rPr>
              <w:t>0.9484</w:t>
            </w:r>
          </w:p>
        </w:tc>
      </w:tr>
    </w:tbl>
    <w:p>
      <w:pPr>
        <w:spacing w:after="0"/>
      </w:pPr>
    </w:p>
    <w:p>
      <w:pPr>
        <w:spacing w:before="160" w:after="40"/>
        <w:jc w:val="center"/>
      </w:pPr>
      <w:r>
        <w:drawing>
          <wp:inline xmlns:a="http://schemas.openxmlformats.org/drawingml/2006/main" xmlns:pic="http://schemas.openxmlformats.org/drawingml/2006/picture">
            <wp:extent cx="4937760" cy="2441841"/>
            <wp:docPr id="6" name="Picture 6"/>
            <wp:cNvGraphicFramePr>
              <a:graphicFrameLocks noChangeAspect="1"/>
            </wp:cNvGraphicFramePr>
            <a:graphic>
              <a:graphicData uri="http://schemas.openxmlformats.org/drawingml/2006/picture">
                <pic:pic>
                  <pic:nvPicPr>
                    <pic:cNvPr id="0" name="graf_09_usporedba_metrika.png"/>
                    <pic:cNvPicPr/>
                  </pic:nvPicPr>
                  <pic:blipFill>
                    <a:blip r:embed="rId15"/>
                    <a:stretch>
                      <a:fillRect/>
                    </a:stretch>
                  </pic:blipFill>
                  <pic:spPr>
                    <a:xfrm>
                      <a:off x="0" y="0"/>
                      <a:ext cx="4937760" cy="2441841"/>
                    </a:xfrm>
                    <a:prstGeom prst="rect"/>
                  </pic:spPr>
                </pic:pic>
              </a:graphicData>
            </a:graphic>
          </wp:inline>
        </w:drawing>
      </w:r>
    </w:p>
    <w:p>
      <w:pPr>
        <w:spacing w:after="200"/>
        <w:jc w:val="center"/>
      </w:pPr>
      <w:r>
        <w:rPr>
          <w:b/>
          <w:color w:val="1B365D"/>
          <w:sz w:val="18"/>
        </w:rPr>
        <w:t xml:space="preserve">Slika 6. </w:t>
      </w:r>
      <w:r>
        <w:rPr>
          <w:color w:val="5A5A5A"/>
          <w:sz w:val="18"/>
        </w:rPr>
        <w:t>Usporedba metrika finalnog Random Forest modela i logisticke regresije.</w:t>
      </w:r>
    </w:p>
    <w:p>
      <w:pPr>
        <w:spacing w:before="160" w:after="40"/>
        <w:jc w:val="center"/>
      </w:pPr>
      <w:r>
        <w:drawing>
          <wp:inline xmlns:a="http://schemas.openxmlformats.org/drawingml/2006/main" xmlns:pic="http://schemas.openxmlformats.org/drawingml/2006/picture">
            <wp:extent cx="4297680" cy="3050469"/>
            <wp:docPr id="7" name="Picture 7"/>
            <wp:cNvGraphicFramePr>
              <a:graphicFrameLocks noChangeAspect="1"/>
            </wp:cNvGraphicFramePr>
            <a:graphic>
              <a:graphicData uri="http://schemas.openxmlformats.org/drawingml/2006/picture">
                <pic:pic>
                  <pic:nvPicPr>
                    <pic:cNvPr id="0" name="graf_08_roc_usporedba.png"/>
                    <pic:cNvPicPr/>
                  </pic:nvPicPr>
                  <pic:blipFill>
                    <a:blip r:embed="rId16"/>
                    <a:stretch>
                      <a:fillRect/>
                    </a:stretch>
                  </pic:blipFill>
                  <pic:spPr>
                    <a:xfrm>
                      <a:off x="0" y="0"/>
                      <a:ext cx="4297680" cy="3050469"/>
                    </a:xfrm>
                    <a:prstGeom prst="rect"/>
                  </pic:spPr>
                </pic:pic>
              </a:graphicData>
            </a:graphic>
          </wp:inline>
        </w:drawing>
      </w:r>
    </w:p>
    <w:p>
      <w:pPr>
        <w:spacing w:after="200"/>
        <w:jc w:val="center"/>
      </w:pPr>
      <w:r>
        <w:rPr>
          <w:b/>
          <w:color w:val="1B365D"/>
          <w:sz w:val="18"/>
        </w:rPr>
        <w:t xml:space="preserve">Slika 7. </w:t>
      </w:r>
      <w:r>
        <w:rPr>
          <w:color w:val="5A5A5A"/>
          <w:sz w:val="18"/>
        </w:rPr>
        <w:t>ROC krivulje poredjenih modela.</w:t>
      </w:r>
    </w:p>
    <w:p>
      <w:pPr>
        <w:spacing w:before="200" w:after="60"/>
      </w:pPr>
      <w:r>
        <w:rPr>
          <w:b/>
          <w:color w:val="1F6FB2"/>
          <w:sz w:val="23"/>
        </w:rPr>
        <w:t>5.4 Unakrsna validacija</w:t>
      </w:r>
    </w:p>
    <w:p>
      <w:r>
        <w:rPr>
          <w:i w:val="0"/>
          <w:sz w:val="21"/>
        </w:rPr>
        <w:t>Rezultati zasnovani na jednoj podjeli podataka daju jednu vrijednost po metrici, bez informacije o tome koliko je ta vrijednost stabilna. Zbog toga je provedena i petostruka stratifikovana unakrsna validacija: podaci su podijeljeni na pet dijelova, a svaki model je treniran pet puta, pri cemu je svaki put drugi dio koristen kao testni skup. Time se za svaku metriku dobija prosjek i standardna devijacija.</w:t>
      </w:r>
    </w:p>
    <w:p>
      <w:pPr>
        <w:spacing w:before="160" w:after="60"/>
      </w:pPr>
      <w:r>
        <w:rPr>
          <w:b/>
          <w:color w:val="1B365D"/>
          <w:sz w:val="19"/>
        </w:rPr>
        <w:t xml:space="preserve">Tabela 9. </w:t>
      </w:r>
      <w:r>
        <w:rPr>
          <w:color w:val="5A5A5A"/>
          <w:sz w:val="19"/>
        </w:rPr>
        <w:t>Rezultati petostruke unakrsne validacije (prosjek ± standardna devijacija).</w:t>
      </w:r>
    </w:p>
    <w:tbl>
      <w:tblPr>
        <w:tblStyle w:val="TableGrid"/>
        <w:tblW w:type="auto" w:w="0"/>
        <w:jc w:val="center"/>
        <w:tblLook w:firstColumn="1" w:firstRow="1" w:lastColumn="0" w:lastRow="0" w:noHBand="0" w:noVBand="1" w:val="04A0"/>
      </w:tblPr>
      <w:tblGrid>
        <w:gridCol w:w="1536"/>
        <w:gridCol w:w="1536"/>
        <w:gridCol w:w="1536"/>
        <w:gridCol w:w="1536"/>
        <w:gridCol w:w="1536"/>
        <w:gridCol w:w="1536"/>
      </w:tblGrid>
      <w:tr>
        <w:tc>
          <w:tcPr>
            <w:tcW w:type="dxa" w:w="2304"/>
            <w:shd w:val="clear" w:fill="1B365D"/>
          </w:tcPr>
          <w:p>
            <w:pPr>
              <w:spacing w:after="40" w:before="40"/>
            </w:pPr>
            <w:r>
              <w:rPr>
                <w:b/>
                <w:color w:val="FFFFFF"/>
                <w:sz w:val="19"/>
              </w:rPr>
              <w:t>Model</w:t>
            </w:r>
          </w:p>
        </w:tc>
        <w:tc>
          <w:tcPr>
            <w:tcW w:type="dxa" w:w="1368"/>
            <w:shd w:val="clear" w:fill="1B365D"/>
          </w:tcPr>
          <w:p>
            <w:pPr>
              <w:spacing w:after="40" w:before="40"/>
            </w:pPr>
            <w:r>
              <w:rPr>
                <w:b/>
                <w:color w:val="FFFFFF"/>
                <w:sz w:val="19"/>
              </w:rPr>
              <w:t>Accuracy</w:t>
            </w:r>
          </w:p>
        </w:tc>
        <w:tc>
          <w:tcPr>
            <w:tcW w:type="dxa" w:w="1368"/>
            <w:shd w:val="clear" w:fill="1B365D"/>
          </w:tcPr>
          <w:p>
            <w:pPr>
              <w:spacing w:after="40" w:before="40"/>
            </w:pPr>
            <w:r>
              <w:rPr>
                <w:b/>
                <w:color w:val="FFFFFF"/>
                <w:sz w:val="19"/>
              </w:rPr>
              <w:t>Precision</w:t>
            </w:r>
          </w:p>
        </w:tc>
        <w:tc>
          <w:tcPr>
            <w:tcW w:type="dxa" w:w="1368"/>
            <w:shd w:val="clear" w:fill="1B365D"/>
          </w:tcPr>
          <w:p>
            <w:pPr>
              <w:spacing w:after="40" w:before="40"/>
            </w:pPr>
            <w:r>
              <w:rPr>
                <w:b/>
                <w:color w:val="FFFFFF"/>
                <w:sz w:val="19"/>
              </w:rPr>
              <w:t>Recall</w:t>
            </w:r>
          </w:p>
        </w:tc>
        <w:tc>
          <w:tcPr>
            <w:tcW w:type="dxa" w:w="1368"/>
            <w:shd w:val="clear" w:fill="1B365D"/>
          </w:tcPr>
          <w:p>
            <w:pPr>
              <w:spacing w:after="40" w:before="40"/>
            </w:pPr>
            <w:r>
              <w:rPr>
                <w:b/>
                <w:color w:val="FFFFFF"/>
                <w:sz w:val="19"/>
              </w:rPr>
              <w:t>F1</w:t>
            </w:r>
          </w:p>
        </w:tc>
        <w:tc>
          <w:tcPr>
            <w:tcW w:type="dxa" w:w="1368"/>
            <w:shd w:val="clear" w:fill="1B365D"/>
          </w:tcPr>
          <w:p>
            <w:pPr>
              <w:spacing w:after="40" w:before="40"/>
            </w:pPr>
            <w:r>
              <w:rPr>
                <w:b/>
                <w:color w:val="FFFFFF"/>
                <w:sz w:val="19"/>
              </w:rPr>
              <w:t>AUC-ROC</w:t>
            </w:r>
          </w:p>
        </w:tc>
      </w:tr>
      <w:tr>
        <w:tc>
          <w:tcPr>
            <w:tcW w:type="dxa" w:w="2304"/>
          </w:tcPr>
          <w:p>
            <w:pPr>
              <w:spacing w:after="40" w:before="40"/>
            </w:pPr>
            <w:r>
              <w:rPr>
                <w:b w:val="0"/>
                <w:sz w:val="19"/>
              </w:rPr>
              <w:t>Random Forest (podeseni)</w:t>
            </w:r>
          </w:p>
        </w:tc>
        <w:tc>
          <w:tcPr>
            <w:tcW w:type="dxa" w:w="1368"/>
          </w:tcPr>
          <w:p>
            <w:pPr>
              <w:spacing w:after="40" w:before="40"/>
              <w:jc w:val="center"/>
            </w:pPr>
            <w:r>
              <w:rPr>
                <w:b w:val="0"/>
                <w:sz w:val="19"/>
              </w:rPr>
              <w:t>0.8826 ± 0.0057</w:t>
            </w:r>
          </w:p>
        </w:tc>
        <w:tc>
          <w:tcPr>
            <w:tcW w:type="dxa" w:w="1368"/>
          </w:tcPr>
          <w:p>
            <w:pPr>
              <w:spacing w:after="40" w:before="40"/>
              <w:jc w:val="center"/>
            </w:pPr>
            <w:r>
              <w:rPr>
                <w:b w:val="0"/>
                <w:sz w:val="19"/>
              </w:rPr>
              <w:t>0.8860 ± 0.0051</w:t>
            </w:r>
          </w:p>
        </w:tc>
        <w:tc>
          <w:tcPr>
            <w:tcW w:type="dxa" w:w="1368"/>
          </w:tcPr>
          <w:p>
            <w:pPr>
              <w:spacing w:after="40" w:before="40"/>
              <w:jc w:val="center"/>
            </w:pPr>
            <w:r>
              <w:rPr>
                <w:b w:val="0"/>
                <w:sz w:val="19"/>
              </w:rPr>
              <w:t>0.9249 ± 0.0067</w:t>
            </w:r>
          </w:p>
        </w:tc>
        <w:tc>
          <w:tcPr>
            <w:tcW w:type="dxa" w:w="1368"/>
          </w:tcPr>
          <w:p>
            <w:pPr>
              <w:spacing w:after="40" w:before="40"/>
              <w:jc w:val="center"/>
            </w:pPr>
            <w:r>
              <w:rPr>
                <w:b w:val="0"/>
                <w:sz w:val="19"/>
              </w:rPr>
              <w:t>0.9050 ± 0.0047</w:t>
            </w:r>
          </w:p>
        </w:tc>
        <w:tc>
          <w:tcPr>
            <w:tcW w:type="dxa" w:w="1368"/>
          </w:tcPr>
          <w:p>
            <w:pPr>
              <w:spacing w:after="40" w:before="40"/>
              <w:jc w:val="center"/>
            </w:pPr>
            <w:r>
              <w:rPr>
                <w:b w:val="0"/>
                <w:sz w:val="19"/>
              </w:rPr>
              <w:t>0.9448 ± 0.0043</w:t>
            </w:r>
          </w:p>
        </w:tc>
      </w:tr>
      <w:tr>
        <w:tc>
          <w:tcPr>
            <w:tcW w:type="dxa" w:w="2304"/>
            <w:shd w:val="clear" w:fill="F3F6FA"/>
          </w:tcPr>
          <w:p>
            <w:pPr>
              <w:spacing w:after="40" w:before="40"/>
            </w:pPr>
            <w:r>
              <w:rPr>
                <w:b w:val="0"/>
                <w:sz w:val="19"/>
              </w:rPr>
              <w:t>Logisticka regresija</w:t>
            </w:r>
          </w:p>
        </w:tc>
        <w:tc>
          <w:tcPr>
            <w:tcW w:type="dxa" w:w="1368"/>
            <w:shd w:val="clear" w:fill="F3F6FA"/>
          </w:tcPr>
          <w:p>
            <w:pPr>
              <w:spacing w:after="40" w:before="40"/>
              <w:jc w:val="center"/>
            </w:pPr>
            <w:r>
              <w:rPr>
                <w:b w:val="0"/>
                <w:sz w:val="19"/>
              </w:rPr>
              <w:t>0.8670 ± 0.0061</w:t>
            </w:r>
          </w:p>
        </w:tc>
        <w:tc>
          <w:tcPr>
            <w:tcW w:type="dxa" w:w="1368"/>
            <w:shd w:val="clear" w:fill="F3F6FA"/>
          </w:tcPr>
          <w:p>
            <w:pPr>
              <w:spacing w:after="40" w:before="40"/>
              <w:jc w:val="center"/>
            </w:pPr>
            <w:r>
              <w:rPr>
                <w:b w:val="0"/>
                <w:sz w:val="19"/>
              </w:rPr>
              <w:t>0.8705 ± 0.0058</w:t>
            </w:r>
          </w:p>
        </w:tc>
        <w:tc>
          <w:tcPr>
            <w:tcW w:type="dxa" w:w="1368"/>
            <w:shd w:val="clear" w:fill="F3F6FA"/>
          </w:tcPr>
          <w:p>
            <w:pPr>
              <w:spacing w:after="40" w:before="40"/>
              <w:jc w:val="center"/>
            </w:pPr>
            <w:r>
              <w:rPr>
                <w:b w:val="0"/>
                <w:sz w:val="19"/>
              </w:rPr>
              <w:t>0.9162 ± 0.0064</w:t>
            </w:r>
          </w:p>
        </w:tc>
        <w:tc>
          <w:tcPr>
            <w:tcW w:type="dxa" w:w="1368"/>
            <w:shd w:val="clear" w:fill="F3F6FA"/>
          </w:tcPr>
          <w:p>
            <w:pPr>
              <w:spacing w:after="40" w:before="40"/>
              <w:jc w:val="center"/>
            </w:pPr>
            <w:r>
              <w:rPr>
                <w:b w:val="0"/>
                <w:sz w:val="19"/>
              </w:rPr>
              <w:t>0.8928 ± 0.0049</w:t>
            </w:r>
          </w:p>
        </w:tc>
        <w:tc>
          <w:tcPr>
            <w:tcW w:type="dxa" w:w="1368"/>
            <w:shd w:val="clear" w:fill="F3F6FA"/>
          </w:tcPr>
          <w:p>
            <w:pPr>
              <w:spacing w:after="40" w:before="40"/>
              <w:jc w:val="center"/>
            </w:pPr>
            <w:r>
              <w:rPr>
                <w:b w:val="0"/>
                <w:sz w:val="19"/>
              </w:rPr>
              <w:t>0.9335 ± 0.0032</w:t>
            </w:r>
          </w:p>
        </w:tc>
      </w:tr>
      <w:tr>
        <w:tc>
          <w:tcPr>
            <w:tcW w:type="dxa" w:w="2304"/>
          </w:tcPr>
          <w:p>
            <w:pPr>
              <w:spacing w:after="40" w:before="40"/>
            </w:pPr>
            <w:r>
              <w:rPr>
                <w:b w:val="0"/>
                <w:sz w:val="19"/>
              </w:rPr>
              <w:t>Gradient Boosting</w:t>
            </w:r>
          </w:p>
        </w:tc>
        <w:tc>
          <w:tcPr>
            <w:tcW w:type="dxa" w:w="1368"/>
          </w:tcPr>
          <w:p>
            <w:pPr>
              <w:spacing w:after="40" w:before="40"/>
              <w:jc w:val="center"/>
            </w:pPr>
            <w:r>
              <w:rPr>
                <w:b w:val="0"/>
                <w:sz w:val="19"/>
              </w:rPr>
              <w:t>0.8863 ± 0.0062</w:t>
            </w:r>
          </w:p>
        </w:tc>
        <w:tc>
          <w:tcPr>
            <w:tcW w:type="dxa" w:w="1368"/>
          </w:tcPr>
          <w:p>
            <w:pPr>
              <w:spacing w:after="40" w:before="40"/>
              <w:jc w:val="center"/>
            </w:pPr>
            <w:r>
              <w:rPr>
                <w:b w:val="0"/>
                <w:sz w:val="19"/>
              </w:rPr>
              <w:t>0.8924 ± 0.0056</w:t>
            </w:r>
          </w:p>
        </w:tc>
        <w:tc>
          <w:tcPr>
            <w:tcW w:type="dxa" w:w="1368"/>
          </w:tcPr>
          <w:p>
            <w:pPr>
              <w:spacing w:after="40" w:before="40"/>
              <w:jc w:val="center"/>
            </w:pPr>
            <w:r>
              <w:rPr>
                <w:b w:val="0"/>
                <w:sz w:val="19"/>
              </w:rPr>
              <w:t>0.9232 ± 0.0070</w:t>
            </w:r>
          </w:p>
        </w:tc>
        <w:tc>
          <w:tcPr>
            <w:tcW w:type="dxa" w:w="1368"/>
          </w:tcPr>
          <w:p>
            <w:pPr>
              <w:spacing w:after="40" w:before="40"/>
              <w:jc w:val="center"/>
            </w:pPr>
            <w:r>
              <w:rPr>
                <w:b w:val="0"/>
                <w:sz w:val="19"/>
              </w:rPr>
              <w:t>0.9075 ± 0.0051</w:t>
            </w:r>
          </w:p>
        </w:tc>
        <w:tc>
          <w:tcPr>
            <w:tcW w:type="dxa" w:w="1368"/>
          </w:tcPr>
          <w:p>
            <w:pPr>
              <w:spacing w:after="40" w:before="40"/>
              <w:jc w:val="center"/>
            </w:pPr>
            <w:r>
              <w:rPr>
                <w:b w:val="0"/>
                <w:sz w:val="19"/>
              </w:rPr>
              <w:t>0.9495 ± 0.0034</w:t>
            </w:r>
          </w:p>
        </w:tc>
      </w:tr>
    </w:tbl>
    <w:p>
      <w:pPr>
        <w:spacing w:after="0"/>
      </w:pPr>
    </w:p>
    <w:p>
      <w:r>
        <w:rPr>
          <w:i w:val="0"/>
          <w:sz w:val="21"/>
        </w:rPr>
        <w:t>Standardna devijacija AUC vrijednosti ne prelazi 0.0043 ni kod jednog modela, sto znaci da su rezultati stabilni u odnosu na izbor podjele. Razlika izmedju najboljeg i najslabijeg modela iznosi 0.0160, dakle vise od rasipanja izmedju podjela, pa se moze smatrati stvarnom razlikom. Najbolji prosjecni rezultat postize Gradient Boosting.</w:t>
      </w:r>
    </w:p>
    <w:p>
      <w:pPr>
        <w:spacing w:before="160" w:after="40"/>
        <w:jc w:val="center"/>
      </w:pPr>
      <w:r>
        <w:drawing>
          <wp:inline xmlns:a="http://schemas.openxmlformats.org/drawingml/2006/main" xmlns:pic="http://schemas.openxmlformats.org/drawingml/2006/picture">
            <wp:extent cx="5120640" cy="2532279"/>
            <wp:docPr id="8" name="Picture 8"/>
            <wp:cNvGraphicFramePr>
              <a:graphicFrameLocks noChangeAspect="1"/>
            </wp:cNvGraphicFramePr>
            <a:graphic>
              <a:graphicData uri="http://schemas.openxmlformats.org/drawingml/2006/picture">
                <pic:pic>
                  <pic:nvPicPr>
                    <pic:cNvPr id="0" name="graf_11_unakrsna_validacija.png"/>
                    <pic:cNvPicPr/>
                  </pic:nvPicPr>
                  <pic:blipFill>
                    <a:blip r:embed="rId17"/>
                    <a:stretch>
                      <a:fillRect/>
                    </a:stretch>
                  </pic:blipFill>
                  <pic:spPr>
                    <a:xfrm>
                      <a:off x="0" y="0"/>
                      <a:ext cx="5120640" cy="2532279"/>
                    </a:xfrm>
                    <a:prstGeom prst="rect"/>
                  </pic:spPr>
                </pic:pic>
              </a:graphicData>
            </a:graphic>
          </wp:inline>
        </w:drawing>
      </w:r>
    </w:p>
    <w:p>
      <w:pPr>
        <w:spacing w:after="200"/>
        <w:jc w:val="center"/>
      </w:pPr>
      <w:r>
        <w:rPr>
          <w:b/>
          <w:color w:val="1B365D"/>
          <w:sz w:val="18"/>
        </w:rPr>
        <w:t xml:space="preserve">Slika 8. </w:t>
      </w:r>
      <w:r>
        <w:rPr>
          <w:color w:val="5A5A5A"/>
          <w:sz w:val="18"/>
        </w:rPr>
        <w:t>Prosjecne vrijednosti metrika uz standardnu devijaciju po podjelama.</w:t>
      </w:r>
    </w:p>
    <w:p>
      <w:pPr>
        <w:spacing w:before="160" w:after="40"/>
        <w:jc w:val="center"/>
      </w:pPr>
      <w:r>
        <w:drawing>
          <wp:inline xmlns:a="http://schemas.openxmlformats.org/drawingml/2006/main" xmlns:pic="http://schemas.openxmlformats.org/drawingml/2006/picture">
            <wp:extent cx="4754880" cy="2348474"/>
            <wp:docPr id="9" name="Picture 9"/>
            <wp:cNvGraphicFramePr>
              <a:graphicFrameLocks noChangeAspect="1"/>
            </wp:cNvGraphicFramePr>
            <a:graphic>
              <a:graphicData uri="http://schemas.openxmlformats.org/drawingml/2006/picture">
                <pic:pic>
                  <pic:nvPicPr>
                    <pic:cNvPr id="0" name="graf_12_auc_po_podjelama.png"/>
                    <pic:cNvPicPr/>
                  </pic:nvPicPr>
                  <pic:blipFill>
                    <a:blip r:embed="rId18"/>
                    <a:stretch>
                      <a:fillRect/>
                    </a:stretch>
                  </pic:blipFill>
                  <pic:spPr>
                    <a:xfrm>
                      <a:off x="0" y="0"/>
                      <a:ext cx="4754880" cy="2348474"/>
                    </a:xfrm>
                    <a:prstGeom prst="rect"/>
                  </pic:spPr>
                </pic:pic>
              </a:graphicData>
            </a:graphic>
          </wp:inline>
        </w:drawing>
      </w:r>
    </w:p>
    <w:p>
      <w:pPr>
        <w:spacing w:after="200"/>
        <w:jc w:val="center"/>
      </w:pPr>
      <w:r>
        <w:rPr>
          <w:b/>
          <w:color w:val="1B365D"/>
          <w:sz w:val="18"/>
        </w:rPr>
        <w:t xml:space="preserve">Slika 9. </w:t>
      </w:r>
      <w:r>
        <w:rPr>
          <w:color w:val="5A5A5A"/>
          <w:sz w:val="18"/>
        </w:rPr>
        <w:t>AUC-ROC vrijednosti po pojedinacnim podjelama unakrsne validacije.</w:t>
      </w:r>
    </w:p>
    <w:p>
      <w:pPr>
        <w:spacing w:before="200" w:after="60"/>
      </w:pPr>
      <w:r>
        <w:rPr>
          <w:b/>
          <w:color w:val="1F6FB2"/>
          <w:sz w:val="23"/>
        </w:rPr>
        <w:t>5.5 Analiza gresaka</w:t>
      </w:r>
    </w:p>
    <w:p>
      <w:r>
        <w:rPr>
          <w:i w:val="0"/>
          <w:sz w:val="21"/>
        </w:rPr>
        <w:t>Analiza matrice konfuzije pokazuje kako se greske finalnog modela raspodjeljuju izmedju dva tipa. Od ukupno 6.233 zapisa u testnom skupu, model tacno klasifikuje 5.476 slucajeva. Preostale greske dijele se na 480 lazno predvidjenih uspjeha i 277 propustenih uspjeha. Greske su izrazenije u smjeru laznih uspjeha: model cesce najavi uspjeh koji se ne ostvari nego sto propusti stvarni uspjeh.</w:t>
      </w:r>
    </w:p>
    <w:p>
      <w:pPr>
        <w:spacing w:before="160" w:after="60"/>
      </w:pPr>
      <w:r>
        <w:rPr>
          <w:b/>
          <w:color w:val="1B365D"/>
          <w:sz w:val="19"/>
        </w:rPr>
        <w:t xml:space="preserve">Tabela 10. </w:t>
      </w:r>
      <w:r>
        <w:rPr>
          <w:color w:val="5A5A5A"/>
          <w:sz w:val="19"/>
        </w:rPr>
        <w:t>Raspodjela predikcija na testnom skupu.</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2448"/>
            <w:shd w:val="clear" w:fill="1B365D"/>
          </w:tcPr>
          <w:p>
            <w:pPr>
              <w:spacing w:after="40" w:before="40"/>
            </w:pPr>
            <w:r>
              <w:rPr>
                <w:b/>
                <w:color w:val="FFFFFF"/>
                <w:sz w:val="19"/>
              </w:rPr>
              <w:t>Model</w:t>
            </w:r>
          </w:p>
        </w:tc>
        <w:tc>
          <w:tcPr>
            <w:tcW w:type="dxa" w:w="1800"/>
            <w:shd w:val="clear" w:fill="1B365D"/>
          </w:tcPr>
          <w:p>
            <w:pPr>
              <w:spacing w:after="40" w:before="40"/>
            </w:pPr>
            <w:r>
              <w:rPr>
                <w:b/>
                <w:color w:val="FFFFFF"/>
                <w:sz w:val="19"/>
              </w:rPr>
              <w:t>Tacno NotParked</w:t>
            </w:r>
          </w:p>
        </w:tc>
        <w:tc>
          <w:tcPr>
            <w:tcW w:type="dxa" w:w="1656"/>
            <w:shd w:val="clear" w:fill="1B365D"/>
          </w:tcPr>
          <w:p>
            <w:pPr>
              <w:spacing w:after="40" w:before="40"/>
            </w:pPr>
            <w:r>
              <w:rPr>
                <w:b/>
                <w:color w:val="FFFFFF"/>
                <w:sz w:val="19"/>
              </w:rPr>
              <w:t>Tacno Parked</w:t>
            </w:r>
          </w:p>
        </w:tc>
        <w:tc>
          <w:tcPr>
            <w:tcW w:type="dxa" w:w="1656"/>
            <w:shd w:val="clear" w:fill="1B365D"/>
          </w:tcPr>
          <w:p>
            <w:pPr>
              <w:spacing w:after="40" w:before="40"/>
            </w:pPr>
            <w:r>
              <w:rPr>
                <w:b/>
                <w:color w:val="FFFFFF"/>
                <w:sz w:val="19"/>
              </w:rPr>
              <w:t>Lazno Parked</w:t>
            </w:r>
          </w:p>
        </w:tc>
        <w:tc>
          <w:tcPr>
            <w:tcW w:type="dxa" w:w="1944"/>
            <w:shd w:val="clear" w:fill="1B365D"/>
          </w:tcPr>
          <w:p>
            <w:pPr>
              <w:spacing w:after="40" w:before="40"/>
            </w:pPr>
            <w:r>
              <w:rPr>
                <w:b/>
                <w:color w:val="FFFFFF"/>
                <w:sz w:val="19"/>
              </w:rPr>
              <w:t>Propuseno Parked</w:t>
            </w:r>
          </w:p>
        </w:tc>
      </w:tr>
      <w:tr>
        <w:tc>
          <w:tcPr>
            <w:tcW w:type="dxa" w:w="2448"/>
          </w:tcPr>
          <w:p>
            <w:pPr>
              <w:spacing w:after="40" w:before="40"/>
            </w:pPr>
            <w:r>
              <w:rPr>
                <w:b w:val="0"/>
                <w:sz w:val="19"/>
              </w:rPr>
              <w:t>Random Forest</w:t>
            </w:r>
          </w:p>
        </w:tc>
        <w:tc>
          <w:tcPr>
            <w:tcW w:type="dxa" w:w="1800"/>
          </w:tcPr>
          <w:p>
            <w:pPr>
              <w:spacing w:after="40" w:before="40"/>
              <w:jc w:val="center"/>
            </w:pPr>
            <w:r>
              <w:rPr>
                <w:b w:val="0"/>
                <w:sz w:val="19"/>
              </w:rPr>
              <w:t>1.985</w:t>
            </w:r>
          </w:p>
        </w:tc>
        <w:tc>
          <w:tcPr>
            <w:tcW w:type="dxa" w:w="1656"/>
          </w:tcPr>
          <w:p>
            <w:pPr>
              <w:spacing w:after="40" w:before="40"/>
              <w:jc w:val="center"/>
            </w:pPr>
            <w:r>
              <w:rPr>
                <w:b w:val="0"/>
                <w:sz w:val="19"/>
              </w:rPr>
              <w:t>3.491</w:t>
            </w:r>
          </w:p>
        </w:tc>
        <w:tc>
          <w:tcPr>
            <w:tcW w:type="dxa" w:w="1656"/>
          </w:tcPr>
          <w:p>
            <w:pPr>
              <w:spacing w:after="40" w:before="40"/>
              <w:jc w:val="center"/>
            </w:pPr>
            <w:r>
              <w:rPr>
                <w:b w:val="0"/>
                <w:sz w:val="19"/>
              </w:rPr>
              <w:t>480</w:t>
            </w:r>
          </w:p>
        </w:tc>
        <w:tc>
          <w:tcPr>
            <w:tcW w:type="dxa" w:w="1944"/>
          </w:tcPr>
          <w:p>
            <w:pPr>
              <w:spacing w:after="40" w:before="40"/>
              <w:jc w:val="center"/>
            </w:pPr>
            <w:r>
              <w:rPr>
                <w:b w:val="0"/>
                <w:sz w:val="19"/>
              </w:rPr>
              <w:t>277</w:t>
            </w:r>
          </w:p>
        </w:tc>
      </w:tr>
      <w:tr>
        <w:tc>
          <w:tcPr>
            <w:tcW w:type="dxa" w:w="2448"/>
            <w:shd w:val="clear" w:fill="F3F6FA"/>
          </w:tcPr>
          <w:p>
            <w:pPr>
              <w:spacing w:after="40" w:before="40"/>
            </w:pPr>
            <w:r>
              <w:rPr>
                <w:b w:val="0"/>
                <w:sz w:val="19"/>
              </w:rPr>
              <w:t>Logisticka regresija</w:t>
            </w:r>
          </w:p>
        </w:tc>
        <w:tc>
          <w:tcPr>
            <w:tcW w:type="dxa" w:w="1800"/>
            <w:shd w:val="clear" w:fill="F3F6FA"/>
          </w:tcPr>
          <w:p>
            <w:pPr>
              <w:spacing w:after="40" w:before="40"/>
              <w:jc w:val="center"/>
            </w:pPr>
            <w:r>
              <w:rPr>
                <w:b w:val="0"/>
                <w:sz w:val="19"/>
              </w:rPr>
              <w:t>1.930</w:t>
            </w:r>
          </w:p>
        </w:tc>
        <w:tc>
          <w:tcPr>
            <w:tcW w:type="dxa" w:w="1656"/>
            <w:shd w:val="clear" w:fill="F3F6FA"/>
          </w:tcPr>
          <w:p>
            <w:pPr>
              <w:spacing w:after="40" w:before="40"/>
              <w:jc w:val="center"/>
            </w:pPr>
            <w:r>
              <w:rPr>
                <w:b w:val="0"/>
                <w:sz w:val="19"/>
              </w:rPr>
              <w:t>3.462</w:t>
            </w:r>
          </w:p>
        </w:tc>
        <w:tc>
          <w:tcPr>
            <w:tcW w:type="dxa" w:w="1656"/>
            <w:shd w:val="clear" w:fill="F3F6FA"/>
          </w:tcPr>
          <w:p>
            <w:pPr>
              <w:spacing w:after="40" w:before="40"/>
              <w:jc w:val="center"/>
            </w:pPr>
            <w:r>
              <w:rPr>
                <w:b w:val="0"/>
                <w:sz w:val="19"/>
              </w:rPr>
              <w:t>535</w:t>
            </w:r>
          </w:p>
        </w:tc>
        <w:tc>
          <w:tcPr>
            <w:tcW w:type="dxa" w:w="1944"/>
            <w:shd w:val="clear" w:fill="F3F6FA"/>
          </w:tcPr>
          <w:p>
            <w:pPr>
              <w:spacing w:after="40" w:before="40"/>
              <w:jc w:val="center"/>
            </w:pPr>
            <w:r>
              <w:rPr>
                <w:b w:val="0"/>
                <w:sz w:val="19"/>
              </w:rPr>
              <w:t>306</w:t>
            </w:r>
          </w:p>
        </w:tc>
      </w:tr>
      <w:tr>
        <w:tc>
          <w:tcPr>
            <w:tcW w:type="dxa" w:w="2448"/>
          </w:tcPr>
          <w:p>
            <w:pPr>
              <w:spacing w:after="40" w:before="40"/>
            </w:pPr>
            <w:r>
              <w:rPr>
                <w:b w:val="0"/>
                <w:sz w:val="19"/>
              </w:rPr>
              <w:t>Gradient Boosting</w:t>
            </w:r>
          </w:p>
        </w:tc>
        <w:tc>
          <w:tcPr>
            <w:tcW w:type="dxa" w:w="1800"/>
          </w:tcPr>
          <w:p>
            <w:pPr>
              <w:spacing w:after="40" w:before="40"/>
              <w:jc w:val="center"/>
            </w:pPr>
            <w:r>
              <w:rPr>
                <w:b w:val="0"/>
                <w:sz w:val="19"/>
              </w:rPr>
              <w:t>2.021</w:t>
            </w:r>
          </w:p>
        </w:tc>
        <w:tc>
          <w:tcPr>
            <w:tcW w:type="dxa" w:w="1656"/>
          </w:tcPr>
          <w:p>
            <w:pPr>
              <w:spacing w:after="40" w:before="40"/>
              <w:jc w:val="center"/>
            </w:pPr>
            <w:r>
              <w:rPr>
                <w:b w:val="0"/>
                <w:sz w:val="19"/>
              </w:rPr>
              <w:t>3.477</w:t>
            </w:r>
          </w:p>
        </w:tc>
        <w:tc>
          <w:tcPr>
            <w:tcW w:type="dxa" w:w="1656"/>
          </w:tcPr>
          <w:p>
            <w:pPr>
              <w:spacing w:after="40" w:before="40"/>
              <w:jc w:val="center"/>
            </w:pPr>
            <w:r>
              <w:rPr>
                <w:b w:val="0"/>
                <w:sz w:val="19"/>
              </w:rPr>
              <w:t>444</w:t>
            </w:r>
          </w:p>
        </w:tc>
        <w:tc>
          <w:tcPr>
            <w:tcW w:type="dxa" w:w="1944"/>
          </w:tcPr>
          <w:p>
            <w:pPr>
              <w:spacing w:after="40" w:before="40"/>
              <w:jc w:val="center"/>
            </w:pPr>
            <w:r>
              <w:rPr>
                <w:b w:val="0"/>
                <w:sz w:val="19"/>
              </w:rPr>
              <w:t>291</w:t>
            </w:r>
          </w:p>
        </w:tc>
      </w:tr>
    </w:tbl>
    <w:p>
      <w:pPr>
        <w:spacing w:after="0"/>
      </w:pPr>
    </w:p>
    <w:p>
      <w:pPr>
        <w:spacing w:before="160" w:after="40"/>
        <w:jc w:val="center"/>
      </w:pPr>
      <w:r>
        <w:drawing>
          <wp:inline xmlns:a="http://schemas.openxmlformats.org/drawingml/2006/main" xmlns:pic="http://schemas.openxmlformats.org/drawingml/2006/picture">
            <wp:extent cx="3657600" cy="2966650"/>
            <wp:docPr id="10" name="Picture 10"/>
            <wp:cNvGraphicFramePr>
              <a:graphicFrameLocks noChangeAspect="1"/>
            </wp:cNvGraphicFramePr>
            <a:graphic>
              <a:graphicData uri="http://schemas.openxmlformats.org/drawingml/2006/picture">
                <pic:pic>
                  <pic:nvPicPr>
                    <pic:cNvPr id="0" name="graf_06_cm_random_forest.png"/>
                    <pic:cNvPicPr/>
                  </pic:nvPicPr>
                  <pic:blipFill>
                    <a:blip r:embed="rId19"/>
                    <a:stretch>
                      <a:fillRect/>
                    </a:stretch>
                  </pic:blipFill>
                  <pic:spPr>
                    <a:xfrm>
                      <a:off x="0" y="0"/>
                      <a:ext cx="3657600" cy="2966650"/>
                    </a:xfrm>
                    <a:prstGeom prst="rect"/>
                  </pic:spPr>
                </pic:pic>
              </a:graphicData>
            </a:graphic>
          </wp:inline>
        </w:drawing>
      </w:r>
    </w:p>
    <w:p>
      <w:pPr>
        <w:spacing w:after="200"/>
        <w:jc w:val="center"/>
      </w:pPr>
      <w:r>
        <w:rPr>
          <w:b/>
          <w:color w:val="1B365D"/>
          <w:sz w:val="18"/>
        </w:rPr>
        <w:t xml:space="preserve">Slika 10. </w:t>
      </w:r>
      <w:r>
        <w:rPr>
          <w:color w:val="5A5A5A"/>
          <w:sz w:val="18"/>
        </w:rPr>
        <w:t>Matrica konfuzije - finalni Random Forest model.</w:t>
      </w:r>
    </w:p>
    <w:p>
      <w:pPr>
        <w:spacing w:before="160" w:after="40"/>
        <w:jc w:val="center"/>
      </w:pPr>
      <w:r>
        <w:drawing>
          <wp:inline xmlns:a="http://schemas.openxmlformats.org/drawingml/2006/main" xmlns:pic="http://schemas.openxmlformats.org/drawingml/2006/picture">
            <wp:extent cx="3657600" cy="2966650"/>
            <wp:docPr id="11" name="Picture 11"/>
            <wp:cNvGraphicFramePr>
              <a:graphicFrameLocks noChangeAspect="1"/>
            </wp:cNvGraphicFramePr>
            <a:graphic>
              <a:graphicData uri="http://schemas.openxmlformats.org/drawingml/2006/picture">
                <pic:pic>
                  <pic:nvPicPr>
                    <pic:cNvPr id="0" name="graf_07_cm_logisticka_regresija.png"/>
                    <pic:cNvPicPr/>
                  </pic:nvPicPr>
                  <pic:blipFill>
                    <a:blip r:embed="rId20"/>
                    <a:stretch>
                      <a:fillRect/>
                    </a:stretch>
                  </pic:blipFill>
                  <pic:spPr>
                    <a:xfrm>
                      <a:off x="0" y="0"/>
                      <a:ext cx="3657600" cy="2966650"/>
                    </a:xfrm>
                    <a:prstGeom prst="rect"/>
                  </pic:spPr>
                </pic:pic>
              </a:graphicData>
            </a:graphic>
          </wp:inline>
        </w:drawing>
      </w:r>
    </w:p>
    <w:p>
      <w:pPr>
        <w:spacing w:after="200"/>
        <w:jc w:val="center"/>
      </w:pPr>
      <w:r>
        <w:rPr>
          <w:b/>
          <w:color w:val="1B365D"/>
          <w:sz w:val="18"/>
        </w:rPr>
        <w:t xml:space="preserve">Slika 11. </w:t>
      </w:r>
      <w:r>
        <w:rPr>
          <w:color w:val="5A5A5A"/>
          <w:sz w:val="18"/>
        </w:rPr>
        <w:t>Matrica konfuzije - logisticka regresija.</w:t>
      </w:r>
    </w:p>
    <w:p>
      <w:pPr>
        <w:spacing w:before="160" w:after="40"/>
        <w:jc w:val="center"/>
      </w:pPr>
      <w:r>
        <w:drawing>
          <wp:inline xmlns:a="http://schemas.openxmlformats.org/drawingml/2006/main" xmlns:pic="http://schemas.openxmlformats.org/drawingml/2006/picture">
            <wp:extent cx="3657600" cy="2966650"/>
            <wp:docPr id="12" name="Picture 12"/>
            <wp:cNvGraphicFramePr>
              <a:graphicFrameLocks noChangeAspect="1"/>
            </wp:cNvGraphicFramePr>
            <a:graphic>
              <a:graphicData uri="http://schemas.openxmlformats.org/drawingml/2006/picture">
                <pic:pic>
                  <pic:nvPicPr>
                    <pic:cNvPr id="0" name="graf_10_cm_gradient_boosting.png"/>
                    <pic:cNvPicPr/>
                  </pic:nvPicPr>
                  <pic:blipFill>
                    <a:blip r:embed="rId21"/>
                    <a:stretch>
                      <a:fillRect/>
                    </a:stretch>
                  </pic:blipFill>
                  <pic:spPr>
                    <a:xfrm>
                      <a:off x="0" y="0"/>
                      <a:ext cx="3657600" cy="2966650"/>
                    </a:xfrm>
                    <a:prstGeom prst="rect"/>
                  </pic:spPr>
                </pic:pic>
              </a:graphicData>
            </a:graphic>
          </wp:inline>
        </w:drawing>
      </w:r>
    </w:p>
    <w:p>
      <w:pPr>
        <w:spacing w:after="200"/>
        <w:jc w:val="center"/>
      </w:pPr>
      <w:r>
        <w:rPr>
          <w:b/>
          <w:color w:val="1B365D"/>
          <w:sz w:val="18"/>
        </w:rPr>
        <w:t xml:space="preserve">Slika 12. </w:t>
      </w:r>
      <w:r>
        <w:rPr>
          <w:color w:val="5A5A5A"/>
          <w:sz w:val="18"/>
        </w:rPr>
        <w:t>Matrica konfuzije - Gradient Boosting.</w:t>
      </w:r>
    </w:p>
    <w:p>
      <w:pPr>
        <w:spacing w:before="320" w:after="80"/>
      </w:pPr>
      <w:r>
        <w:rPr>
          <w:b/>
          <w:color w:val="1B365D"/>
          <w:sz w:val="28"/>
        </w:rPr>
        <w:t>6. Diskusija</w:t>
      </w:r>
    </w:p>
    <w:p>
      <w:pPr>
        <w:pBdr>
          <w:bottom w:val="single" w:sz="12" w:space="1" w:color="1B365D"/>
        </w:pBdr>
        <w:spacing w:after="200"/>
      </w:pPr>
    </w:p>
    <w:p>
      <w:r>
        <w:rPr>
          <w:i w:val="0"/>
          <w:sz w:val="21"/>
        </w:rPr>
        <w:t>Rezultati potvrdjuju da je ishod epizode parkiranja predvidiv prije njenog zavrsetka, i to s tacnoscu znatno iznad slucajnog pogadjanja. Prednost oba ansambla stabala nad linearnim modelom ukazuje da odnos izmedju tezine okoline i vjestine agenta nije linearan: ista razina vjestine daje bitno razlicite izglede za uspjeh ovisno o tezini generisane mape.</w:t>
      </w:r>
    </w:p>
    <w:p>
      <w:r>
        <w:rPr>
          <w:i w:val="0"/>
          <w:sz w:val="21"/>
        </w:rPr>
        <w:t>Raspodjela vaznosti varijabli daje dodatan uvid. Najveci doprinos ima varijabla QConfidenceScore, sto je smisleno: ona odrazava koliko je agent siguran u svoje odluke na pocetku epizode, sto je najdirektniji pokazatelj dostignute vjestine. Prvih pet varijabli nosi 70.1% ukupne vaznosti, sto znaci da je predikcija koncentrisana na mali broj informativnih obiljezja.</w:t>
      </w:r>
    </w:p>
    <w:p>
      <w:r>
        <w:rPr>
          <w:i w:val="0"/>
          <w:sz w:val="21"/>
        </w:rPr>
        <w:t>Prakticna vrijednost ovakvog modela je u mogucnosti rane procjene: sistem moze prepoznati epizode s niskim izgledima za uspjeh prije nego sto se resursi potrose na njihovo izvrsavanje, sto otvara prostor za prilagodjavanje strategije u hodu.</w:t>
      </w:r>
    </w:p>
    <w:p>
      <w:pPr>
        <w:spacing w:before="200" w:after="60"/>
      </w:pPr>
      <w:r>
        <w:rPr>
          <w:b/>
          <w:color w:val="1F6FB2"/>
          <w:sz w:val="23"/>
        </w:rPr>
        <w:t>Ogranicenja</w:t>
      </w:r>
    </w:p>
    <w:p>
      <w:pPr>
        <w:pStyle w:val="ListBullet"/>
        <w:spacing w:after="40"/>
      </w:pPr>
      <w:r>
        <w:rPr>
          <w:sz w:val="21"/>
        </w:rPr>
        <w:t>Podaci poticu iz simuliranog okruzenja s diskretnom mrezom; prenosivost na stvarna vozila nije ispitana.</w:t>
      </w:r>
    </w:p>
    <w:p>
      <w:pPr>
        <w:pStyle w:val="ListBullet"/>
        <w:spacing w:after="40"/>
      </w:pPr>
      <w:r>
        <w:rPr>
          <w:sz w:val="21"/>
        </w:rPr>
        <w:t>Dataset generise jedan agent s jednom konfiguracijom ucenja, pa zakljucci ne moraju vrijediti za drugacije postavljene agente.</w:t>
      </w:r>
    </w:p>
    <w:p>
      <w:pPr>
        <w:pStyle w:val="ListBullet"/>
        <w:spacing w:after="40"/>
      </w:pPr>
      <w:r>
        <w:rPr>
          <w:sz w:val="21"/>
        </w:rPr>
        <w:t>Vaznost varijabli kod Random Forest modela pokazuje povezanost, a ne uzrocnost.</w:t>
      </w:r>
    </w:p>
    <w:p>
      <w:pPr>
        <w:pStyle w:val="ListBullet"/>
        <w:spacing w:after="40"/>
      </w:pPr>
      <w:r>
        <w:rPr>
          <w:sz w:val="21"/>
        </w:rPr>
        <w:t>Evaluacija je izvrsena na jednoj podjeli podataka; unakrsna validacija dala bi pouzdaniju procjenu varijabilnosti rezultata.</w:t>
      </w:r>
    </w:p>
    <w:p>
      <w:pPr>
        <w:spacing w:before="320" w:after="80"/>
      </w:pPr>
      <w:r>
        <w:rPr>
          <w:b/>
          <w:color w:val="1B365D"/>
          <w:sz w:val="28"/>
        </w:rPr>
        <w:t>7. Zakljucak</w:t>
      </w:r>
    </w:p>
    <w:p>
      <w:pPr>
        <w:pBdr>
          <w:bottom w:val="single" w:sz="12" w:space="1" w:color="1B365D"/>
        </w:pBdr>
        <w:spacing w:after="200"/>
      </w:pPr>
    </w:p>
    <w:p>
      <w:r>
        <w:rPr>
          <w:i w:val="0"/>
          <w:sz w:val="21"/>
        </w:rPr>
        <w:t>Provedena analiza pokazuje da se ishod pokusaja parkiranja moze predvidjeti na osnovu karakteristika okoline i stanja agenta na pocetku epizode. Najbolji od tri poredjena modela je Gradient Boosting, s tacnoscu 0.8821 i AUC vrijednoscu 0.9484 na nezavisnom testnom skupu.</w:t>
      </w:r>
    </w:p>
    <w:p>
      <w:r>
        <w:rPr>
          <w:i w:val="0"/>
          <w:sz w:val="21"/>
        </w:rPr>
        <w:t>Poredjenje pokazuje da model Gradient Boosting daje dosljedno bolji rezultat od ostalih, cime je njegova upotreba opravdana. Iterativni razvoj pokazao je koliko rezultat ovisi o izboru skupa varijabli i omjera podjele podataka.</w:t>
      </w:r>
    </w:p>
    <w:p>
      <w:r>
        <w:rPr>
          <w:i w:val="0"/>
          <w:sz w:val="21"/>
        </w:rPr>
        <w:t>Kao smjer daljeg rada namece se prosirenje dataseta epizodama vise razlicito konfigurisanih agenata, uvodjenje unakrsne validacije i ispitivanje modela koji bi predikciju azurirao tokom epizode, a ne samo na njenom pocetku.</w:t>
      </w:r>
    </w:p>
    <w:p>
      <w:pPr>
        <w:spacing w:before="320" w:after="80"/>
      </w:pPr>
      <w:r>
        <w:rPr>
          <w:b/>
          <w:color w:val="1B365D"/>
          <w:sz w:val="28"/>
        </w:rPr>
        <w:t>8. Prilozi</w:t>
      </w:r>
    </w:p>
    <w:p>
      <w:pPr>
        <w:pBdr>
          <w:bottom w:val="single" w:sz="12" w:space="1" w:color="1B365D"/>
        </w:pBdr>
        <w:spacing w:after="200"/>
      </w:pPr>
    </w:p>
    <w:p>
      <w:r>
        <w:rPr>
          <w:i w:val="0"/>
          <w:sz w:val="21"/>
        </w:rPr>
        <w:t>Uz ovaj izvjestaj generisani su sljedeci fajlovi:</w:t>
      </w:r>
    </w:p>
    <w:p>
      <w:pPr>
        <w:spacing w:before="160" w:after="60"/>
      </w:pPr>
      <w:r>
        <w:rPr>
          <w:b/>
          <w:color w:val="1B365D"/>
          <w:sz w:val="19"/>
        </w:rPr>
        <w:t xml:space="preserve">Tabela 11. </w:t>
      </w:r>
      <w:r>
        <w:rPr>
          <w:color w:val="5A5A5A"/>
          <w:sz w:val="19"/>
        </w:rPr>
        <w:t>Popis generisanih datoteka.</w:t>
      </w:r>
    </w:p>
    <w:tbl>
      <w:tblPr>
        <w:tblStyle w:val="TableGrid"/>
        <w:tblW w:type="auto" w:w="0"/>
        <w:jc w:val="center"/>
        <w:tblLook w:firstColumn="1" w:firstRow="1" w:lastColumn="0" w:lastRow="0" w:noHBand="0" w:noVBand="1" w:val="04A0"/>
      </w:tblPr>
      <w:tblGrid>
        <w:gridCol w:w="4608"/>
        <w:gridCol w:w="4608"/>
      </w:tblGrid>
      <w:tr>
        <w:tc>
          <w:tcPr>
            <w:tcW w:type="dxa" w:w="3888"/>
            <w:shd w:val="clear" w:fill="1B365D"/>
          </w:tcPr>
          <w:p>
            <w:pPr>
              <w:spacing w:after="40" w:before="40"/>
            </w:pPr>
            <w:r>
              <w:rPr>
                <w:b/>
                <w:color w:val="FFFFFF"/>
                <w:sz w:val="19"/>
              </w:rPr>
              <w:t>Datoteka</w:t>
            </w:r>
          </w:p>
        </w:tc>
        <w:tc>
          <w:tcPr>
            <w:tcW w:type="dxa" w:w="5184"/>
            <w:shd w:val="clear" w:fill="1B365D"/>
          </w:tcPr>
          <w:p>
            <w:pPr>
              <w:spacing w:after="40" w:before="40"/>
            </w:pPr>
            <w:r>
              <w:rPr>
                <w:b/>
                <w:color w:val="FFFFFF"/>
                <w:sz w:val="19"/>
              </w:rPr>
              <w:t>Sadrzaj</w:t>
            </w:r>
          </w:p>
        </w:tc>
      </w:tr>
      <w:tr>
        <w:tc>
          <w:tcPr>
            <w:tcW w:type="dxa" w:w="3888"/>
          </w:tcPr>
          <w:p>
            <w:pPr>
              <w:spacing w:after="40" w:before="40"/>
            </w:pPr>
            <w:r>
              <w:rPr>
                <w:b w:val="0"/>
                <w:sz w:val="19"/>
              </w:rPr>
              <w:t>graf_01 - graf_12 (PNG)</w:t>
            </w:r>
          </w:p>
        </w:tc>
        <w:tc>
          <w:tcPr>
            <w:tcW w:type="dxa" w:w="5184"/>
          </w:tcPr>
          <w:p>
            <w:pPr>
              <w:spacing w:after="40" w:before="40"/>
            </w:pPr>
            <w:r>
              <w:rPr>
                <w:b w:val="0"/>
                <w:sz w:val="19"/>
              </w:rPr>
              <w:t>Grafovi eksplorativne analize, evaluacije modela i unakrsne validacije.</w:t>
            </w:r>
          </w:p>
        </w:tc>
      </w:tr>
      <w:tr>
        <w:tc>
          <w:tcPr>
            <w:tcW w:type="dxa" w:w="3888"/>
            <w:shd w:val="clear" w:fill="F3F6FA"/>
          </w:tcPr>
          <w:p>
            <w:pPr>
              <w:spacing w:after="40" w:before="40"/>
            </w:pPr>
            <w:r>
              <w:rPr>
                <w:b w:val="0"/>
                <w:sz w:val="19"/>
              </w:rPr>
              <w:t>parking_episode_dataset_PROCESSED.csv</w:t>
            </w:r>
          </w:p>
        </w:tc>
        <w:tc>
          <w:tcPr>
            <w:tcW w:type="dxa" w:w="5184"/>
            <w:shd w:val="clear" w:fill="F3F6FA"/>
          </w:tcPr>
          <w:p>
            <w:pPr>
              <w:spacing w:after="40" w:before="40"/>
            </w:pPr>
            <w:r>
              <w:rPr>
                <w:b w:val="0"/>
                <w:sz w:val="19"/>
              </w:rPr>
              <w:t>Dataset s kodiranim varijablama, predikcijama modela i oznakom tacnosti.</w:t>
            </w:r>
          </w:p>
        </w:tc>
      </w:tr>
      <w:tr>
        <w:tc>
          <w:tcPr>
            <w:tcW w:type="dxa" w:w="3888"/>
          </w:tcPr>
          <w:p>
            <w:pPr>
              <w:spacing w:after="40" w:before="40"/>
            </w:pPr>
            <w:r>
              <w:rPr>
                <w:b w:val="0"/>
                <w:sz w:val="19"/>
              </w:rPr>
              <w:t>metrics.json</w:t>
            </w:r>
          </w:p>
        </w:tc>
        <w:tc>
          <w:tcPr>
            <w:tcW w:type="dxa" w:w="5184"/>
          </w:tcPr>
          <w:p>
            <w:pPr>
              <w:spacing w:after="40" w:before="40"/>
            </w:pPr>
            <w:r>
              <w:rPr>
                <w:b w:val="0"/>
                <w:sz w:val="19"/>
              </w:rPr>
              <w:t>Numericki rezultati u strojno citljivom obliku.</w:t>
            </w:r>
          </w:p>
        </w:tc>
      </w:tr>
      <w:tr>
        <w:tc>
          <w:tcPr>
            <w:tcW w:type="dxa" w:w="3888"/>
            <w:shd w:val="clear" w:fill="F3F6FA"/>
          </w:tcPr>
          <w:p>
            <w:pPr>
              <w:spacing w:after="40" w:before="40"/>
            </w:pPr>
            <w:r>
              <w:rPr>
                <w:b w:val="0"/>
                <w:sz w:val="19"/>
              </w:rPr>
              <w:t>parking_agent_izvjestaj.docx</w:t>
            </w:r>
          </w:p>
        </w:tc>
        <w:tc>
          <w:tcPr>
            <w:tcW w:type="dxa" w:w="5184"/>
            <w:shd w:val="clear" w:fill="F3F6FA"/>
          </w:tcPr>
          <w:p>
            <w:pPr>
              <w:spacing w:after="40" w:before="40"/>
            </w:pPr>
            <w:r>
              <w:rPr>
                <w:b w:val="0"/>
                <w:sz w:val="19"/>
              </w:rPr>
              <w:t>Ovaj izvjestaj.</w:t>
            </w:r>
          </w:p>
        </w:tc>
      </w:tr>
    </w:tbl>
    <w:p>
      <w:pPr>
        <w:spacing w:after="0"/>
      </w:pPr>
    </w:p>
    <w:sectPr w:rsidR="00FC693F" w:rsidRPr="0006063C" w:rsidSect="00034616">
      <w:footerReference w:type="default" r:id="rId9"/>
      <w:pgSz w:w="12240" w:h="15840"/>
      <w:pgMar w:top="1440" w:right="1512" w:bottom="1440"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Predikcija uspjesnosti parkiranja autonomnog agenta   |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