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LXGW WenKai Lite" w:hAnsi="LXGW WenKai Lite" w:eastAsia="LXGW WenKai Lite"/>
          <w:b/>
          <w:i w:val="0"/>
          <w:color w:val="2E74B5"/>
          <w:sz w:val="22"/>
        </w:rPr>
        <w:t>项目方向说明书</w:t>
      </w:r>
    </w:p>
    <w:p>
      <w:pPr>
        <w:spacing w:after="100"/>
      </w:pPr>
      <w:r>
        <w:rPr>
          <w:rFonts w:ascii="LXGW WenKai Lite" w:hAnsi="LXGW WenKai Lite" w:eastAsia="LXGW WenKai Lite"/>
          <w:b/>
          <w:i w:val="0"/>
          <w:color w:val="18324A"/>
          <w:sz w:val="50"/>
        </w:rPr>
        <w:t>Blender 场景搭建与可控编辑助手</w:t>
      </w:r>
    </w:p>
    <w:p>
      <w:pPr>
        <w:spacing w:after="240"/>
      </w:pPr>
      <w:r>
        <w:rPr>
          <w:rFonts w:ascii="LXGW WenKai Lite" w:hAnsi="LXGW WenKai Lite" w:eastAsia="LXGW WenKai Lite"/>
          <w:b w:val="0"/>
          <w:i w:val="0"/>
          <w:color w:val="5B6573"/>
          <w:sz w:val="25"/>
        </w:rPr>
        <w:t>面向已有三维资产的自然语言场景搭建、精确修改与可撤销交付</w:t>
      </w:r>
    </w:p>
    <w:p>
      <w:pPr>
        <w:spacing w:before="80" w:after="200"/>
        <w:ind w:left="173" w:right="173"/>
        <w:shd w:fill="EAF2F8"/>
      </w:pPr>
      <w:r>
        <w:rPr>
          <w:rFonts w:ascii="LXGW WenKai Lite" w:hAnsi="LXGW WenKai Lite" w:eastAsia="LXGW WenKai Lite"/>
          <w:b/>
          <w:i w:val="0"/>
          <w:color w:val="1F4D78"/>
          <w:sz w:val="22"/>
        </w:rPr>
        <w:t xml:space="preserve">方向结论  </w:t>
      </w:r>
      <w:r>
        <w:rPr>
          <w:rFonts w:ascii="LXGW WenKai Lite" w:hAnsi="LXGW WenKai Lite" w:eastAsia="LXGW WenKai Lite"/>
          <w:b w:val="0"/>
          <w:i w:val="0"/>
          <w:color w:val="000000"/>
          <w:sz w:val="22"/>
        </w:rPr>
        <w:t>正式作品先聚焦 Blender：帮助用户把已有模型快速组织成可继续编辑的场景。首版不追求“自动生成一切”，而是把场景摆放、相机构图、有限外观修改和安全撤销做可靠。</w:t>
      </w:r>
    </w:p>
    <w:p>
      <w:pPr>
        <w:pStyle w:val="Heading1"/>
      </w:pPr>
      <w:r>
        <w:t>1. 项目定位</w:t>
      </w:r>
    </w:p>
    <w:p>
      <w:r>
        <w:rPr>
          <w:rFonts w:ascii="LXGW WenKai Lite" w:hAnsi="LXGW WenKai Lite" w:eastAsia="LXGW WenKai Lite"/>
          <w:b/>
          <w:i w:val="0"/>
          <w:color w:val="000000"/>
          <w:sz w:val="21"/>
        </w:rPr>
        <w:t>目标用户：</w:t>
      </w:r>
      <w:r>
        <w:rPr>
          <w:rFonts w:ascii="LXGW WenKai Lite" w:hAnsi="LXGW WenKai Lite" w:eastAsia="LXGW WenKai Lite"/>
          <w:b w:val="0"/>
          <w:i w:val="0"/>
          <w:color w:val="000000"/>
          <w:sz w:val="21"/>
        </w:rPr>
        <w:t>手里已有 3D 素材、但不熟悉 Blender 操作，或希望减少重复摆放工作的游戏/视觉创作初学者。</w:t>
      </w:r>
    </w:p>
    <w:p>
      <w:r>
        <w:rPr>
          <w:rFonts w:ascii="LXGW WenKai Lite" w:hAnsi="LXGW WenKai Lite" w:eastAsia="LXGW WenKai Lite"/>
          <w:b/>
          <w:i w:val="0"/>
          <w:color w:val="000000"/>
          <w:sz w:val="21"/>
        </w:rPr>
        <w:t>核心问题：</w:t>
      </w:r>
      <w:r>
        <w:rPr>
          <w:rFonts w:ascii="LXGW WenKai Lite" w:hAnsi="LXGW WenKai Lite" w:eastAsia="LXGW WenKai Lite"/>
          <w:b w:val="0"/>
          <w:i w:val="0"/>
          <w:color w:val="000000"/>
          <w:sz w:val="21"/>
        </w:rPr>
        <w:t>图片生成 3D 或资产下载只解决了“获得模型”，用户仍要完成导入、缩放、摆放、构图、局部调整和工程保存。</w:t>
      </w:r>
    </w:p>
    <w:p>
      <w:r>
        <w:rPr>
          <w:rFonts w:ascii="LXGW WenKai Lite" w:hAnsi="LXGW WenKai Lite" w:eastAsia="LXGW WenKai Lite"/>
          <w:b/>
          <w:i w:val="0"/>
          <w:color w:val="000000"/>
          <w:sz w:val="21"/>
        </w:rPr>
        <w:t>交付结果：</w:t>
      </w:r>
      <w:r>
        <w:rPr>
          <w:rFonts w:ascii="LXGW WenKai Lite" w:hAnsi="LXGW WenKai Lite" w:eastAsia="LXGW WenKai Lite"/>
          <w:b w:val="0"/>
          <w:i w:val="0"/>
          <w:color w:val="000000"/>
          <w:sz w:val="21"/>
        </w:rPr>
        <w:t>不是一张不可修改的渲染图，而是对象关系清晰、可手动继续编辑的 .blend 工程。</w:t>
      </w:r>
    </w:p>
    <w:p>
      <w:pPr>
        <w:pStyle w:val="Heading1"/>
      </w:pPr>
      <w:r>
        <w:t>2. 首版核心体验</w:t>
      </w:r>
    </w:p>
    <w:p>
      <w:pPr>
        <w:pStyle w:val="ListBullet"/>
        <w:spacing w:after="100" w:line="276" w:lineRule="auto"/>
        <w:ind w:left="720" w:hanging="360"/>
      </w:pPr>
      <w:r>
        <w:rPr>
          <w:rFonts w:ascii="LXGW WenKai Lite" w:hAnsi="LXGW WenKai Lite" w:eastAsia="LXGW WenKai Lite"/>
          <w:b w:val="0"/>
          <w:i w:val="0"/>
          <w:color w:val="000000"/>
          <w:sz w:val="21"/>
        </w:rPr>
        <w:t>用户导入桌子、椅子、台灯等现有模型。</w:t>
      </w:r>
    </w:p>
    <w:p>
      <w:pPr>
        <w:pStyle w:val="ListBullet"/>
        <w:spacing w:after="100" w:line="276" w:lineRule="auto"/>
        <w:ind w:left="720" w:hanging="360"/>
      </w:pPr>
      <w:r>
        <w:rPr>
          <w:rFonts w:ascii="LXGW WenKai Lite" w:hAnsi="LXGW WenKai Lite" w:eastAsia="LXGW WenKai Lite"/>
          <w:b w:val="0"/>
          <w:i w:val="0"/>
          <w:color w:val="000000"/>
          <w:sz w:val="21"/>
        </w:rPr>
        <w:t>输入“布置成小工作室，桌子靠墙，台灯放在桌面右侧”。</w:t>
      </w:r>
    </w:p>
    <w:p>
      <w:pPr>
        <w:pStyle w:val="ListBullet"/>
        <w:spacing w:after="100" w:line="276" w:lineRule="auto"/>
        <w:ind w:left="720" w:hanging="360"/>
      </w:pPr>
      <w:r>
        <w:rPr>
          <w:rFonts w:ascii="LXGW WenKai Lite" w:hAnsi="LXGW WenKai Lite" w:eastAsia="LXGW WenKai Lite"/>
          <w:b w:val="0"/>
          <w:i w:val="0"/>
          <w:color w:val="000000"/>
          <w:sz w:val="21"/>
        </w:rPr>
        <w:t>系统先显示将被修改的对象和预览，再由用户确认执行。</w:t>
      </w:r>
    </w:p>
    <w:p>
      <w:pPr>
        <w:pStyle w:val="ListBullet"/>
        <w:spacing w:after="100" w:line="276" w:lineRule="auto"/>
        <w:ind w:left="720" w:hanging="360"/>
      </w:pPr>
      <w:r>
        <w:rPr>
          <w:rFonts w:ascii="LXGW WenKai Lite" w:hAnsi="LXGW WenKai Lite" w:eastAsia="LXGW WenKai Lite"/>
          <w:b w:val="0"/>
          <w:i w:val="0"/>
          <w:color w:val="000000"/>
          <w:sz w:val="21"/>
        </w:rPr>
        <w:t>用户继续说“桌子保持不动，把书架左移；相机对准台灯”。</w:t>
      </w:r>
    </w:p>
    <w:p>
      <w:pPr>
        <w:pStyle w:val="ListBullet"/>
        <w:spacing w:after="100" w:line="276" w:lineRule="auto"/>
        <w:ind w:left="720" w:hanging="360"/>
      </w:pPr>
      <w:r>
        <w:rPr>
          <w:rFonts w:ascii="LXGW WenKai Lite" w:hAnsi="LXGW WenKai Lite" w:eastAsia="LXGW WenKai Lite"/>
          <w:b w:val="0"/>
          <w:i w:val="0"/>
          <w:color w:val="000000"/>
          <w:sz w:val="21"/>
        </w:rPr>
        <w:t>系统只修改目标对象；用户可撤销、恢复检查点并保存工程。</w:t>
      </w:r>
    </w:p>
    <w:p>
      <w:pPr>
        <w:pStyle w:val="Heading1"/>
      </w:pPr>
      <w:r>
        <w:t>3. MVP 范围</w:t>
      </w:r>
    </w:p>
    <w:tbl>
      <w:tblPr>
        <w:tblStyle w:val="TableGrid"/>
        <w:tblW w:type="dxa" w:w="9360"/>
        <w:jc w:val="left"/>
        <w:tblLayout w:type="fixed"/>
        <w:tblLook w:firstColumn="1" w:firstRow="1" w:lastColumn="0" w:lastRow="0" w:noHBand="0" w:noVBand="1" w:val="04A0"/>
        <w:tblInd w:w="120" w:type="dxa"/>
      </w:tblPr>
      <w:tblGrid>
        <w:gridCol w:w="1600"/>
        <w:gridCol w:w="4560"/>
        <w:gridCol w:w="3200"/>
      </w:tblGrid>
      <w:tr>
        <w:tc>
          <w:tcPr>
            <w:tcW w:type="dxa" w:w="1600"/>
            <w:shd w:fill="F2F4F7"/>
            <w:vAlign w:val="center"/>
            <w:tcMar>
              <w:top w:w="100" w:type="dxa"/>
              <w:start w:w="120" w:type="dxa"/>
              <w:bottom w:w="100" w:type="dxa"/>
              <w:end w:w="120" w:type="dxa"/>
            </w:tcMar>
          </w:tcPr>
          <w:p>
            <w:pPr>
              <w:spacing w:after="0"/>
            </w:pPr>
            <w:r>
              <w:rPr>
                <w:rFonts w:ascii="LXGW WenKai Lite" w:hAnsi="LXGW WenKai Lite" w:eastAsia="LXGW WenKai Lite"/>
                <w:b/>
                <w:i w:val="0"/>
                <w:color w:val="1F4D78"/>
                <w:sz w:val="19"/>
              </w:rPr>
              <w:t>范围</w:t>
            </w:r>
          </w:p>
        </w:tc>
        <w:tc>
          <w:tcPr>
            <w:tcW w:type="dxa" w:w="4560"/>
            <w:shd w:fill="F2F4F7"/>
            <w:vAlign w:val="center"/>
            <w:tcMar>
              <w:top w:w="100" w:type="dxa"/>
              <w:start w:w="120" w:type="dxa"/>
              <w:bottom w:w="100" w:type="dxa"/>
              <w:end w:w="120" w:type="dxa"/>
            </w:tcMar>
          </w:tcPr>
          <w:p>
            <w:pPr>
              <w:spacing w:after="0"/>
            </w:pPr>
            <w:r>
              <w:rPr>
                <w:rFonts w:ascii="LXGW WenKai Lite" w:hAnsi="LXGW WenKai Lite" w:eastAsia="LXGW WenKai Lite"/>
                <w:b/>
                <w:i w:val="0"/>
                <w:color w:val="1F4D78"/>
                <w:sz w:val="19"/>
              </w:rPr>
              <w:t>首版内容</w:t>
            </w:r>
          </w:p>
        </w:tc>
        <w:tc>
          <w:tcPr>
            <w:tcW w:type="dxa" w:w="3200"/>
            <w:shd w:fill="F2F4F7"/>
            <w:vAlign w:val="center"/>
            <w:tcMar>
              <w:top w:w="100" w:type="dxa"/>
              <w:start w:w="120" w:type="dxa"/>
              <w:bottom w:w="100" w:type="dxa"/>
              <w:end w:w="120" w:type="dxa"/>
            </w:tcMar>
          </w:tcPr>
          <w:p>
            <w:pPr>
              <w:spacing w:after="0"/>
            </w:pPr>
            <w:r>
              <w:rPr>
                <w:rFonts w:ascii="LXGW WenKai Lite" w:hAnsi="LXGW WenKai Lite" w:eastAsia="LXGW WenKai Lite"/>
                <w:b/>
                <w:i w:val="0"/>
                <w:color w:val="1F4D78"/>
                <w:sz w:val="19"/>
              </w:rPr>
              <w:t>边界</w:t>
            </w:r>
          </w:p>
        </w:tc>
      </w:tr>
      <w:tr>
        <w:tc>
          <w:tcPr>
            <w:tcW w:type="dxa" w:w="1600"/>
            <w:vAlign w:val="center"/>
            <w:tcMar>
              <w:top w:w="100" w:type="dxa"/>
              <w:start w:w="120" w:type="dxa"/>
              <w:bottom w:w="100" w:type="dxa"/>
              <w:end w:w="120" w:type="dxa"/>
            </w:tcMar>
          </w:tcPr>
          <w:p>
            <w:pPr>
              <w:spacing w:after="0"/>
            </w:pPr>
            <w:r>
              <w:rPr>
                <w:rFonts w:ascii="LXGW WenKai Lite" w:hAnsi="LXGW WenKai Lite" w:eastAsia="LXGW WenKai Lite"/>
                <w:b w:val="0"/>
                <w:i w:val="0"/>
                <w:color w:val="000000"/>
                <w:sz w:val="19"/>
              </w:rPr>
              <w:t>核心</w:t>
            </w:r>
          </w:p>
        </w:tc>
        <w:tc>
          <w:tcPr>
            <w:tcW w:type="dxa" w:w="4560"/>
            <w:vAlign w:val="center"/>
            <w:tcMar>
              <w:top w:w="100" w:type="dxa"/>
              <w:start w:w="120" w:type="dxa"/>
              <w:bottom w:w="100" w:type="dxa"/>
              <w:end w:w="120" w:type="dxa"/>
            </w:tcMar>
          </w:tcPr>
          <w:p>
            <w:pPr>
              <w:spacing w:after="0"/>
            </w:pPr>
            <w:r>
              <w:rPr>
                <w:rFonts w:ascii="LXGW WenKai Lite" w:hAnsi="LXGW WenKai Lite" w:eastAsia="LXGW WenKai Lite"/>
                <w:b w:val="0"/>
                <w:i w:val="0"/>
                <w:color w:val="000000"/>
                <w:sz w:val="19"/>
              </w:rPr>
              <w:t>对象移动、旋转、整体缩放、对齐、落到指定表面</w:t>
            </w:r>
          </w:p>
        </w:tc>
        <w:tc>
          <w:tcPr>
            <w:tcW w:type="dxa" w:w="3200"/>
            <w:vAlign w:val="center"/>
            <w:tcMar>
              <w:top w:w="100" w:type="dxa"/>
              <w:start w:w="120" w:type="dxa"/>
              <w:bottom w:w="100" w:type="dxa"/>
              <w:end w:w="120" w:type="dxa"/>
            </w:tcMar>
          </w:tcPr>
          <w:p>
            <w:pPr>
              <w:spacing w:after="0"/>
            </w:pPr>
            <w:r>
              <w:rPr>
                <w:rFonts w:ascii="LXGW WenKai Lite" w:hAnsi="LXGW WenKai Lite" w:eastAsia="LXGW WenKai Lite"/>
                <w:b w:val="0"/>
                <w:i w:val="0"/>
                <w:color w:val="000000"/>
                <w:sz w:val="19"/>
              </w:rPr>
              <w:t>只执行受支持的结构化操作</w:t>
            </w:r>
          </w:p>
        </w:tc>
      </w:tr>
      <w:tr>
        <w:tc>
          <w:tcPr>
            <w:tcW w:type="dxa" w:w="1600"/>
            <w:vAlign w:val="center"/>
            <w:tcMar>
              <w:top w:w="100" w:type="dxa"/>
              <w:start w:w="120" w:type="dxa"/>
              <w:bottom w:w="100" w:type="dxa"/>
              <w:end w:w="120" w:type="dxa"/>
            </w:tcMar>
          </w:tcPr>
          <w:p>
            <w:pPr>
              <w:spacing w:after="0"/>
            </w:pPr>
            <w:r>
              <w:rPr>
                <w:rFonts w:ascii="LXGW WenKai Lite" w:hAnsi="LXGW WenKai Lite" w:eastAsia="LXGW WenKai Lite"/>
                <w:b w:val="0"/>
                <w:i w:val="0"/>
                <w:color w:val="000000"/>
                <w:sz w:val="19"/>
              </w:rPr>
              <w:t>核心</w:t>
            </w:r>
          </w:p>
        </w:tc>
        <w:tc>
          <w:tcPr>
            <w:tcW w:type="dxa" w:w="4560"/>
            <w:vAlign w:val="center"/>
            <w:tcMar>
              <w:top w:w="100" w:type="dxa"/>
              <w:start w:w="120" w:type="dxa"/>
              <w:bottom w:w="100" w:type="dxa"/>
              <w:end w:w="120" w:type="dxa"/>
            </w:tcMar>
          </w:tcPr>
          <w:p>
            <w:pPr>
              <w:spacing w:after="0"/>
            </w:pPr>
            <w:r>
              <w:rPr>
                <w:rFonts w:ascii="LXGW WenKai Lite" w:hAnsi="LXGW WenKai Lite" w:eastAsia="LXGW WenKai Lite"/>
                <w:b w:val="0"/>
                <w:i w:val="0"/>
                <w:color w:val="000000"/>
                <w:sz w:val="19"/>
              </w:rPr>
              <w:t>对象锁定、修改预览、撤销与检查点</w:t>
            </w:r>
          </w:p>
        </w:tc>
        <w:tc>
          <w:tcPr>
            <w:tcW w:type="dxa" w:w="3200"/>
            <w:vAlign w:val="center"/>
            <w:tcMar>
              <w:top w:w="100" w:type="dxa"/>
              <w:start w:w="120" w:type="dxa"/>
              <w:bottom w:w="100" w:type="dxa"/>
              <w:end w:w="120" w:type="dxa"/>
            </w:tcMar>
          </w:tcPr>
          <w:p>
            <w:pPr>
              <w:spacing w:after="0"/>
            </w:pPr>
            <w:r>
              <w:rPr>
                <w:rFonts w:ascii="LXGW WenKai Lite" w:hAnsi="LXGW WenKai Lite" w:eastAsia="LXGW WenKai Lite"/>
                <w:b w:val="0"/>
                <w:i w:val="0"/>
                <w:color w:val="000000"/>
                <w:sz w:val="19"/>
              </w:rPr>
              <w:t>保护未授权对象不被误改</w:t>
            </w:r>
          </w:p>
        </w:tc>
      </w:tr>
      <w:tr>
        <w:tc>
          <w:tcPr>
            <w:tcW w:type="dxa" w:w="1600"/>
            <w:vAlign w:val="center"/>
            <w:tcMar>
              <w:top w:w="100" w:type="dxa"/>
              <w:start w:w="120" w:type="dxa"/>
              <w:bottom w:w="100" w:type="dxa"/>
              <w:end w:w="120" w:type="dxa"/>
            </w:tcMar>
          </w:tcPr>
          <w:p>
            <w:pPr>
              <w:spacing w:after="0"/>
            </w:pPr>
            <w:r>
              <w:rPr>
                <w:rFonts w:ascii="LXGW WenKai Lite" w:hAnsi="LXGW WenKai Lite" w:eastAsia="LXGW WenKai Lite"/>
                <w:b w:val="0"/>
                <w:i w:val="0"/>
                <w:color w:val="000000"/>
                <w:sz w:val="19"/>
              </w:rPr>
              <w:t>核心</w:t>
            </w:r>
          </w:p>
        </w:tc>
        <w:tc>
          <w:tcPr>
            <w:tcW w:type="dxa" w:w="4560"/>
            <w:vAlign w:val="center"/>
            <w:tcMar>
              <w:top w:w="100" w:type="dxa"/>
              <w:start w:w="120" w:type="dxa"/>
              <w:bottom w:w="100" w:type="dxa"/>
              <w:end w:w="120" w:type="dxa"/>
            </w:tcMar>
          </w:tcPr>
          <w:p>
            <w:pPr>
              <w:spacing w:after="0"/>
            </w:pPr>
            <w:r>
              <w:rPr>
                <w:rFonts w:ascii="LXGW WenKai Lite" w:hAnsi="LXGW WenKai Lite" w:eastAsia="LXGW WenKai Lite"/>
                <w:b w:val="0"/>
                <w:i w:val="0"/>
                <w:color w:val="000000"/>
                <w:sz w:val="19"/>
              </w:rPr>
              <w:t>相机对准主体、距离与视角候选</w:t>
            </w:r>
          </w:p>
        </w:tc>
        <w:tc>
          <w:tcPr>
            <w:tcW w:type="dxa" w:w="3200"/>
            <w:vAlign w:val="center"/>
            <w:tcMar>
              <w:top w:w="100" w:type="dxa"/>
              <w:start w:w="120" w:type="dxa"/>
              <w:bottom w:w="100" w:type="dxa"/>
              <w:end w:w="120" w:type="dxa"/>
            </w:tcMar>
          </w:tcPr>
          <w:p>
            <w:pPr>
              <w:spacing w:after="0"/>
            </w:pPr>
            <w:r>
              <w:rPr>
                <w:rFonts w:ascii="LXGW WenKai Lite" w:hAnsi="LXGW WenKai Lite" w:eastAsia="LXGW WenKai Lite"/>
                <w:b w:val="0"/>
                <w:i w:val="0"/>
                <w:color w:val="000000"/>
                <w:sz w:val="19"/>
              </w:rPr>
              <w:t>不承诺自动判断“绝对美观”</w:t>
            </w:r>
          </w:p>
        </w:tc>
      </w:tr>
      <w:tr>
        <w:tc>
          <w:tcPr>
            <w:tcW w:type="dxa" w:w="1600"/>
            <w:vAlign w:val="center"/>
            <w:tcMar>
              <w:top w:w="100" w:type="dxa"/>
              <w:start w:w="120" w:type="dxa"/>
              <w:bottom w:w="100" w:type="dxa"/>
              <w:end w:w="120" w:type="dxa"/>
            </w:tcMar>
          </w:tcPr>
          <w:p>
            <w:pPr>
              <w:spacing w:after="0"/>
            </w:pPr>
            <w:r>
              <w:rPr>
                <w:rFonts w:ascii="LXGW WenKai Lite" w:hAnsi="LXGW WenKai Lite" w:eastAsia="LXGW WenKai Lite"/>
                <w:b w:val="0"/>
                <w:i w:val="0"/>
                <w:color w:val="000000"/>
                <w:sz w:val="19"/>
              </w:rPr>
              <w:t>有限支持</w:t>
            </w:r>
          </w:p>
        </w:tc>
        <w:tc>
          <w:tcPr>
            <w:tcW w:type="dxa" w:w="4560"/>
            <w:vAlign w:val="center"/>
            <w:tcMar>
              <w:top w:w="100" w:type="dxa"/>
              <w:start w:w="120" w:type="dxa"/>
              <w:bottom w:w="100" w:type="dxa"/>
              <w:end w:w="120" w:type="dxa"/>
            </w:tcMar>
          </w:tcPr>
          <w:p>
            <w:pPr>
              <w:spacing w:after="0"/>
            </w:pPr>
            <w:r>
              <w:rPr>
                <w:rFonts w:ascii="LXGW WenKai Lite" w:hAnsi="LXGW WenKai Lite" w:eastAsia="LXGW WenKai Lite"/>
                <w:b w:val="0"/>
                <w:i w:val="0"/>
                <w:color w:val="000000"/>
                <w:sz w:val="19"/>
              </w:rPr>
              <w:t>颜色、粗糙度等基础材质参数</w:t>
            </w:r>
          </w:p>
        </w:tc>
        <w:tc>
          <w:tcPr>
            <w:tcW w:type="dxa" w:w="3200"/>
            <w:vAlign w:val="center"/>
            <w:tcMar>
              <w:top w:w="100" w:type="dxa"/>
              <w:start w:w="120" w:type="dxa"/>
              <w:bottom w:w="100" w:type="dxa"/>
              <w:end w:w="120" w:type="dxa"/>
            </w:tcMar>
          </w:tcPr>
          <w:p>
            <w:pPr>
              <w:spacing w:after="0"/>
            </w:pPr>
            <w:r>
              <w:rPr>
                <w:rFonts w:ascii="LXGW WenKai Lite" w:hAnsi="LXGW WenKai Lite" w:eastAsia="LXGW WenKai Lite"/>
                <w:b w:val="0"/>
                <w:i w:val="0"/>
                <w:color w:val="000000"/>
                <w:sz w:val="19"/>
              </w:rPr>
              <w:t>仅处理明确参数或独立部件</w:t>
            </w:r>
          </w:p>
        </w:tc>
      </w:tr>
      <w:tr>
        <w:tc>
          <w:tcPr>
            <w:tcW w:type="dxa" w:w="1600"/>
            <w:vAlign w:val="center"/>
            <w:tcMar>
              <w:top w:w="100" w:type="dxa"/>
              <w:start w:w="120" w:type="dxa"/>
              <w:bottom w:w="100" w:type="dxa"/>
              <w:end w:w="120" w:type="dxa"/>
            </w:tcMar>
          </w:tcPr>
          <w:p>
            <w:pPr>
              <w:spacing w:after="0"/>
            </w:pPr>
            <w:r>
              <w:rPr>
                <w:rFonts w:ascii="LXGW WenKai Lite" w:hAnsi="LXGW WenKai Lite" w:eastAsia="LXGW WenKai Lite"/>
                <w:b w:val="0"/>
                <w:i w:val="0"/>
                <w:color w:val="000000"/>
                <w:sz w:val="19"/>
              </w:rPr>
              <w:t>暂不做</w:t>
            </w:r>
          </w:p>
        </w:tc>
        <w:tc>
          <w:tcPr>
            <w:tcW w:type="dxa" w:w="4560"/>
            <w:vAlign w:val="center"/>
            <w:tcMar>
              <w:top w:w="100" w:type="dxa"/>
              <w:start w:w="120" w:type="dxa"/>
              <w:bottom w:w="100" w:type="dxa"/>
              <w:end w:w="120" w:type="dxa"/>
            </w:tcMar>
          </w:tcPr>
          <w:p>
            <w:pPr>
              <w:spacing w:after="0"/>
            </w:pPr>
            <w:r>
              <w:rPr>
                <w:rFonts w:ascii="LXGW WenKai Lite" w:hAnsi="LXGW WenKai Lite" w:eastAsia="LXGW WenKai Lite"/>
                <w:b w:val="0"/>
                <w:i w:val="0"/>
                <w:color w:val="000000"/>
                <w:sz w:val="19"/>
              </w:rPr>
              <w:t>任意网格修形、自动拓扑、同时支持 UE5</w:t>
            </w:r>
          </w:p>
        </w:tc>
        <w:tc>
          <w:tcPr>
            <w:tcW w:type="dxa" w:w="3200"/>
            <w:vAlign w:val="center"/>
            <w:tcMar>
              <w:top w:w="100" w:type="dxa"/>
              <w:start w:w="120" w:type="dxa"/>
              <w:bottom w:w="100" w:type="dxa"/>
              <w:end w:w="120" w:type="dxa"/>
            </w:tcMar>
          </w:tcPr>
          <w:p>
            <w:pPr>
              <w:spacing w:after="0"/>
            </w:pPr>
            <w:r>
              <w:rPr>
                <w:rFonts w:ascii="LXGW WenKai Lite" w:hAnsi="LXGW WenKai Lite" w:eastAsia="LXGW WenKai Lite"/>
                <w:b w:val="0"/>
                <w:i w:val="0"/>
                <w:color w:val="000000"/>
                <w:sz w:val="19"/>
              </w:rPr>
              <w:t>验证 Blender 闭环后再评估</w:t>
            </w:r>
          </w:p>
        </w:tc>
      </w:tr>
    </w:tbl>
    <w:p>
      <w:pPr>
        <w:spacing w:after="0"/>
      </w:pPr>
    </w:p>
    <w:p>
      <w:pPr>
        <w:pStyle w:val="Heading1"/>
      </w:pPr>
      <w:r>
        <w:t>4. 产品与技术结构</w:t>
      </w:r>
    </w:p>
    <w:tbl>
      <w:tblPr>
        <w:tblStyle w:val="TableGrid"/>
        <w:tblW w:type="dxa" w:w="9360"/>
        <w:jc w:val="left"/>
        <w:tblLayout w:type="fixed"/>
        <w:tblLook w:firstColumn="1" w:firstRow="1" w:lastColumn="0" w:lastRow="0" w:noHBand="0" w:noVBand="1" w:val="04A0"/>
        <w:tblInd w:w="120" w:type="dxa"/>
      </w:tblPr>
      <w:tblGrid>
        <w:gridCol w:w="2300"/>
        <w:gridCol w:w="7060"/>
      </w:tblGrid>
      <w:tr>
        <w:tc>
          <w:tcPr>
            <w:tcW w:type="dxa" w:w="2300"/>
            <w:shd w:fill="F2F4F7"/>
            <w:vAlign w:val="center"/>
            <w:tcMar>
              <w:top w:w="100" w:type="dxa"/>
              <w:start w:w="120" w:type="dxa"/>
              <w:bottom w:w="100" w:type="dxa"/>
              <w:end w:w="120" w:type="dxa"/>
            </w:tcMar>
          </w:tcPr>
          <w:p>
            <w:pPr>
              <w:spacing w:after="0"/>
            </w:pPr>
            <w:r>
              <w:rPr>
                <w:rFonts w:ascii="LXGW WenKai Lite" w:hAnsi="LXGW WenKai Lite" w:eastAsia="LXGW WenKai Lite"/>
                <w:b/>
                <w:i w:val="0"/>
                <w:color w:val="1F4D78"/>
                <w:sz w:val="19"/>
              </w:rPr>
              <w:t>模块</w:t>
            </w:r>
          </w:p>
        </w:tc>
        <w:tc>
          <w:tcPr>
            <w:tcW w:type="dxa" w:w="7060"/>
            <w:shd w:fill="F2F4F7"/>
            <w:vAlign w:val="center"/>
            <w:tcMar>
              <w:top w:w="100" w:type="dxa"/>
              <w:start w:w="120" w:type="dxa"/>
              <w:bottom w:w="100" w:type="dxa"/>
              <w:end w:w="120" w:type="dxa"/>
            </w:tcMar>
          </w:tcPr>
          <w:p>
            <w:pPr>
              <w:spacing w:after="0"/>
            </w:pPr>
            <w:r>
              <w:rPr>
                <w:rFonts w:ascii="LXGW WenKai Lite" w:hAnsi="LXGW WenKai Lite" w:eastAsia="LXGW WenKai Lite"/>
                <w:b/>
                <w:i w:val="0"/>
                <w:color w:val="1F4D78"/>
                <w:sz w:val="19"/>
              </w:rPr>
              <w:t>职责</w:t>
            </w:r>
          </w:p>
        </w:tc>
      </w:tr>
      <w:tr>
        <w:tc>
          <w:tcPr>
            <w:tcW w:type="dxa" w:w="2300"/>
            <w:vAlign w:val="center"/>
            <w:tcMar>
              <w:top w:w="100" w:type="dxa"/>
              <w:start w:w="120" w:type="dxa"/>
              <w:bottom w:w="100" w:type="dxa"/>
              <w:end w:w="120" w:type="dxa"/>
            </w:tcMar>
          </w:tcPr>
          <w:p>
            <w:pPr>
              <w:spacing w:after="0"/>
            </w:pPr>
            <w:r>
              <w:rPr>
                <w:rFonts w:ascii="LXGW WenKai Lite" w:hAnsi="LXGW WenKai Lite" w:eastAsia="LXGW WenKai Lite"/>
                <w:b w:val="0"/>
                <w:i w:val="0"/>
                <w:color w:val="000000"/>
                <w:sz w:val="19"/>
              </w:rPr>
              <w:t>Blender 插件界面</w:t>
            </w:r>
          </w:p>
        </w:tc>
        <w:tc>
          <w:tcPr>
            <w:tcW w:type="dxa" w:w="7060"/>
            <w:vAlign w:val="center"/>
            <w:tcMar>
              <w:top w:w="100" w:type="dxa"/>
              <w:start w:w="120" w:type="dxa"/>
              <w:bottom w:w="100" w:type="dxa"/>
              <w:end w:w="120" w:type="dxa"/>
            </w:tcMar>
          </w:tcPr>
          <w:p>
            <w:pPr>
              <w:spacing w:after="0"/>
            </w:pPr>
            <w:r>
              <w:rPr>
                <w:rFonts w:ascii="LXGW WenKai Lite" w:hAnsi="LXGW WenKai Lite" w:eastAsia="LXGW WenKai Lite"/>
                <w:b w:val="0"/>
                <w:i w:val="0"/>
                <w:color w:val="000000"/>
                <w:sz w:val="19"/>
              </w:rPr>
              <w:t>接收指令、展示对象清单、预览计划、确认或撤销。</w:t>
            </w:r>
          </w:p>
        </w:tc>
      </w:tr>
      <w:tr>
        <w:tc>
          <w:tcPr>
            <w:tcW w:type="dxa" w:w="2300"/>
            <w:vAlign w:val="center"/>
            <w:tcMar>
              <w:top w:w="100" w:type="dxa"/>
              <w:start w:w="120" w:type="dxa"/>
              <w:bottom w:w="100" w:type="dxa"/>
              <w:end w:w="120" w:type="dxa"/>
            </w:tcMar>
          </w:tcPr>
          <w:p>
            <w:pPr>
              <w:spacing w:after="0"/>
            </w:pPr>
            <w:r>
              <w:rPr>
                <w:rFonts w:ascii="LXGW WenKai Lite" w:hAnsi="LXGW WenKai Lite" w:eastAsia="LXGW WenKai Lite"/>
                <w:b w:val="0"/>
                <w:i w:val="0"/>
                <w:color w:val="000000"/>
                <w:sz w:val="19"/>
              </w:rPr>
              <w:t>场景状态提取</w:t>
            </w:r>
          </w:p>
        </w:tc>
        <w:tc>
          <w:tcPr>
            <w:tcW w:type="dxa" w:w="7060"/>
            <w:vAlign w:val="center"/>
            <w:tcMar>
              <w:top w:w="100" w:type="dxa"/>
              <w:start w:w="120" w:type="dxa"/>
              <w:bottom w:w="100" w:type="dxa"/>
              <w:end w:w="120" w:type="dxa"/>
            </w:tcMar>
          </w:tcPr>
          <w:p>
            <w:pPr>
              <w:spacing w:after="0"/>
            </w:pPr>
            <w:r>
              <w:rPr>
                <w:rFonts w:ascii="LXGW WenKai Lite" w:hAnsi="LXGW WenKai Lite" w:eastAsia="LXGW WenKai Lite"/>
                <w:b w:val="0"/>
                <w:i w:val="0"/>
                <w:color w:val="000000"/>
                <w:sz w:val="19"/>
              </w:rPr>
              <w:t>读取对象名称、位置、尺寸、层级、材质、锁定状态和相机。</w:t>
            </w:r>
          </w:p>
        </w:tc>
      </w:tr>
      <w:tr>
        <w:tc>
          <w:tcPr>
            <w:tcW w:type="dxa" w:w="2300"/>
            <w:vAlign w:val="center"/>
            <w:tcMar>
              <w:top w:w="100" w:type="dxa"/>
              <w:start w:w="120" w:type="dxa"/>
              <w:bottom w:w="100" w:type="dxa"/>
              <w:end w:w="120" w:type="dxa"/>
            </w:tcMar>
          </w:tcPr>
          <w:p>
            <w:pPr>
              <w:spacing w:after="0"/>
            </w:pPr>
            <w:r>
              <w:rPr>
                <w:rFonts w:ascii="LXGW WenKai Lite" w:hAnsi="LXGW WenKai Lite" w:eastAsia="LXGW WenKai Lite"/>
                <w:b w:val="0"/>
                <w:i w:val="0"/>
                <w:color w:val="000000"/>
                <w:sz w:val="19"/>
              </w:rPr>
              <w:t>意图规划</w:t>
            </w:r>
          </w:p>
        </w:tc>
        <w:tc>
          <w:tcPr>
            <w:tcW w:type="dxa" w:w="7060"/>
            <w:vAlign w:val="center"/>
            <w:tcMar>
              <w:top w:w="100" w:type="dxa"/>
              <w:start w:w="120" w:type="dxa"/>
              <w:bottom w:w="100" w:type="dxa"/>
              <w:end w:w="120" w:type="dxa"/>
            </w:tcMar>
          </w:tcPr>
          <w:p>
            <w:pPr>
              <w:spacing w:after="0"/>
            </w:pPr>
            <w:r>
              <w:rPr>
                <w:rFonts w:ascii="LXGW WenKai Lite" w:hAnsi="LXGW WenKai Lite" w:eastAsia="LXGW WenKai Lite"/>
                <w:b w:val="0"/>
                <w:i w:val="0"/>
                <w:color w:val="000000"/>
                <w:sz w:val="19"/>
              </w:rPr>
              <w:t>模型把自然语言转换为有限 JSON 操作；不直接自由编写并执行任意脚本。</w:t>
            </w:r>
          </w:p>
        </w:tc>
      </w:tr>
      <w:tr>
        <w:tc>
          <w:tcPr>
            <w:tcW w:type="dxa" w:w="2300"/>
            <w:vAlign w:val="center"/>
            <w:tcMar>
              <w:top w:w="100" w:type="dxa"/>
              <w:start w:w="120" w:type="dxa"/>
              <w:bottom w:w="100" w:type="dxa"/>
              <w:end w:w="120" w:type="dxa"/>
            </w:tcMar>
          </w:tcPr>
          <w:p>
            <w:pPr>
              <w:spacing w:after="0"/>
            </w:pPr>
            <w:r>
              <w:rPr>
                <w:rFonts w:ascii="LXGW WenKai Lite" w:hAnsi="LXGW WenKai Lite" w:eastAsia="LXGW WenKai Lite"/>
                <w:b w:val="0"/>
                <w:i w:val="0"/>
                <w:color w:val="000000"/>
                <w:sz w:val="19"/>
              </w:rPr>
              <w:t>确定性执行器</w:t>
            </w:r>
          </w:p>
        </w:tc>
        <w:tc>
          <w:tcPr>
            <w:tcW w:type="dxa" w:w="7060"/>
            <w:vAlign w:val="center"/>
            <w:tcMar>
              <w:top w:w="100" w:type="dxa"/>
              <w:start w:w="120" w:type="dxa"/>
              <w:bottom w:w="100" w:type="dxa"/>
              <w:end w:w="120" w:type="dxa"/>
            </w:tcMar>
          </w:tcPr>
          <w:p>
            <w:pPr>
              <w:spacing w:after="0"/>
            </w:pPr>
            <w:r>
              <w:rPr>
                <w:rFonts w:ascii="LXGW WenKai Lite" w:hAnsi="LXGW WenKai Lite" w:eastAsia="LXGW WenKai Lite"/>
                <w:b w:val="0"/>
                <w:i w:val="0"/>
                <w:color w:val="000000"/>
                <w:sz w:val="19"/>
              </w:rPr>
              <w:t>用 Blender Python API 计算摆放、对齐和相机参数。</w:t>
            </w:r>
          </w:p>
        </w:tc>
      </w:tr>
      <w:tr>
        <w:tc>
          <w:tcPr>
            <w:tcW w:type="dxa" w:w="2300"/>
            <w:vAlign w:val="center"/>
            <w:tcMar>
              <w:top w:w="100" w:type="dxa"/>
              <w:start w:w="120" w:type="dxa"/>
              <w:bottom w:w="100" w:type="dxa"/>
              <w:end w:w="120" w:type="dxa"/>
            </w:tcMar>
          </w:tcPr>
          <w:p>
            <w:pPr>
              <w:spacing w:after="0"/>
            </w:pPr>
            <w:r>
              <w:rPr>
                <w:rFonts w:ascii="LXGW WenKai Lite" w:hAnsi="LXGW WenKai Lite" w:eastAsia="LXGW WenKai Lite"/>
                <w:b w:val="0"/>
                <w:i w:val="0"/>
                <w:color w:val="000000"/>
                <w:sz w:val="19"/>
              </w:rPr>
              <w:t>验证与恢复</w:t>
            </w:r>
          </w:p>
        </w:tc>
        <w:tc>
          <w:tcPr>
            <w:tcW w:type="dxa" w:w="7060"/>
            <w:vAlign w:val="center"/>
            <w:tcMar>
              <w:top w:w="100" w:type="dxa"/>
              <w:start w:w="120" w:type="dxa"/>
              <w:bottom w:w="100" w:type="dxa"/>
              <w:end w:w="120" w:type="dxa"/>
            </w:tcMar>
          </w:tcPr>
          <w:p>
            <w:pPr>
              <w:spacing w:after="0"/>
            </w:pPr>
            <w:r>
              <w:rPr>
                <w:rFonts w:ascii="LXGW WenKai Lite" w:hAnsi="LXGW WenKai Lite" w:eastAsia="LXGW WenKai Lite"/>
                <w:b w:val="0"/>
                <w:i w:val="0"/>
                <w:color w:val="000000"/>
                <w:sz w:val="19"/>
              </w:rPr>
              <w:t>执行后检查目标状态、保存差异与检查点，失败时回滚。</w:t>
            </w:r>
          </w:p>
        </w:tc>
      </w:tr>
    </w:tbl>
    <w:p>
      <w:pPr>
        <w:spacing w:after="0"/>
      </w:pPr>
    </w:p>
    <w:p>
      <w:pPr>
        <w:pStyle w:val="Heading1"/>
      </w:pPr>
      <w:r>
        <w:t>5. 作品的差异化重点</w:t>
      </w:r>
    </w:p>
    <w:p>
      <w:pPr>
        <w:pStyle w:val="ListBullet"/>
        <w:spacing w:after="100" w:line="276" w:lineRule="auto"/>
        <w:ind w:left="720" w:hanging="360"/>
      </w:pPr>
      <w:r>
        <w:rPr>
          <w:rFonts w:ascii="LXGW WenKai Lite" w:hAnsi="LXGW WenKai Lite" w:eastAsia="LXGW WenKai Lite"/>
          <w:b w:val="0"/>
          <w:i w:val="0"/>
          <w:color w:val="000000"/>
          <w:sz w:val="21"/>
        </w:rPr>
        <w:t>不把“接入大模型”“自然语言控制 Blender”本身当作创新。</w:t>
      </w:r>
    </w:p>
    <w:p>
      <w:pPr>
        <w:pStyle w:val="ListBullet"/>
        <w:spacing w:after="100" w:line="276" w:lineRule="auto"/>
        <w:ind w:left="720" w:hanging="360"/>
      </w:pPr>
      <w:r>
        <w:rPr>
          <w:rFonts w:ascii="LXGW WenKai Lite" w:hAnsi="LXGW WenKai Lite" w:eastAsia="LXGW WenKai Lite"/>
          <w:b/>
          <w:i w:val="0"/>
          <w:color w:val="000000"/>
          <w:sz w:val="21"/>
        </w:rPr>
        <w:t>重点一：</w:t>
      </w:r>
      <w:r>
        <w:rPr>
          <w:rFonts w:ascii="LXGW WenKai Lite" w:hAnsi="LXGW WenKai Lite" w:eastAsia="LXGW WenKai Lite"/>
          <w:b w:val="0"/>
          <w:i w:val="0"/>
          <w:color w:val="000000"/>
          <w:sz w:val="21"/>
        </w:rPr>
        <w:t>可控。先预览受影响对象，支持锁定、确认、撤销与恢复。</w:t>
      </w:r>
    </w:p>
    <w:p>
      <w:pPr>
        <w:pStyle w:val="ListBullet"/>
        <w:spacing w:after="100" w:line="276" w:lineRule="auto"/>
        <w:ind w:left="720" w:hanging="360"/>
      </w:pPr>
      <w:r>
        <w:rPr>
          <w:rFonts w:ascii="LXGW WenKai Lite" w:hAnsi="LXGW WenKai Lite" w:eastAsia="LXGW WenKai Lite"/>
          <w:b/>
          <w:i w:val="0"/>
          <w:color w:val="000000"/>
          <w:sz w:val="21"/>
        </w:rPr>
        <w:t>重点二：</w:t>
      </w:r>
      <w:r>
        <w:rPr>
          <w:rFonts w:ascii="LXGW WenKai Lite" w:hAnsi="LXGW WenKai Lite" w:eastAsia="LXGW WenKai Lite"/>
          <w:b w:val="0"/>
          <w:i w:val="0"/>
          <w:color w:val="000000"/>
          <w:sz w:val="21"/>
        </w:rPr>
        <w:t>可编辑。最终保留原生对象和工程结构，而非只输出图片。</w:t>
      </w:r>
    </w:p>
    <w:p>
      <w:pPr>
        <w:pStyle w:val="ListBullet"/>
        <w:spacing w:after="100" w:line="276" w:lineRule="auto"/>
        <w:ind w:left="720" w:hanging="360"/>
      </w:pPr>
      <w:r>
        <w:rPr>
          <w:rFonts w:ascii="LXGW WenKai Lite" w:hAnsi="LXGW WenKai Lite" w:eastAsia="LXGW WenKai Lite"/>
          <w:b/>
          <w:i w:val="0"/>
          <w:color w:val="000000"/>
          <w:sz w:val="21"/>
        </w:rPr>
        <w:t>重点三：</w:t>
      </w:r>
      <w:r>
        <w:rPr>
          <w:rFonts w:ascii="LXGW WenKai Lite" w:hAnsi="LXGW WenKai Lite" w:eastAsia="LXGW WenKai Lite"/>
          <w:b w:val="0"/>
          <w:i w:val="0"/>
          <w:color w:val="000000"/>
          <w:sz w:val="21"/>
        </w:rPr>
        <w:t>成本。场景读取、坐标计算和重复操作在本地完成，只在需要理解意图时调用模型。</w:t>
      </w:r>
    </w:p>
    <w:p>
      <w:pPr>
        <w:pStyle w:val="ListBullet"/>
        <w:spacing w:after="100" w:line="276" w:lineRule="auto"/>
        <w:ind w:left="720" w:hanging="360"/>
      </w:pPr>
      <w:r>
        <w:rPr>
          <w:rFonts w:ascii="LXGW WenKai Lite" w:hAnsi="LXGW WenKai Lite" w:eastAsia="LXGW WenKai Lite"/>
          <w:b/>
          <w:i w:val="0"/>
          <w:color w:val="000000"/>
          <w:sz w:val="21"/>
        </w:rPr>
        <w:t>重点四：</w:t>
      </w:r>
      <w:r>
        <w:rPr>
          <w:rFonts w:ascii="LXGW WenKai Lite" w:hAnsi="LXGW WenKai Lite" w:eastAsia="LXGW WenKai Lite"/>
          <w:b w:val="0"/>
          <w:i w:val="0"/>
          <w:color w:val="000000"/>
          <w:sz w:val="21"/>
        </w:rPr>
        <w:t>可靠。用固定任务集验证连续修改后是否仍保持用户此前的约束。</w:t>
      </w:r>
    </w:p>
    <w:p>
      <w:pPr>
        <w:pStyle w:val="Heading1"/>
      </w:pPr>
      <w:r>
        <w:t>6. 正式作品必须证明的结果</w:t>
      </w:r>
    </w:p>
    <w:tbl>
      <w:tblPr>
        <w:tblStyle w:val="TableGrid"/>
        <w:tblW w:type="dxa" w:w="9360"/>
        <w:jc w:val="left"/>
        <w:tblLayout w:type="fixed"/>
        <w:tblLook w:firstColumn="1" w:firstRow="1" w:lastColumn="0" w:lastRow="0" w:noHBand="0" w:noVBand="1" w:val="04A0"/>
        <w:tblInd w:w="120" w:type="dxa"/>
      </w:tblPr>
      <w:tblGrid>
        <w:gridCol w:w="2100"/>
        <w:gridCol w:w="7260"/>
      </w:tblGrid>
      <w:tr>
        <w:tc>
          <w:tcPr>
            <w:tcW w:type="dxa" w:w="2100"/>
            <w:shd w:fill="F2F4F7"/>
            <w:vAlign w:val="center"/>
            <w:tcMar>
              <w:top w:w="100" w:type="dxa"/>
              <w:start w:w="120" w:type="dxa"/>
              <w:bottom w:w="100" w:type="dxa"/>
              <w:end w:w="120" w:type="dxa"/>
            </w:tcMar>
          </w:tcPr>
          <w:p>
            <w:pPr>
              <w:spacing w:after="0"/>
            </w:pPr>
            <w:r>
              <w:rPr>
                <w:rFonts w:ascii="LXGW WenKai Lite" w:hAnsi="LXGW WenKai Lite" w:eastAsia="LXGW WenKai Lite"/>
                <w:b/>
                <w:i w:val="0"/>
                <w:color w:val="1F4D78"/>
                <w:sz w:val="19"/>
              </w:rPr>
              <w:t>验证项</w:t>
            </w:r>
          </w:p>
        </w:tc>
        <w:tc>
          <w:tcPr>
            <w:tcW w:type="dxa" w:w="7260"/>
            <w:shd w:fill="F2F4F7"/>
            <w:vAlign w:val="center"/>
            <w:tcMar>
              <w:top w:w="100" w:type="dxa"/>
              <w:start w:w="120" w:type="dxa"/>
              <w:bottom w:w="100" w:type="dxa"/>
              <w:end w:w="120" w:type="dxa"/>
            </w:tcMar>
          </w:tcPr>
          <w:p>
            <w:pPr>
              <w:spacing w:after="0"/>
            </w:pPr>
            <w:r>
              <w:rPr>
                <w:rFonts w:ascii="LXGW WenKai Lite" w:hAnsi="LXGW WenKai Lite" w:eastAsia="LXGW WenKai Lite"/>
                <w:b/>
                <w:i w:val="0"/>
                <w:color w:val="1F4D78"/>
                <w:sz w:val="19"/>
              </w:rPr>
              <w:t>最低可展示结果</w:t>
            </w:r>
          </w:p>
        </w:tc>
      </w:tr>
      <w:tr>
        <w:tc>
          <w:tcPr>
            <w:tcW w:type="dxa" w:w="2100"/>
            <w:vAlign w:val="center"/>
            <w:tcMar>
              <w:top w:w="100" w:type="dxa"/>
              <w:start w:w="120" w:type="dxa"/>
              <w:bottom w:w="100" w:type="dxa"/>
              <w:end w:w="120" w:type="dxa"/>
            </w:tcMar>
          </w:tcPr>
          <w:p>
            <w:pPr>
              <w:spacing w:after="0"/>
            </w:pPr>
            <w:r>
              <w:rPr>
                <w:rFonts w:ascii="LXGW WenKai Lite" w:hAnsi="LXGW WenKai Lite" w:eastAsia="LXGW WenKai Lite"/>
                <w:b w:val="0"/>
                <w:i w:val="0"/>
                <w:color w:val="000000"/>
                <w:sz w:val="19"/>
              </w:rPr>
              <w:t>正确性</w:t>
            </w:r>
          </w:p>
        </w:tc>
        <w:tc>
          <w:tcPr>
            <w:tcW w:type="dxa" w:w="7260"/>
            <w:vAlign w:val="center"/>
            <w:tcMar>
              <w:top w:w="100" w:type="dxa"/>
              <w:start w:w="120" w:type="dxa"/>
              <w:bottom w:w="100" w:type="dxa"/>
              <w:end w:w="120" w:type="dxa"/>
            </w:tcMar>
          </w:tcPr>
          <w:p>
            <w:pPr>
              <w:spacing w:after="0"/>
            </w:pPr>
            <w:r>
              <w:rPr>
                <w:rFonts w:ascii="LXGW WenKai Lite" w:hAnsi="LXGW WenKai Lite" w:eastAsia="LXGW WenKai Lite"/>
                <w:b w:val="0"/>
                <w:i w:val="0"/>
                <w:color w:val="000000"/>
                <w:sz w:val="19"/>
              </w:rPr>
              <w:t>固定任务中，目标对象达到指定关系，锁定对象不发生变化。</w:t>
            </w:r>
          </w:p>
        </w:tc>
      </w:tr>
      <w:tr>
        <w:tc>
          <w:tcPr>
            <w:tcW w:type="dxa" w:w="2100"/>
            <w:vAlign w:val="center"/>
            <w:tcMar>
              <w:top w:w="100" w:type="dxa"/>
              <w:start w:w="120" w:type="dxa"/>
              <w:bottom w:w="100" w:type="dxa"/>
              <w:end w:w="120" w:type="dxa"/>
            </w:tcMar>
          </w:tcPr>
          <w:p>
            <w:pPr>
              <w:spacing w:after="0"/>
            </w:pPr>
            <w:r>
              <w:rPr>
                <w:rFonts w:ascii="LXGW WenKai Lite" w:hAnsi="LXGW WenKai Lite" w:eastAsia="LXGW WenKai Lite"/>
                <w:b w:val="0"/>
                <w:i w:val="0"/>
                <w:color w:val="000000"/>
                <w:sz w:val="19"/>
              </w:rPr>
              <w:t>可控性</w:t>
            </w:r>
          </w:p>
        </w:tc>
        <w:tc>
          <w:tcPr>
            <w:tcW w:type="dxa" w:w="7260"/>
            <w:vAlign w:val="center"/>
            <w:tcMar>
              <w:top w:w="100" w:type="dxa"/>
              <w:start w:w="120" w:type="dxa"/>
              <w:bottom w:w="100" w:type="dxa"/>
              <w:end w:w="120" w:type="dxa"/>
            </w:tcMar>
          </w:tcPr>
          <w:p>
            <w:pPr>
              <w:spacing w:after="0"/>
            </w:pPr>
            <w:r>
              <w:rPr>
                <w:rFonts w:ascii="LXGW WenKai Lite" w:hAnsi="LXGW WenKai Lite" w:eastAsia="LXGW WenKai Lite"/>
                <w:b w:val="0"/>
                <w:i w:val="0"/>
                <w:color w:val="000000"/>
                <w:sz w:val="19"/>
              </w:rPr>
              <w:t>用户能看到计划、拒绝操作，并正确撤销到执行前状态。</w:t>
            </w:r>
          </w:p>
        </w:tc>
      </w:tr>
      <w:tr>
        <w:tc>
          <w:tcPr>
            <w:tcW w:type="dxa" w:w="2100"/>
            <w:vAlign w:val="center"/>
            <w:tcMar>
              <w:top w:w="100" w:type="dxa"/>
              <w:start w:w="120" w:type="dxa"/>
              <w:bottom w:w="100" w:type="dxa"/>
              <w:end w:w="120" w:type="dxa"/>
            </w:tcMar>
          </w:tcPr>
          <w:p>
            <w:pPr>
              <w:spacing w:after="0"/>
            </w:pPr>
            <w:r>
              <w:rPr>
                <w:rFonts w:ascii="LXGW WenKai Lite" w:hAnsi="LXGW WenKai Lite" w:eastAsia="LXGW WenKai Lite"/>
                <w:b w:val="0"/>
                <w:i w:val="0"/>
                <w:color w:val="000000"/>
                <w:sz w:val="19"/>
              </w:rPr>
              <w:t>效率</w:t>
            </w:r>
          </w:p>
        </w:tc>
        <w:tc>
          <w:tcPr>
            <w:tcW w:type="dxa" w:w="7260"/>
            <w:vAlign w:val="center"/>
            <w:tcMar>
              <w:top w:w="100" w:type="dxa"/>
              <w:start w:w="120" w:type="dxa"/>
              <w:bottom w:w="100" w:type="dxa"/>
              <w:end w:w="120" w:type="dxa"/>
            </w:tcMar>
          </w:tcPr>
          <w:p>
            <w:pPr>
              <w:spacing w:after="0"/>
            </w:pPr>
            <w:r>
              <w:rPr>
                <w:rFonts w:ascii="LXGW WenKai Lite" w:hAnsi="LXGW WenKai Lite" w:eastAsia="LXGW WenKai Lite"/>
                <w:b w:val="0"/>
                <w:i w:val="0"/>
                <w:color w:val="000000"/>
                <w:sz w:val="19"/>
              </w:rPr>
              <w:t>同一组场景任务与手动操作及现有自然语言方案比较耗时和重试次数。</w:t>
            </w:r>
          </w:p>
        </w:tc>
      </w:tr>
      <w:tr>
        <w:tc>
          <w:tcPr>
            <w:tcW w:type="dxa" w:w="2100"/>
            <w:vAlign w:val="center"/>
            <w:tcMar>
              <w:top w:w="100" w:type="dxa"/>
              <w:start w:w="120" w:type="dxa"/>
              <w:bottom w:w="100" w:type="dxa"/>
              <w:end w:w="120" w:type="dxa"/>
            </w:tcMar>
          </w:tcPr>
          <w:p>
            <w:pPr>
              <w:spacing w:after="0"/>
            </w:pPr>
            <w:r>
              <w:rPr>
                <w:rFonts w:ascii="LXGW WenKai Lite" w:hAnsi="LXGW WenKai Lite" w:eastAsia="LXGW WenKai Lite"/>
                <w:b w:val="0"/>
                <w:i w:val="0"/>
                <w:color w:val="000000"/>
                <w:sz w:val="19"/>
              </w:rPr>
              <w:t>成本</w:t>
            </w:r>
          </w:p>
        </w:tc>
        <w:tc>
          <w:tcPr>
            <w:tcW w:type="dxa" w:w="7260"/>
            <w:vAlign w:val="center"/>
            <w:tcMar>
              <w:top w:w="100" w:type="dxa"/>
              <w:start w:w="120" w:type="dxa"/>
              <w:bottom w:w="100" w:type="dxa"/>
              <w:end w:w="120" w:type="dxa"/>
            </w:tcMar>
          </w:tcPr>
          <w:p>
            <w:pPr>
              <w:spacing w:after="0"/>
            </w:pPr>
            <w:r>
              <w:rPr>
                <w:rFonts w:ascii="LXGW WenKai Lite" w:hAnsi="LXGW WenKai Lite" w:eastAsia="LXGW WenKai Lite"/>
                <w:b w:val="0"/>
                <w:i w:val="0"/>
                <w:color w:val="000000"/>
                <w:sz w:val="19"/>
              </w:rPr>
              <w:t>记录每个成功任务的模型调用次数、费用和本地执行比例。</w:t>
            </w:r>
          </w:p>
        </w:tc>
      </w:tr>
      <w:tr>
        <w:tc>
          <w:tcPr>
            <w:tcW w:type="dxa" w:w="2100"/>
            <w:vAlign w:val="center"/>
            <w:tcMar>
              <w:top w:w="100" w:type="dxa"/>
              <w:start w:w="120" w:type="dxa"/>
              <w:bottom w:w="100" w:type="dxa"/>
              <w:end w:w="120" w:type="dxa"/>
            </w:tcMar>
          </w:tcPr>
          <w:p>
            <w:pPr>
              <w:spacing w:after="0"/>
            </w:pPr>
            <w:r>
              <w:rPr>
                <w:rFonts w:ascii="LXGW WenKai Lite" w:hAnsi="LXGW WenKai Lite" w:eastAsia="LXGW WenKai Lite"/>
                <w:b w:val="0"/>
                <w:i w:val="0"/>
                <w:color w:val="000000"/>
                <w:sz w:val="19"/>
              </w:rPr>
              <w:t>真实反馈</w:t>
            </w:r>
          </w:p>
        </w:tc>
        <w:tc>
          <w:tcPr>
            <w:tcW w:type="dxa" w:w="7260"/>
            <w:vAlign w:val="center"/>
            <w:tcMar>
              <w:top w:w="100" w:type="dxa"/>
              <w:start w:w="120" w:type="dxa"/>
              <w:bottom w:w="100" w:type="dxa"/>
              <w:end w:w="120" w:type="dxa"/>
            </w:tcMar>
          </w:tcPr>
          <w:p>
            <w:pPr>
              <w:spacing w:after="0"/>
            </w:pPr>
            <w:r>
              <w:rPr>
                <w:rFonts w:ascii="LXGW WenKai Lite" w:hAnsi="LXGW WenKai Lite" w:eastAsia="LXGW WenKai Lite"/>
                <w:b w:val="0"/>
                <w:i w:val="0"/>
                <w:color w:val="000000"/>
                <w:sz w:val="19"/>
              </w:rPr>
              <w:t>至少邀请少量目标用户用自己的资产完成任务并记录阻塞点。</w:t>
            </w:r>
          </w:p>
        </w:tc>
      </w:tr>
    </w:tbl>
    <w:p>
      <w:pPr>
        <w:spacing w:after="0"/>
      </w:pPr>
    </w:p>
    <w:p>
      <w:pPr>
        <w:pStyle w:val="Heading1"/>
      </w:pPr>
      <w:r>
        <w:t>7. 下一阶段计划（暂定）</w:t>
      </w:r>
    </w:p>
    <w:p>
      <w:pPr>
        <w:pStyle w:val="ListBullet"/>
        <w:spacing w:after="100" w:line="276" w:lineRule="auto"/>
        <w:ind w:left="720" w:hanging="360"/>
      </w:pPr>
      <w:r>
        <w:rPr>
          <w:rFonts w:ascii="LXGW WenKai Lite" w:hAnsi="LXGW WenKai Lite" w:eastAsia="LXGW WenKai Lite"/>
          <w:b w:val="0"/>
          <w:i w:val="0"/>
          <w:color w:val="000000"/>
          <w:sz w:val="21"/>
        </w:rPr>
        <w:t>阶段 1：完成“导入对象 → 相对摆放 → 锁定对象 → 修改 → 撤销”的技术原型。</w:t>
      </w:r>
    </w:p>
    <w:p>
      <w:pPr>
        <w:pStyle w:val="ListBullet"/>
        <w:spacing w:after="100" w:line="276" w:lineRule="auto"/>
        <w:ind w:left="720" w:hanging="360"/>
      </w:pPr>
      <w:r>
        <w:rPr>
          <w:rFonts w:ascii="LXGW WenKai Lite" w:hAnsi="LXGW WenKai Lite" w:eastAsia="LXGW WenKai Lite"/>
          <w:b w:val="0"/>
          <w:i w:val="0"/>
          <w:color w:val="000000"/>
          <w:sz w:val="21"/>
        </w:rPr>
        <w:t>阶段 2：加入指令解析、操作计划预览与执行后验证。</w:t>
      </w:r>
    </w:p>
    <w:p>
      <w:pPr>
        <w:pStyle w:val="ListBullet"/>
        <w:spacing w:after="100" w:line="276" w:lineRule="auto"/>
        <w:ind w:left="720" w:hanging="360"/>
      </w:pPr>
      <w:r>
        <w:rPr>
          <w:rFonts w:ascii="LXGW WenKai Lite" w:hAnsi="LXGW WenKai Lite" w:eastAsia="LXGW WenKai Lite"/>
          <w:b w:val="0"/>
          <w:i w:val="0"/>
          <w:color w:val="000000"/>
          <w:sz w:val="21"/>
        </w:rPr>
        <w:t>阶段 3：补充相机辅助和有限材质调整，制作完整演示案例。</w:t>
      </w:r>
    </w:p>
    <w:p>
      <w:pPr>
        <w:pStyle w:val="ListBullet"/>
        <w:spacing w:after="100" w:line="276" w:lineRule="auto"/>
        <w:ind w:left="720" w:hanging="360"/>
      </w:pPr>
      <w:r>
        <w:rPr>
          <w:rFonts w:ascii="LXGW WenKai Lite" w:hAnsi="LXGW WenKai Lite" w:eastAsia="LXGW WenKai Lite"/>
          <w:b w:val="0"/>
          <w:i w:val="0"/>
          <w:color w:val="000000"/>
          <w:sz w:val="21"/>
        </w:rPr>
        <w:t>阶段 4：用固定任务集与真实试用检验价值，再决定是否扩展到 UE5 或几何修改。</w:t>
      </w:r>
    </w:p>
    <w:p>
      <w:pPr>
        <w:spacing w:before="80" w:after="200"/>
        <w:ind w:left="173" w:right="173"/>
        <w:shd w:fill="EAF2F8"/>
      </w:pPr>
      <w:r>
        <w:rPr>
          <w:rFonts w:ascii="LXGW WenKai Lite" w:hAnsi="LXGW WenKai Lite" w:eastAsia="LXGW WenKai Lite"/>
          <w:b/>
          <w:i w:val="0"/>
          <w:color w:val="1F4D78"/>
          <w:sz w:val="22"/>
        </w:rPr>
        <w:t xml:space="preserve">当前第一步  </w:t>
      </w:r>
      <w:r>
        <w:rPr>
          <w:rFonts w:ascii="LXGW WenKai Lite" w:hAnsi="LXGW WenKai Lite" w:eastAsia="LXGW WenKai Lite"/>
          <w:b w:val="0"/>
          <w:i w:val="0"/>
          <w:color w:val="000000"/>
          <w:sz w:val="22"/>
        </w:rPr>
        <w:t>只做一个能运行的闭环：导入 3–5 个对象，按相对关系摆放；锁定其中一个；修改另一个；最后撤销恢复。这个闭环通过后，再扩大功能。</w:t>
      </w:r>
    </w:p>
    <w:p>
      <w:pPr>
        <w:pStyle w:val="Heading1"/>
      </w:pPr>
      <w:r>
        <w:t>8. 当前判断与保留项</w:t>
      </w:r>
    </w:p>
    <w:p>
      <w:r>
        <w:rPr>
          <w:rFonts w:ascii="LXGW WenKai Lite" w:hAnsi="LXGW WenKai Lite" w:eastAsia="LXGW WenKai Lite"/>
          <w:b/>
          <w:i w:val="0"/>
          <w:color w:val="000000"/>
          <w:sz w:val="21"/>
        </w:rPr>
        <w:t>这是一个可作为正式作品推进的方向，但目前仍是“经过收敛的项目假设”，不是已经验证的市场结论。</w:t>
      </w:r>
      <w:r>
        <w:rPr>
          <w:rFonts w:ascii="LXGW WenKai Lite" w:hAnsi="LXGW WenKai Lite" w:eastAsia="LXGW WenKai Lite"/>
          <w:b w:val="0"/>
          <w:i w:val="0"/>
          <w:color w:val="000000"/>
          <w:sz w:val="21"/>
        </w:rPr>
        <w:t xml:space="preserve"> 现有 Blender 自动化与 MCP 项目说明需求并非空白；作品要靠更清晰的用户范围、更可靠的编辑闭环和可量化的比较建立价值。</w:t>
      </w:r>
    </w:p>
    <w:p>
      <w:pPr>
        <w:pStyle w:val="Heading2"/>
      </w:pPr>
      <w:r>
        <w:t>参考入口</w:t>
      </w:r>
    </w:p>
    <w:p>
      <w:pPr>
        <w:spacing w:after="60"/>
      </w:pPr>
      <w:r>
        <w:rPr>
          <w:rFonts w:ascii="LXGW WenKai Lite" w:hAnsi="LXGW WenKai Lite" w:eastAsia="LXGW WenKai Lite"/>
          <w:b/>
          <w:i w:val="0"/>
          <w:color w:val="5B6573"/>
          <w:sz w:val="18"/>
        </w:rPr>
        <w:t>Blender Python API：</w:t>
      </w:r>
      <w:r>
        <w:rPr>
          <w:rFonts w:ascii="LXGW WenKai Lite" w:hAnsi="LXGW WenKai Lite" w:eastAsia="LXGW WenKai Lite"/>
          <w:b w:val="0"/>
          <w:i w:val="0"/>
          <w:color w:val="2E74B5"/>
          <w:sz w:val="18"/>
        </w:rPr>
        <w:t>https://docs.blender.org/api/current/</w:t>
      </w:r>
    </w:p>
    <w:p>
      <w:pPr>
        <w:spacing w:after="60"/>
      </w:pPr>
      <w:r>
        <w:rPr>
          <w:rFonts w:ascii="LXGW WenKai Lite" w:hAnsi="LXGW WenKai Lite" w:eastAsia="LXGW WenKai Lite"/>
          <w:b/>
          <w:i w:val="0"/>
          <w:color w:val="5B6573"/>
          <w:sz w:val="18"/>
        </w:rPr>
        <w:t>Blender MCP（现有开源方案）：</w:t>
      </w:r>
      <w:r>
        <w:rPr>
          <w:rFonts w:ascii="LXGW WenKai Lite" w:hAnsi="LXGW WenKai Lite" w:eastAsia="LXGW WenKai Lite"/>
          <w:b w:val="0"/>
          <w:i w:val="0"/>
          <w:color w:val="2E74B5"/>
          <w:sz w:val="18"/>
        </w:rPr>
        <w:t>https://github.com/ahujasid/blender-mcp</w:t>
      </w:r>
    </w:p>
    <w:p>
      <w:pPr>
        <w:spacing w:after="60"/>
      </w:pPr>
      <w:r>
        <w:rPr>
          <w:rFonts w:ascii="LXGW WenKai Lite" w:hAnsi="LXGW WenKai Lite" w:eastAsia="LXGW WenKai Lite"/>
          <w:b/>
          <w:i w:val="0"/>
          <w:color w:val="5B6573"/>
          <w:sz w:val="18"/>
        </w:rPr>
        <w:t>Unreal Engine 编辑器 Python（后续扩展参考）：</w:t>
      </w:r>
      <w:r>
        <w:rPr>
          <w:rFonts w:ascii="LXGW WenKai Lite" w:hAnsi="LXGW WenKai Lite" w:eastAsia="LXGW WenKai Lite"/>
          <w:b w:val="0"/>
          <w:i w:val="0"/>
          <w:color w:val="2E74B5"/>
          <w:sz w:val="18"/>
        </w:rPr>
        <w:t>https://dev.epicgames.com/documentation/unreal-engine/scripting-the-unreal-editor-using-python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XGW WenKai Lite" w:hAnsi="LXGW WenKai Lite" w:eastAsia="LXGW WenKai Lite"/>
        <w:b w:val="0"/>
        <w:i w:val="0"/>
        <w:color w:val="7A8491"/>
        <w:sz w:val="17"/>
      </w:rPr>
      <w:t>Blender 场景搭建与可控编辑助手  ·  2026-09-07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XGW WenKai Lite" w:hAnsi="LXGW WenKai Lite" w:eastAsia="LXGW WenKai Lite"/>
        <w:b w:val="0"/>
        <w:i w:val="0"/>
        <w:color w:val="7A8491"/>
        <w:sz w:val="17"/>
      </w:rPr>
      <w:t>PROJECT DIRECTION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LXGW WenKai Lite" w:hAnsi="LXGW WenKai Lite" w:eastAsia="LXGW WenKai Lit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LXGW WenKai Lite" w:hAnsi="LXGW WenKai Lite" w:eastAsia="LXGW WenKai Lite"/>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XGW WenKai Lite" w:hAnsi="LXGW WenKai Lite" w:eastAsia="LXGW WenKai Lite"/>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XGW WenKai Lite" w:hAnsi="LXGW WenKai Lite" w:eastAsia="LXGW WenKai Lite"/>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Blender 场景搭建与可控编辑助手 - 项目方向简版</dc:title>
  <dc:subject>正式作品方向说明</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