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00" w:after="40"/>
        <w:jc w:val="center"/>
        <w:rPr/>
      </w:pPr>
      <w:r>
        <w:rPr>
          <w:rFonts w:eastAsia="Arial" w:cs="Arial"/>
          <w:b/>
          <w:bCs/>
          <w:color w:val="546E7A"/>
          <w:sz w:val="18"/>
          <w:szCs w:val="18"/>
        </w:rPr>
        <w:t>PS-02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b/>
          <w:bCs/>
          <w:color w:val="1565C0"/>
          <w:sz w:val="44"/>
          <w:szCs w:val="44"/>
        </w:rPr>
        <w:t>Log File Anomaly Explainer Tool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i/>
          <w:iCs/>
          <w:color w:val="546E7A"/>
          <w:sz w:val="22"/>
          <w:szCs w:val="22"/>
        </w:rPr>
        <w:t>AI-Powered CLI for On-Call Engineers — Instant Root Cause Analysis from Log Files</w:t>
      </w:r>
    </w:p>
    <w:tbl>
      <w:tblPr>
        <w:tblW w:w="54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799"/>
        <w:gridCol w:w="3601"/>
      </w:tblGrid>
      <w:tr>
        <w:trPr/>
        <w:tc>
          <w:tcPr>
            <w:tcW w:w="17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1565C0" w:val="clear"/>
          </w:tcPr>
          <w:p>
            <w:pPr>
              <w:pStyle w:val="Normal"/>
              <w:widowControl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AI Engine</w:t>
            </w:r>
          </w:p>
        </w:tc>
        <w:tc>
          <w:tcPr>
            <w:tcW w:w="36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0D1B2A"/>
                <w:sz w:val="18"/>
                <w:szCs w:val="18"/>
              </w:rPr>
              <w:t>Google Gemini LLM</w:t>
            </w:r>
          </w:p>
        </w:tc>
      </w:tr>
      <w:tr>
        <w:trPr/>
        <w:tc>
          <w:tcPr>
            <w:tcW w:w="17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1565C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Language</w:t>
            </w:r>
          </w:p>
        </w:tc>
        <w:tc>
          <w:tcPr>
            <w:tcW w:w="36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0D1B2A"/>
                <w:sz w:val="18"/>
                <w:szCs w:val="18"/>
              </w:rPr>
              <w:t>Python 3.10+</w:t>
            </w:r>
          </w:p>
        </w:tc>
      </w:tr>
      <w:tr>
        <w:trPr/>
        <w:tc>
          <w:tcPr>
            <w:tcW w:w="17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1565C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Architecture</w:t>
            </w:r>
          </w:p>
        </w:tc>
        <w:tc>
          <w:tcPr>
            <w:tcW w:w="36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0D1B2A"/>
                <w:sz w:val="18"/>
                <w:szCs w:val="18"/>
              </w:rPr>
              <w:t>Tool-Using Agent (4 tools, up to 10 iterations)</w:t>
            </w:r>
          </w:p>
        </w:tc>
      </w:tr>
      <w:tr>
        <w:trPr>
          <w:trHeight w:val="374" w:hRule="atLeast"/>
        </w:trPr>
        <w:tc>
          <w:tcPr>
            <w:tcW w:w="17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1565C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Team</w:t>
            </w:r>
          </w:p>
        </w:tc>
        <w:tc>
          <w:tcPr>
            <w:tcW w:w="36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Heading1"/>
              <w:spacing w:before="180" w:after="80"/>
              <w:jc w:val="start"/>
              <w:rPr>
                <w:rFonts w:ascii="Arial" w:hAnsi="Arial"/>
                <w:b w:val="false"/>
                <w:bCs w:val="false"/>
                <w:color w:val="000000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Team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6"/>
                <w:szCs w:val="16"/>
              </w:rPr>
              <w:t>Apex Intelligence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·  2026</w:t>
            </w:r>
          </w:p>
        </w:tc>
      </w:tr>
    </w:tbl>
    <w:p>
      <w:pPr>
        <w:pStyle w:val="Heading1"/>
        <w:pBdr>
          <w:bottom w:val="single" w:sz="6" w:space="2" w:color="1565C0"/>
        </w:pBdr>
        <w:spacing w:before="0" w:after="80"/>
        <w:rPr>
          <w:rFonts w:ascii="Arial" w:hAnsi="Arial" w:eastAsia="Arial" w:cs="Arial"/>
          <w:b/>
          <w:bCs/>
          <w:color w:val="1565C0"/>
          <w:sz w:val="26"/>
          <w:szCs w:val="26"/>
        </w:rPr>
      </w:pPr>
      <w:r>
        <w:rPr>
          <w:rFonts w:eastAsia="Arial" w:cs="Arial" w:ascii="Arial" w:hAnsi="Arial"/>
          <w:b/>
          <w:bCs/>
          <w:color w:val="1565C0"/>
          <w:sz w:val="26"/>
          <w:szCs w:val="26"/>
        </w:rPr>
      </w:r>
    </w:p>
    <w:p>
      <w:pPr>
        <w:pStyle w:val="Heading1"/>
        <w:pBdr>
          <w:bottom w:val="single" w:sz="6" w:space="2" w:color="1565C0"/>
        </w:pBdr>
        <w:spacing w:before="0" w:after="80"/>
        <w:rPr>
          <w:rFonts w:ascii="Arial" w:hAnsi="Arial" w:eastAsia="Arial" w:cs="Arial"/>
          <w:b/>
          <w:bCs/>
          <w:color w:val="1565C0"/>
          <w:sz w:val="26"/>
          <w:szCs w:val="26"/>
        </w:rPr>
      </w:pPr>
      <w:r>
        <w:rPr>
          <w:rFonts w:eastAsia="Arial" w:cs="Arial" w:ascii="Arial" w:hAnsi="Arial"/>
          <w:b/>
          <w:bCs/>
          <w:color w:val="1565C0"/>
          <w:sz w:val="26"/>
          <w:szCs w:val="26"/>
        </w:rPr>
        <w:t>1</w:t>
      </w:r>
      <w:r>
        <w:rPr>
          <w:rFonts w:eastAsia="Arial" w:cs="Arial" w:ascii="Arial" w:hAnsi="Arial"/>
          <w:b/>
          <w:bCs/>
          <w:color w:val="1565C0"/>
          <w:sz w:val="26"/>
          <w:szCs w:val="26"/>
        </w:rPr>
        <w:t>. Problem Statement</w:t>
      </w:r>
    </w:p>
    <w:p>
      <w:pPr>
        <w:pStyle w:val="Normal"/>
        <w:spacing w:lineRule="auto" w:line="281" w:before="40" w:after="40"/>
        <w:rPr/>
      </w:pPr>
      <w:r>
        <w:rPr>
          <w:rFonts w:eastAsia="Arial" w:cs="Arial"/>
          <w:color w:val="2E2E2E"/>
          <w:sz w:val="19"/>
          <w:szCs w:val="19"/>
        </w:rPr>
        <w:t>On-call engineers are overwhelmed by hundreds or thousands of log lines during a live outage. Three core challenges exist:</w:t>
      </w:r>
    </w:p>
    <w:p>
      <w:pPr>
        <w:pStyle w:val="ListParagraph"/>
        <w:numPr>
          <w:ilvl w:val="0"/>
          <w:numId w:val="4"/>
        </w:numPr>
        <w:spacing w:lineRule="auto" w:line="262" w:before="30" w:after="30"/>
        <w:rPr/>
      </w:pPr>
      <w:r>
        <w:rPr>
          <w:rFonts w:eastAsia="Arial" w:cs="Arial"/>
          <w:color w:val="2E2E2E"/>
          <w:sz w:val="19"/>
          <w:szCs w:val="19"/>
        </w:rPr>
        <w:t>Information Overload: No quick mechanism to isolate the critical failure block from thousands of lines.</w:t>
      </w:r>
    </w:p>
    <w:p>
      <w:pPr>
        <w:pStyle w:val="ListParagraph"/>
        <w:numPr>
          <w:ilvl w:val="0"/>
          <w:numId w:val="1"/>
        </w:numPr>
        <w:spacing w:lineRule="auto" w:line="262" w:before="30" w:after="30"/>
        <w:rPr/>
      </w:pPr>
      <w:r>
        <w:rPr>
          <w:rFonts w:eastAsia="Arial" w:cs="Arial"/>
          <w:color w:val="2E2E2E"/>
          <w:sz w:val="19"/>
          <w:szCs w:val="19"/>
        </w:rPr>
        <w:t>Slow Root Cause Analysis: Manually scrolling logs wastes critical minutes during live incidents.</w:t>
      </w:r>
    </w:p>
    <w:p>
      <w:pPr>
        <w:pStyle w:val="ListParagraph"/>
        <w:numPr>
          <w:ilvl w:val="0"/>
          <w:numId w:val="1"/>
        </w:numPr>
        <w:spacing w:lineRule="auto" w:line="262" w:before="30" w:after="30"/>
        <w:rPr/>
      </w:pPr>
      <w:r>
        <w:rPr>
          <w:rFonts w:eastAsia="Arial" w:cs="Arial"/>
          <w:color w:val="2E2E2E"/>
          <w:sz w:val="19"/>
          <w:szCs w:val="19"/>
        </w:rPr>
        <w:t>No Actionable Guidance: Engineers must mentally translate cryptic log messages into remediation steps under pressure.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1565C0"/>
              <w:start w:val="single" w:sz="6" w:space="0" w:color="1565C0"/>
              <w:bottom w:val="single" w:sz="6" w:space="0" w:color="1565C0"/>
            </w:tcBorders>
            <w:shd w:fill="EE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/>
                <w:iCs/>
                <w:color w:val="0D47A1"/>
                <w:sz w:val="19"/>
                <w:szCs w:val="19"/>
              </w:rPr>
              <w:t>“</w:t>
            </w:r>
            <w:r>
              <w:rPr>
                <w:rFonts w:eastAsia="Arial" w:cs="Arial"/>
                <w:b/>
                <w:bCs/>
                <w:i/>
                <w:iCs/>
                <w:color w:val="0D47A1"/>
                <w:sz w:val="19"/>
                <w:szCs w:val="19"/>
              </w:rPr>
              <w:t xml:space="preserve">On-call engineer pastes 100s of log lines and asks: 'What went wrong?' — </w:t>
            </w:r>
            <w:r>
              <w:rPr>
                <w:rFonts w:eastAsia="Arial" w:cs="Arial"/>
                <w:i/>
                <w:iCs/>
                <w:color w:val="333333"/>
                <w:sz w:val="19"/>
                <w:szCs w:val="19"/>
              </w:rPr>
              <w:t>No automated, intelligent tool exists that takes raw log input and returns structured, actionable RCA.”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pBdr>
          <w:bottom w:val="single" w:sz="6" w:space="2" w:color="1565C0"/>
        </w:pBdr>
        <w:spacing w:before="180" w:after="80"/>
        <w:rPr/>
      </w:pPr>
      <w:r>
        <w:rPr>
          <w:rFonts w:eastAsia="Arial" w:cs="Arial" w:ascii="Arial" w:hAnsi="Arial"/>
          <w:b/>
          <w:bCs/>
          <w:color w:val="1565C0"/>
          <w:sz w:val="26"/>
          <w:szCs w:val="26"/>
        </w:rPr>
        <w:t>2. Our Solution</w:t>
      </w:r>
    </w:p>
    <w:p>
      <w:pPr>
        <w:pStyle w:val="Normal"/>
        <w:spacing w:lineRule="auto" w:line="281" w:before="40" w:after="40"/>
        <w:rPr/>
      </w:pPr>
      <w:r>
        <w:rPr>
          <w:rFonts w:eastAsia="Arial" w:cs="Arial"/>
          <w:color w:val="2E2E2E"/>
          <w:sz w:val="19"/>
          <w:szCs w:val="19"/>
        </w:rPr>
        <w:t>A two-mode Python CLI tool: fast Direct LLM explain and an agentic investigate mode with iterative LLM tool calls.</w:t>
      </w:r>
    </w:p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99"/>
        <w:gridCol w:w="7161"/>
      </w:tblGrid>
      <w:tr>
        <w:trPr/>
        <w:tc>
          <w:tcPr>
            <w:tcW w:w="21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Mode</w:t>
            </w:r>
          </w:p>
        </w:tc>
        <w:tc>
          <w:tcPr>
            <w:tcW w:w="716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FFFFFF"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D1B2A"/>
                <w:sz w:val="18"/>
                <w:szCs w:val="18"/>
              </w:rPr>
              <w:t>explain (Direct)</w:t>
            </w:r>
          </w:p>
        </w:tc>
        <w:tc>
          <w:tcPr>
            <w:tcW w:w="716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2E2E"/>
                <w:sz w:val="18"/>
                <w:szCs w:val="18"/>
              </w:rPr>
              <w:t>Scans log → finds highest-severity error → extracts ±20-line context → sends to Gemini → outputs Markdown RCA report in seconds.</w:t>
            </w:r>
          </w:p>
        </w:tc>
      </w:tr>
      <w:tr>
        <w:trPr/>
        <w:tc>
          <w:tcPr>
            <w:tcW w:w="21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D1B2A"/>
                <w:sz w:val="18"/>
                <w:szCs w:val="18"/>
              </w:rPr>
              <w:t>investigate (Agent)</w:t>
            </w:r>
          </w:p>
        </w:tc>
        <w:tc>
          <w:tcPr>
            <w:tcW w:w="716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2E2E"/>
                <w:sz w:val="18"/>
                <w:szCs w:val="18"/>
              </w:rPr>
              <w:t>LLM autonomously calls 4 tools iteratively (up to 10 rounds) to investigate the full log before producing a deep analysis.</w:t>
            </w:r>
          </w:p>
        </w:tc>
      </w:tr>
      <w:tr>
        <w:trPr/>
        <w:tc>
          <w:tcPr>
            <w:tcW w:w="21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D1B2A"/>
                <w:sz w:val="18"/>
                <w:szCs w:val="18"/>
              </w:rPr>
              <w:t>Output Formats</w:t>
            </w:r>
          </w:p>
        </w:tc>
        <w:tc>
          <w:tcPr>
            <w:tcW w:w="716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2E2E"/>
                <w:sz w:val="18"/>
                <w:szCs w:val="18"/>
              </w:rPr>
              <w:t>Rich console (colour terminal UI)  ·  Markdown report file  ·  JSON (for pipeline integration)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pBdr>
          <w:bottom w:val="single" w:sz="6" w:space="2" w:color="1565C0"/>
        </w:pBdr>
        <w:spacing w:before="180" w:after="80"/>
        <w:rPr/>
      </w:pPr>
      <w:r>
        <w:rPr>
          <w:rFonts w:eastAsia="Arial" w:cs="Arial" w:ascii="Arial" w:hAnsi="Arial"/>
          <w:b/>
          <w:bCs/>
          <w:color w:val="1565C0"/>
          <w:sz w:val="26"/>
          <w:szCs w:val="26"/>
        </w:rPr>
        <w:t>3. System Architecture</w:t>
      </w:r>
    </w:p>
    <w:p>
      <w:pPr>
        <w:pStyle w:val="Normal"/>
        <w:spacing w:lineRule="auto" w:line="281" w:before="40" w:after="40"/>
        <w:rPr/>
      </w:pPr>
      <w:r>
        <w:rPr>
          <w:rFonts w:eastAsia="Arial" w:cs="Arial"/>
          <w:color w:val="2E2E2E"/>
          <w:sz w:val="19"/>
          <w:szCs w:val="19"/>
        </w:rPr>
        <w:t>Five tightly-integrated Python modules plus the Google Gemini LLM API:</w:t>
      </w:r>
    </w:p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100" w:type="dxa"/>
          <w:bottom w:w="55" w:type="dxa"/>
          <w:end w:w="10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0D47A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0D47A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Module</w:t>
            </w:r>
          </w:p>
        </w:tc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0D47A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</w:tr>
      <w:tr>
        <w:trPr/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CLI Entry</w:t>
            </w:r>
          </w:p>
        </w:tc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cli.py</w:t>
            </w:r>
          </w:p>
        </w:tc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Click commands: explain / scan / investigate. Routes output to console, JSON, or Markdown.</w:t>
            </w:r>
          </w:p>
        </w:tc>
      </w:tr>
      <w:tr>
        <w:trPr/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Anomaly Parser</w:t>
            </w:r>
          </w:p>
        </w:tc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parser.py</w:t>
            </w:r>
          </w:p>
        </w:tc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Regex severity scan (scores 1–6). Identifies primary error line, extracts ±20-line context window.</w:t>
            </w:r>
          </w:p>
        </w:tc>
      </w:tr>
      <w:tr>
        <w:trPr/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Data Model</w:t>
            </w:r>
          </w:p>
        </w:tc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AnomalyBlock</w:t>
            </w:r>
          </w:p>
        </w:tc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Dataclass: primary line #, context lines, severity score, file path, total lines, context range.</w:t>
            </w:r>
          </w:p>
        </w:tc>
      </w:tr>
      <w:tr>
        <w:trPr/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LLM Client</w:t>
            </w:r>
          </w:p>
        </w:tc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llm_client.py</w:t>
            </w:r>
          </w:p>
        </w:tc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Constructs SRE-persona prompt, calls Gemini API, parses structured response sections.</w:t>
            </w:r>
          </w:p>
        </w:tc>
      </w:tr>
      <w:tr>
        <w:trPr/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Agent Engine</w:t>
            </w:r>
          </w:p>
        </w:tc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agent.py</w:t>
            </w:r>
          </w:p>
        </w:tc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Tool-using loop: dispatches LLM function calls, collects results, iterates up to 10 times.</w:t>
            </w:r>
          </w:p>
        </w:tc>
      </w:tr>
      <w:tr>
        <w:trPr/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Tool Registry</w:t>
            </w:r>
          </w:p>
        </w:tc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tools.py</w:t>
            </w:r>
          </w:p>
        </w:tc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4 functions: scan_all_anomalies, parse_log_file, read_log_lines, search_log_pattern.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auto" w:line="281" w:before="40" w:after="40"/>
        <w:rPr/>
      </w:pPr>
      <w:r>
        <w:rPr>
          <w:rFonts w:eastAsia="Arial" w:cs="Arial"/>
          <w:color w:val="2E2E2E"/>
          <w:sz w:val="19"/>
          <w:szCs w:val="19"/>
        </w:rPr>
        <w:t>Data flow:</w:t>
      </w:r>
    </w:p>
    <w:p>
      <w:pPr>
        <w:pStyle w:val="Normal"/>
        <w:pBdr>
          <w:left w:val="single" w:sz="8" w:space="0" w:color="1565C0"/>
        </w:pBdr>
        <w:shd w:val="clear" w:fill="F0F4FF"/>
        <w:spacing w:lineRule="auto" w:line="240" w:before="30" w:after="30"/>
        <w:rPr/>
      </w:pPr>
      <w:r>
        <w:rPr>
          <w:rFonts w:eastAsia="Courier New" w:cs="Courier New" w:ascii="Courier New" w:hAnsi="Courier New"/>
          <w:color w:val="1A237E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color w:val="1A237E"/>
          <w:sz w:val="17"/>
          <w:szCs w:val="17"/>
        </w:rPr>
        <w:t>.log File → cli.py → parser.py → AnomalyBlock</w:t>
      </w:r>
    </w:p>
    <w:p>
      <w:pPr>
        <w:pStyle w:val="Normal"/>
        <w:pBdr>
          <w:left w:val="single" w:sz="8" w:space="0" w:color="1565C0"/>
        </w:pBdr>
        <w:shd w:val="clear" w:fill="F0F4FF"/>
        <w:spacing w:lineRule="auto" w:line="240" w:before="30" w:after="30"/>
        <w:rPr/>
      </w:pPr>
      <w:r>
        <w:rPr>
          <w:rFonts w:eastAsia="Courier New" w:cs="Courier New" w:ascii="Courier New" w:hAnsi="Courier New"/>
          <w:color w:val="1A237E"/>
          <w:sz w:val="17"/>
          <w:szCs w:val="17"/>
        </w:rPr>
        <w:t xml:space="preserve">                                        ├── </w:t>
      </w:r>
      <w:r>
        <w:rPr>
          <w:rFonts w:eastAsia="Courier New" w:cs="Courier New" w:ascii="Courier New" w:hAnsi="Courier New"/>
          <w:color w:val="1A237E"/>
          <w:sz w:val="17"/>
          <w:szCs w:val="17"/>
        </w:rPr>
        <w:t>llm_client.py  (Direct mode)</w:t>
      </w:r>
    </w:p>
    <w:p>
      <w:pPr>
        <w:pStyle w:val="Normal"/>
        <w:pBdr>
          <w:left w:val="single" w:sz="8" w:space="0" w:color="1565C0"/>
        </w:pBdr>
        <w:shd w:val="clear" w:fill="F0F4FF"/>
        <w:spacing w:lineRule="auto" w:line="240" w:before="30" w:after="30"/>
        <w:rPr/>
      </w:pPr>
      <w:r>
        <w:rPr>
          <w:rFonts w:eastAsia="Courier New" w:cs="Courier New" w:ascii="Courier New" w:hAnsi="Courier New"/>
          <w:color w:val="1A237E"/>
          <w:sz w:val="17"/>
          <w:szCs w:val="17"/>
        </w:rPr>
        <w:t xml:space="preserve">                                        └── </w:t>
      </w:r>
      <w:r>
        <w:rPr>
          <w:rFonts w:eastAsia="Courier New" w:cs="Courier New" w:ascii="Courier New" w:hAnsi="Courier New"/>
          <w:color w:val="1A237E"/>
          <w:sz w:val="17"/>
          <w:szCs w:val="17"/>
        </w:rPr>
        <w:t>agent.py + tools.py  (Agent mode)</w:t>
      </w:r>
    </w:p>
    <w:p>
      <w:pPr>
        <w:pStyle w:val="Normal"/>
        <w:pBdr>
          <w:left w:val="single" w:sz="8" w:space="0" w:color="1565C0"/>
        </w:pBdr>
        <w:shd w:val="clear" w:fill="F0F4FF"/>
        <w:spacing w:lineRule="auto" w:line="240" w:before="30" w:after="30"/>
        <w:rPr/>
      </w:pPr>
      <w:r>
        <w:rPr>
          <w:rFonts w:eastAsia="Courier New" w:cs="Courier New" w:ascii="Courier New" w:hAnsi="Courier New"/>
          <w:color w:val="1A237E"/>
          <w:sz w:val="17"/>
          <w:szCs w:val="17"/>
        </w:rPr>
        <w:t xml:space="preserve">                                                    └── </w:t>
      </w:r>
      <w:r>
        <w:rPr>
          <w:rFonts w:eastAsia="Courier New" w:cs="Courier New" w:ascii="Courier New" w:hAnsi="Courier New"/>
          <w:color w:val="1A237E"/>
          <w:sz w:val="17"/>
          <w:szCs w:val="17"/>
        </w:rPr>
        <w:t>Google Gemini LLM API → Markdown Report</w:t>
      </w:r>
    </w:p>
    <w:p>
      <w:pPr>
        <w:pStyle w:val="Normal"/>
        <w:spacing w:before="0" w:after="60"/>
        <w:rPr>
          <w:rFonts w:ascii="Arial" w:hAnsi="Arial" w:eastAsia="Arial" w:cs="Arial"/>
          <w:b/>
          <w:bCs/>
          <w:color w:val="1565C0"/>
          <w:sz w:val="26"/>
          <w:szCs w:val="26"/>
        </w:rPr>
      </w:pPr>
      <w:r>
        <w:rPr>
          <w:rFonts w:eastAsia="Arial" w:cs="Arial"/>
          <w:b/>
          <w:bCs/>
          <w:color w:val="1565C0"/>
          <w:sz w:val="26"/>
          <w:szCs w:val="2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42672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pBdr>
          <w:bottom w:val="single" w:sz="6" w:space="2" w:color="1565C0"/>
        </w:pBdr>
        <w:spacing w:before="180" w:after="80"/>
        <w:rPr>
          <w:rFonts w:ascii="Arial" w:hAnsi="Arial" w:eastAsia="Arial" w:cs="Arial"/>
          <w:b/>
          <w:bCs/>
          <w:color w:val="1565C0"/>
          <w:sz w:val="26"/>
          <w:szCs w:val="26"/>
        </w:rPr>
      </w:pPr>
      <w:r>
        <w:rPr>
          <w:rFonts w:eastAsia="Arial" w:cs="Arial" w:ascii="Arial" w:hAnsi="Arial"/>
          <w:b/>
          <w:bCs/>
          <w:color w:val="1565C0"/>
          <w:sz w:val="26"/>
          <w:szCs w:val="26"/>
        </w:rPr>
        <w:t>4. Technology Stack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99"/>
        <w:gridCol w:w="7161"/>
      </w:tblGrid>
      <w:tr>
        <w:trPr/>
        <w:tc>
          <w:tcPr>
            <w:tcW w:w="21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716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FFFFFF"/>
                <w:sz w:val="18"/>
                <w:szCs w:val="18"/>
              </w:rPr>
              <w:t>Role &amp; Reason</w:t>
            </w:r>
          </w:p>
        </w:tc>
      </w:tr>
      <w:tr>
        <w:trPr/>
        <w:tc>
          <w:tcPr>
            <w:tcW w:w="21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D1B2A"/>
                <w:sz w:val="18"/>
                <w:szCs w:val="18"/>
              </w:rPr>
              <w:t>Python 3.10+</w:t>
            </w:r>
          </w:p>
        </w:tc>
        <w:tc>
          <w:tcPr>
            <w:tcW w:w="716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2E2E"/>
                <w:sz w:val="18"/>
                <w:szCs w:val="18"/>
              </w:rPr>
              <w:t>Core language — dataclasses, type hints, pathlib, re (regex engine).</w:t>
            </w:r>
          </w:p>
        </w:tc>
      </w:tr>
      <w:tr>
        <w:trPr/>
        <w:tc>
          <w:tcPr>
            <w:tcW w:w="21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D1B2A"/>
                <w:sz w:val="18"/>
                <w:szCs w:val="18"/>
              </w:rPr>
              <w:t>Google Gemini</w:t>
            </w:r>
          </w:p>
        </w:tc>
        <w:tc>
          <w:tcPr>
            <w:tcW w:w="716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2E2E"/>
                <w:sz w:val="18"/>
                <w:szCs w:val="18"/>
              </w:rPr>
              <w:t>LLM analysis + function calling via google-genai SDK.</w:t>
            </w:r>
          </w:p>
        </w:tc>
      </w:tr>
      <w:tr>
        <w:trPr/>
        <w:tc>
          <w:tcPr>
            <w:tcW w:w="21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D1B2A"/>
                <w:sz w:val="18"/>
                <w:szCs w:val="18"/>
              </w:rPr>
              <w:t>Click</w:t>
            </w:r>
          </w:p>
        </w:tc>
        <w:tc>
          <w:tcPr>
            <w:tcW w:w="716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2E2E"/>
                <w:sz w:val="18"/>
                <w:szCs w:val="18"/>
              </w:rPr>
              <w:t>CLI framework — clean sub-command routing (explain / scan / investigate).</w:t>
            </w:r>
          </w:p>
        </w:tc>
      </w:tr>
      <w:tr>
        <w:trPr/>
        <w:tc>
          <w:tcPr>
            <w:tcW w:w="21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D1B2A"/>
                <w:sz w:val="18"/>
                <w:szCs w:val="18"/>
              </w:rPr>
              <w:t>Rich</w:t>
            </w:r>
          </w:p>
        </w:tc>
        <w:tc>
          <w:tcPr>
            <w:tcW w:w="716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2E2E"/>
                <w:sz w:val="18"/>
                <w:szCs w:val="18"/>
              </w:rPr>
              <w:t>Terminal UI — colour panels, tables, live progress, inline Markdown rendering.</w:t>
            </w:r>
          </w:p>
        </w:tc>
      </w:tr>
      <w:tr>
        <w:trPr/>
        <w:tc>
          <w:tcPr>
            <w:tcW w:w="21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D1B2A"/>
                <w:sz w:val="18"/>
                <w:szCs w:val="18"/>
              </w:rPr>
              <w:t>python-dotenv</w:t>
            </w:r>
          </w:p>
        </w:tc>
        <w:tc>
          <w:tcPr>
            <w:tcW w:w="716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2E2E"/>
                <w:sz w:val="18"/>
                <w:szCs w:val="18"/>
              </w:rPr>
              <w:t>Secure API key loading from .env file.</w:t>
            </w:r>
          </w:p>
        </w:tc>
      </w:tr>
      <w:tr>
        <w:trPr/>
        <w:tc>
          <w:tcPr>
            <w:tcW w:w="21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D1B2A"/>
                <w:sz w:val="18"/>
                <w:szCs w:val="18"/>
              </w:rPr>
              <w:t>uv / pytest</w:t>
            </w:r>
          </w:p>
        </w:tc>
        <w:tc>
          <w:tcPr>
            <w:tcW w:w="716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2E2E"/>
                <w:sz w:val="18"/>
                <w:szCs w:val="18"/>
              </w:rPr>
              <w:t>Fast package manager and unit test framework.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pBdr>
          <w:bottom w:val="single" w:sz="6" w:space="2" w:color="1565C0"/>
        </w:pBdr>
        <w:spacing w:before="180" w:after="80"/>
        <w:rPr/>
      </w:pPr>
      <w:r>
        <w:rPr>
          <w:rFonts w:eastAsia="Arial" w:cs="Arial" w:ascii="Arial" w:hAnsi="Arial"/>
          <w:b/>
          <w:bCs/>
          <w:color w:val="1565C0"/>
          <w:sz w:val="26"/>
          <w:szCs w:val="26"/>
        </w:rPr>
        <w:t>5. Workflow</w:t>
      </w:r>
    </w:p>
    <w:p>
      <w:pPr>
        <w:pStyle w:val="Heading2"/>
        <w:spacing w:before="140" w:after="60"/>
        <w:rPr/>
      </w:pPr>
      <w:r>
        <w:rPr>
          <w:rFonts w:eastAsia="Arial" w:cs="Arial" w:ascii="Arial" w:hAnsi="Arial"/>
          <w:b/>
          <w:bCs/>
          <w:color w:val="0D47A1"/>
          <w:sz w:val="22"/>
          <w:szCs w:val="22"/>
        </w:rPr>
        <w:t>5.1 Direct Explain (explain command)</w:t>
      </w:r>
    </w:p>
    <w:p>
      <w:pPr>
        <w:pStyle w:val="ListParagraph"/>
        <w:numPr>
          <w:ilvl w:val="0"/>
          <w:numId w:val="5"/>
        </w:numPr>
        <w:spacing w:lineRule="auto" w:line="262" w:before="30" w:after="30"/>
        <w:rPr/>
      </w:pPr>
      <w:r>
        <w:rPr>
          <w:rFonts w:eastAsia="Arial" w:cs="Arial"/>
          <w:color w:val="2E2E2E"/>
          <w:sz w:val="19"/>
          <w:szCs w:val="19"/>
        </w:rPr>
        <w:t>Input: Engineer runs: log-explainer explain app.log</w:t>
      </w:r>
    </w:p>
    <w:p>
      <w:pPr>
        <w:pStyle w:val="ListParagraph"/>
        <w:numPr>
          <w:ilvl w:val="0"/>
          <w:numId w:val="2"/>
        </w:numPr>
        <w:spacing w:lineRule="auto" w:line="262" w:before="30" w:after="30"/>
        <w:rPr/>
      </w:pPr>
      <w:r>
        <w:rPr>
          <w:rFonts w:eastAsia="Arial" w:cs="Arial"/>
          <w:color w:val="2E2E2E"/>
          <w:sz w:val="19"/>
          <w:szCs w:val="19"/>
        </w:rPr>
        <w:t>Parse &amp; Score: parser.py scans every line against severity patterns (FATAL=6 … WARNING=1).</w:t>
      </w:r>
    </w:p>
    <w:p>
      <w:pPr>
        <w:pStyle w:val="ListParagraph"/>
        <w:numPr>
          <w:ilvl w:val="0"/>
          <w:numId w:val="2"/>
        </w:numPr>
        <w:spacing w:lineRule="auto" w:line="262" w:before="30" w:after="30"/>
        <w:rPr/>
      </w:pPr>
      <w:r>
        <w:rPr>
          <w:rFonts w:eastAsia="Arial" w:cs="Arial"/>
          <w:color w:val="2E2E2E"/>
          <w:sz w:val="19"/>
          <w:szCs w:val="19"/>
        </w:rPr>
        <w:t>Extract Context: ±20 lines around the primary error extracted. Primary line marked with &gt;&gt;&gt;.</w:t>
      </w:r>
    </w:p>
    <w:p>
      <w:pPr>
        <w:pStyle w:val="ListParagraph"/>
        <w:numPr>
          <w:ilvl w:val="0"/>
          <w:numId w:val="2"/>
        </w:numPr>
        <w:spacing w:lineRule="auto" w:line="262" w:before="30" w:after="30"/>
        <w:rPr/>
      </w:pPr>
      <w:r>
        <w:rPr>
          <w:rFonts w:eastAsia="Arial" w:cs="Arial"/>
          <w:color w:val="2E2E2E"/>
          <w:sz w:val="19"/>
          <w:szCs w:val="19"/>
        </w:rPr>
        <w:t>LLM Analysis: Structured SRE-persona prompt submitted to Gemini with full context block.</w:t>
      </w:r>
    </w:p>
    <w:p>
      <w:pPr>
        <w:pStyle w:val="ListParagraph"/>
        <w:numPr>
          <w:ilvl w:val="0"/>
          <w:numId w:val="2"/>
        </w:numPr>
        <w:spacing w:lineRule="auto" w:line="262" w:before="30" w:after="30"/>
        <w:rPr>
          <w:rFonts w:ascii="Arial" w:hAnsi="Arial" w:eastAsia="Arial" w:cs="Arial"/>
          <w:color w:val="2E2E2E"/>
          <w:sz w:val="19"/>
          <w:szCs w:val="19"/>
        </w:rPr>
      </w:pPr>
      <w:r>
        <w:rPr>
          <w:rFonts w:eastAsia="Arial" w:cs="Arial"/>
          <w:color w:val="2E2E2E"/>
          <w:sz w:val="19"/>
          <w:szCs w:val="19"/>
        </w:rPr>
        <w:t>Report Output: Sections parsed — Root Cause / Probable Cause / Remediation Steps / Confidence (HIGH|MEDIUM|LOW).</w:t>
      </w:r>
    </w:p>
    <w:p>
      <w:pPr>
        <w:pStyle w:val="ListParagraph"/>
        <w:numPr>
          <w:ilvl w:val="0"/>
          <w:numId w:val="0"/>
        </w:numPr>
        <w:spacing w:lineRule="auto" w:line="262" w:before="30" w:after="30"/>
        <w:ind w:hanging="0" w:start="580"/>
        <w:rPr>
          <w:rFonts w:ascii="Arial" w:hAnsi="Arial" w:eastAsia="Arial" w:cs="Arial"/>
          <w:color w:val="2E2E2E"/>
          <w:sz w:val="19"/>
          <w:szCs w:val="19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10300" cy="41402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14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/>
          <w:color w:val="2E2E2E"/>
          <w:sz w:val="19"/>
          <w:szCs w:val="19"/>
        </w:rPr>
        <w:br/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left w:val="single" w:sz="8" w:space="0" w:color="1565C0"/>
        </w:pBdr>
        <w:shd w:val="clear" w:fill="F0F4FF"/>
        <w:spacing w:lineRule="auto" w:line="240" w:before="30" w:after="30"/>
        <w:rPr/>
      </w:pPr>
      <w:r>
        <w:rPr>
          <w:rFonts w:eastAsia="Courier New" w:cs="Courier New" w:ascii="Courier New" w:hAnsi="Courier New"/>
          <w:color w:val="1A237E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color w:val="1A237E"/>
          <w:sz w:val="17"/>
          <w:szCs w:val="17"/>
        </w:rPr>
        <w:t>79 | INFO  Starting service...   80 | DEBUG Config loaded OK</w:t>
      </w:r>
    </w:p>
    <w:p>
      <w:pPr>
        <w:pStyle w:val="Normal"/>
        <w:pBdr>
          <w:left w:val="single" w:sz="8" w:space="0" w:color="1565C0"/>
        </w:pBdr>
        <w:shd w:val="clear" w:fill="F0F4FF"/>
        <w:spacing w:lineRule="auto" w:line="240" w:before="30" w:after="30"/>
        <w:rPr/>
      </w:pPr>
      <w:r>
        <w:rPr>
          <w:rFonts w:eastAsia="Courier New" w:cs="Courier New" w:ascii="Courier New" w:hAnsi="Courier New"/>
          <w:color w:val="1A237E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color w:val="1A237E"/>
          <w:sz w:val="17"/>
          <w:szCs w:val="17"/>
        </w:rPr>
        <w:t>81 | WARN  Disk usage at 87%  ...  &gt;&gt;&gt;99 | ERROR Connection refused</w:t>
      </w:r>
    </w:p>
    <w:p>
      <w:pPr>
        <w:pStyle w:val="Normal"/>
        <w:pBdr>
          <w:left w:val="single" w:sz="8" w:space="0" w:color="1565C0"/>
        </w:pBdr>
        <w:shd w:val="clear" w:fill="F0F4FF"/>
        <w:spacing w:lineRule="auto" w:line="240" w:before="30" w:after="30"/>
        <w:rPr/>
      </w:pPr>
      <w:r>
        <w:rPr>
          <w:rFonts w:eastAsia="Courier New" w:cs="Courier New" w:ascii="Courier New" w:hAnsi="Courier New"/>
          <w:color w:val="1A237E"/>
          <w:sz w:val="17"/>
          <w:szCs w:val="17"/>
        </w:rPr>
        <w:t xml:space="preserve"> </w:t>
      </w:r>
      <w:r>
        <w:rPr>
          <w:rFonts w:eastAsia="Courier New" w:cs="Courier New" w:ascii="Courier New" w:hAnsi="Courier New"/>
          <w:color w:val="1A237E"/>
          <w:sz w:val="17"/>
          <w:szCs w:val="17"/>
        </w:rPr>
        <w:t>100 | WARN  Retrying in 5s...  ...  119 | INFO  Service restarted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140" w:after="60"/>
        <w:rPr/>
      </w:pPr>
      <w:r>
        <w:rPr>
          <w:rFonts w:eastAsia="Arial" w:cs="Arial" w:ascii="Arial" w:hAnsi="Arial"/>
          <w:b/>
          <w:bCs/>
          <w:color w:val="0D47A1"/>
          <w:sz w:val="22"/>
          <w:szCs w:val="22"/>
        </w:rPr>
        <w:t>5.2 Agent Investigation (investigate command)</w:t>
      </w:r>
    </w:p>
    <w:p>
      <w:pPr>
        <w:pStyle w:val="ListParagraph"/>
        <w:numPr>
          <w:ilvl w:val="0"/>
          <w:numId w:val="2"/>
        </w:numPr>
        <w:spacing w:lineRule="auto" w:line="262" w:before="30" w:after="30"/>
        <w:rPr/>
      </w:pPr>
      <w:r>
        <w:rPr>
          <w:rFonts w:eastAsia="Arial" w:cs="Arial"/>
          <w:color w:val="2E2E2E"/>
          <w:sz w:val="19"/>
          <w:szCs w:val="19"/>
        </w:rPr>
        <w:t>agent.py initialises Gemini with all 4 tool definitions as function declarations.</w:t>
      </w:r>
    </w:p>
    <w:p>
      <w:pPr>
        <w:pStyle w:val="ListParagraph"/>
        <w:numPr>
          <w:ilvl w:val="0"/>
          <w:numId w:val="2"/>
        </w:numPr>
        <w:spacing w:lineRule="auto" w:line="262" w:before="30" w:after="30"/>
        <w:rPr/>
      </w:pPr>
      <w:r>
        <w:rPr>
          <w:rFonts w:eastAsia="Arial" w:cs="Arial"/>
          <w:color w:val="2E2E2E"/>
          <w:sz w:val="19"/>
          <w:szCs w:val="19"/>
        </w:rPr>
        <w:t>LLM decides which tools to call — typically starts with scan_all_anomalies for an anomaly map.</w:t>
      </w:r>
    </w:p>
    <w:p>
      <w:pPr>
        <w:pStyle w:val="ListParagraph"/>
        <w:numPr>
          <w:ilvl w:val="0"/>
          <w:numId w:val="2"/>
        </w:numPr>
        <w:spacing w:lineRule="auto" w:line="262" w:before="30" w:after="30"/>
        <w:rPr/>
      </w:pPr>
      <w:r>
        <w:rPr>
          <w:rFonts w:eastAsia="Arial" w:cs="Arial"/>
          <w:color w:val="2E2E2E"/>
          <w:sz w:val="19"/>
          <w:szCs w:val="19"/>
        </w:rPr>
        <w:t>Tool results are appended to conversation history; LLM reasons over them and calls more tools.</w:t>
      </w:r>
    </w:p>
    <w:p>
      <w:pPr>
        <w:pStyle w:val="ListParagraph"/>
        <w:numPr>
          <w:ilvl w:val="0"/>
          <w:numId w:val="2"/>
        </w:numPr>
        <w:spacing w:lineRule="auto" w:line="262" w:before="30" w:after="30"/>
        <w:rPr/>
      </w:pPr>
      <w:r>
        <w:rPr>
          <w:rFonts w:eastAsia="Arial" w:cs="Arial"/>
          <w:color w:val="2E2E2E"/>
          <w:sz w:val="19"/>
          <w:szCs w:val="19"/>
        </w:rPr>
        <w:t>Loop repeats up to 10 iterations with live Rich UI progress. Final structured analysis produced.</w:t>
      </w:r>
    </w:p>
    <w:p>
      <w:pPr>
        <w:pStyle w:val="Normal"/>
        <w:spacing w:before="0" w:after="60"/>
        <w:rPr/>
      </w:pPr>
      <w:r>
        <w:rPr/>
      </w:r>
    </w:p>
    <w:p>
      <w:pPr>
        <w:pStyle w:val="Heading1"/>
        <w:pBdr>
          <w:bottom w:val="single" w:sz="6" w:space="2" w:color="1565C0"/>
        </w:pBdr>
        <w:spacing w:before="180" w:after="80"/>
        <w:rPr>
          <w:rFonts w:ascii="Arial" w:hAnsi="Arial" w:eastAsia="Arial" w:cs="Arial"/>
          <w:b/>
          <w:bCs/>
          <w:color w:val="1565C0"/>
          <w:sz w:val="26"/>
          <w:szCs w:val="26"/>
        </w:rPr>
      </w:pPr>
      <w:r>
        <w:rPr>
          <w:rFonts w:eastAsia="Arial" w:cs="Arial" w:ascii="Arial" w:hAnsi="Arial"/>
          <w:b/>
          <w:bCs/>
          <w:color w:val="1565C0"/>
          <w:sz w:val="26"/>
          <w:szCs w:val="26"/>
        </w:rPr>
      </w:r>
    </w:p>
    <w:p>
      <w:pPr>
        <w:pStyle w:val="Heading1"/>
        <w:pBdr>
          <w:bottom w:val="single" w:sz="6" w:space="2" w:color="1565C0"/>
        </w:pBdr>
        <w:spacing w:before="180" w:after="80"/>
        <w:rPr>
          <w:rFonts w:ascii="Arial" w:hAnsi="Arial" w:eastAsia="Arial" w:cs="Arial"/>
          <w:b/>
          <w:bCs/>
          <w:color w:val="1565C0"/>
          <w:sz w:val="26"/>
          <w:szCs w:val="26"/>
        </w:rPr>
      </w:pPr>
      <w:r>
        <w:rPr>
          <w:rFonts w:eastAsia="Arial" w:cs="Arial" w:ascii="Arial" w:hAnsi="Arial"/>
          <w:b/>
          <w:bCs/>
          <w:color w:val="1565C0"/>
          <w:sz w:val="26"/>
          <w:szCs w:val="26"/>
        </w:rPr>
        <w:t>6. Anomaly Detection Engine</w:t>
      </w:r>
    </w:p>
    <w:p>
      <w:pPr>
        <w:pStyle w:val="Heading2"/>
        <w:spacing w:before="140" w:after="60"/>
        <w:rPr/>
      </w:pPr>
      <w:r>
        <w:rPr>
          <w:rFonts w:eastAsia="Arial" w:cs="Arial" w:ascii="Arial" w:hAnsi="Arial"/>
          <w:b/>
          <w:bCs/>
          <w:color w:val="0D47A1"/>
          <w:sz w:val="22"/>
          <w:szCs w:val="22"/>
        </w:rPr>
        <w:t>6.1 Severity Scoring</w:t>
      </w:r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100" w:type="dxa"/>
          <w:bottom w:w="55" w:type="dxa"/>
          <w:end w:w="100" w:type="dxa"/>
        </w:tblCellMar>
      </w:tblPr>
      <w:tblGrid>
        <w:gridCol w:w="3499"/>
        <w:gridCol w:w="4061"/>
        <w:gridCol w:w="1800"/>
      </w:tblGrid>
      <w:tr>
        <w:trPr/>
        <w:tc>
          <w:tcPr>
            <w:tcW w:w="34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0D47A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Pattern</w:t>
            </w:r>
          </w:p>
        </w:tc>
        <w:tc>
          <w:tcPr>
            <w:tcW w:w="406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0D47A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Examples</w:t>
            </w:r>
          </w:p>
        </w:tc>
        <w:tc>
          <w:tcPr>
            <w:tcW w:w="18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0D47A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Score</w:t>
            </w:r>
          </w:p>
        </w:tc>
      </w:tr>
      <w:tr>
        <w:trPr/>
        <w:tc>
          <w:tcPr>
            <w:tcW w:w="34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FATAL / CRITICAL / panic</w:t>
            </w:r>
          </w:p>
        </w:tc>
        <w:tc>
          <w:tcPr>
            <w:tcW w:w="406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FATAL: unhandled exception, kernel panic</w:t>
            </w:r>
          </w:p>
        </w:tc>
        <w:tc>
          <w:tcPr>
            <w:tcW w:w="18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6</w:t>
            </w:r>
          </w:p>
        </w:tc>
      </w:tr>
      <w:tr>
        <w:trPr/>
        <w:tc>
          <w:tcPr>
            <w:tcW w:w="34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OOM / segfault / killed</w:t>
            </w:r>
          </w:p>
        </w:tc>
        <w:tc>
          <w:tcPr>
            <w:tcW w:w="406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Out of memory: Kill process, segfault</w:t>
            </w:r>
          </w:p>
        </w:tc>
        <w:tc>
          <w:tcPr>
            <w:tcW w:w="18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6 / 5</w:t>
            </w:r>
          </w:p>
        </w:tc>
      </w:tr>
      <w:tr>
        <w:trPr/>
        <w:tc>
          <w:tcPr>
            <w:tcW w:w="34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EXCEPTION / Traceback</w:t>
            </w:r>
          </w:p>
        </w:tc>
        <w:tc>
          <w:tcPr>
            <w:tcW w:w="406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NullPointerException, Traceback</w:t>
            </w:r>
          </w:p>
        </w:tc>
        <w:tc>
          <w:tcPr>
            <w:tcW w:w="18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4</w:t>
            </w:r>
          </w:p>
        </w:tc>
      </w:tr>
      <w:tr>
        <w:trPr/>
        <w:tc>
          <w:tcPr>
            <w:tcW w:w="34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ERROR</w:t>
            </w:r>
          </w:p>
        </w:tc>
        <w:tc>
          <w:tcPr>
            <w:tcW w:w="406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ERROR connecting to DB, ERROR 500</w:t>
            </w:r>
          </w:p>
        </w:tc>
        <w:tc>
          <w:tcPr>
            <w:tcW w:w="18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3</w:t>
            </w:r>
          </w:p>
        </w:tc>
      </w:tr>
      <w:tr>
        <w:trPr/>
        <w:tc>
          <w:tcPr>
            <w:tcW w:w="34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Timeout / Conn refused</w:t>
            </w:r>
          </w:p>
        </w:tc>
        <w:tc>
          <w:tcPr>
            <w:tcW w:w="406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operation timed out, Connection refused</w:t>
            </w:r>
          </w:p>
        </w:tc>
        <w:tc>
          <w:tcPr>
            <w:tcW w:w="18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2</w:t>
            </w:r>
          </w:p>
        </w:tc>
      </w:tr>
      <w:tr>
        <w:trPr/>
        <w:tc>
          <w:tcPr>
            <w:tcW w:w="34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HTTP 4xx/5xx</w:t>
            </w:r>
          </w:p>
        </w:tc>
        <w:tc>
          <w:tcPr>
            <w:tcW w:w="406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HTTP 503 Service Unavailable</w:t>
            </w:r>
          </w:p>
        </w:tc>
        <w:tc>
          <w:tcPr>
            <w:tcW w:w="18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2</w:t>
            </w:r>
          </w:p>
        </w:tc>
      </w:tr>
      <w:tr>
        <w:trPr/>
        <w:tc>
          <w:tcPr>
            <w:tcW w:w="34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WARNING / WARN</w:t>
            </w:r>
          </w:p>
        </w:tc>
        <w:tc>
          <w:tcPr>
            <w:tcW w:w="406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WARN: high memory, disk at 87%</w:t>
            </w:r>
          </w:p>
        </w:tc>
        <w:tc>
          <w:tcPr>
            <w:tcW w:w="18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1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140" w:after="60"/>
        <w:rPr/>
      </w:pPr>
      <w:r>
        <w:rPr>
          <w:rFonts w:eastAsia="Arial" w:cs="Arial" w:ascii="Arial" w:hAnsi="Arial"/>
          <w:b/>
          <w:bCs/>
          <w:color w:val="0D47A1"/>
          <w:sz w:val="22"/>
          <w:szCs w:val="22"/>
        </w:rPr>
        <w:t>6.2 Prompt Engineering</w:t>
      </w:r>
    </w:p>
    <w:p>
      <w:pPr>
        <w:pStyle w:val="Normal"/>
        <w:spacing w:lineRule="auto" w:line="281" w:before="40" w:after="40"/>
        <w:rPr>
          <w:rFonts w:ascii="Arial" w:hAnsi="Arial" w:eastAsia="Arial" w:cs="Arial"/>
          <w:color w:val="2E2E2E"/>
          <w:sz w:val="19"/>
          <w:szCs w:val="19"/>
        </w:rPr>
      </w:pPr>
      <w:r>
        <w:rPr>
          <w:rFonts w:eastAsia="Arial" w:cs="Arial"/>
          <w:color w:val="2E2E2E"/>
          <w:sz w:val="19"/>
          <w:szCs w:val="19"/>
        </w:rPr>
        <w:t>System instruction sets SRE-Expert persona with strict ## section headers for deterministic parsing. User prompt injects: file path, total lines, primary line number, context range, severity score, and the formatted context block. Output parsed by section header search — no regex on the response side.</w:t>
      </w:r>
    </w:p>
    <w:p>
      <w:pPr>
        <w:pStyle w:val="Normal"/>
        <w:spacing w:lineRule="auto" w:line="281" w:before="40" w:after="40"/>
        <w:rPr>
          <w:rFonts w:ascii="Arial" w:hAnsi="Arial" w:eastAsia="Arial" w:cs="Arial"/>
          <w:color w:val="2E2E2E"/>
          <w:sz w:val="19"/>
          <w:szCs w:val="19"/>
        </w:rPr>
      </w:pPr>
      <w:r>
        <w:rPr>
          <w:rFonts w:eastAsia="Arial" w:cs="Arial"/>
          <w:color w:val="2E2E2E"/>
          <w:sz w:val="19"/>
          <w:szCs w:val="19"/>
        </w:rPr>
      </w:r>
    </w:p>
    <w:p>
      <w:pPr>
        <w:pStyle w:val="Heading1"/>
        <w:pBdr>
          <w:bottom w:val="single" w:sz="6" w:space="2" w:color="1565C0"/>
        </w:pBdr>
        <w:spacing w:before="0" w:after="80"/>
        <w:rPr/>
      </w:pPr>
      <w:r>
        <w:rPr>
          <w:rFonts w:eastAsia="Arial" w:cs="Arial" w:ascii="Arial" w:hAnsi="Arial"/>
          <w:b/>
          <w:bCs/>
          <w:color w:val="1565C0"/>
          <w:sz w:val="26"/>
          <w:szCs w:val="26"/>
        </w:rPr>
        <w:t>7. Sample Analysis — Thunderbird_2k.log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000"/>
        <w:gridCol w:w="7360"/>
      </w:tblGrid>
      <w:tr>
        <w:trPr/>
        <w:tc>
          <w:tcPr>
            <w:tcW w:w="2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36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FFFFFF"/>
                <w:sz w:val="18"/>
                <w:szCs w:val="18"/>
              </w:rPr>
              <w:t>Value</w:t>
            </w:r>
          </w:p>
        </w:tc>
      </w:tr>
      <w:tr>
        <w:trPr/>
        <w:tc>
          <w:tcPr>
            <w:tcW w:w="2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D1B2A"/>
                <w:sz w:val="18"/>
                <w:szCs w:val="18"/>
              </w:rPr>
              <w:t>Primary Line</w:t>
            </w:r>
          </w:p>
        </w:tc>
        <w:tc>
          <w:tcPr>
            <w:tcW w:w="736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2E2E"/>
                <w:sz w:val="18"/>
                <w:szCs w:val="18"/>
              </w:rPr>
              <w:t>#99</w:t>
            </w:r>
          </w:p>
        </w:tc>
      </w:tr>
      <w:tr>
        <w:trPr/>
        <w:tc>
          <w:tcPr>
            <w:tcW w:w="2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D1B2A"/>
                <w:sz w:val="18"/>
                <w:szCs w:val="18"/>
              </w:rPr>
              <w:t>Context Range</w:t>
            </w:r>
          </w:p>
        </w:tc>
        <w:tc>
          <w:tcPr>
            <w:tcW w:w="736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2E2E"/>
                <w:sz w:val="18"/>
                <w:szCs w:val="18"/>
              </w:rPr>
              <w:t>Lines 49–149</w:t>
            </w:r>
          </w:p>
        </w:tc>
      </w:tr>
      <w:tr>
        <w:trPr/>
        <w:tc>
          <w:tcPr>
            <w:tcW w:w="2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D1B2A"/>
                <w:sz w:val="18"/>
                <w:szCs w:val="18"/>
              </w:rPr>
              <w:t>Severity</w:t>
            </w:r>
          </w:p>
        </w:tc>
        <w:tc>
          <w:tcPr>
            <w:tcW w:w="736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2E2E"/>
                <w:sz w:val="18"/>
                <w:szCs w:val="18"/>
              </w:rPr>
              <w:t>2 / 6</w:t>
            </w:r>
          </w:p>
        </w:tc>
      </w:tr>
      <w:tr>
        <w:trPr/>
        <w:tc>
          <w:tcPr>
            <w:tcW w:w="2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D1B2A"/>
                <w:sz w:val="18"/>
                <w:szCs w:val="18"/>
              </w:rPr>
              <w:t>Confidence</w:t>
            </w:r>
          </w:p>
        </w:tc>
        <w:tc>
          <w:tcPr>
            <w:tcW w:w="736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2E2E"/>
                <w:sz w:val="18"/>
                <w:szCs w:val="18"/>
              </w:rPr>
              <w:t>HIGH</w:t>
            </w:r>
          </w:p>
        </w:tc>
      </w:tr>
      <w:tr>
        <w:trPr/>
        <w:tc>
          <w:tcPr>
            <w:tcW w:w="2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D1B2A"/>
                <w:sz w:val="18"/>
                <w:szCs w:val="18"/>
              </w:rPr>
              <w:t>Model</w:t>
            </w:r>
          </w:p>
        </w:tc>
        <w:tc>
          <w:tcPr>
            <w:tcW w:w="736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2E2E"/>
                <w:sz w:val="18"/>
                <w:szCs w:val="18"/>
              </w:rPr>
              <w:t>Gemini Flash</w:t>
            </w:r>
          </w:p>
        </w:tc>
      </w:tr>
      <w:tr>
        <w:trPr/>
        <w:tc>
          <w:tcPr>
            <w:tcW w:w="2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D1B2A"/>
                <w:sz w:val="18"/>
                <w:szCs w:val="18"/>
              </w:rPr>
              <w:t>Anomalies Found</w:t>
            </w:r>
          </w:p>
        </w:tc>
        <w:tc>
          <w:tcPr>
            <w:tcW w:w="736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2E2E"/>
                <w:sz w:val="18"/>
                <w:szCs w:val="18"/>
              </w:rPr>
              <w:t>4 across 2,000 lines</w:t>
            </w:r>
          </w:p>
        </w:tc>
      </w:tr>
    </w:tbl>
    <w:p>
      <w:pPr>
        <w:pStyle w:val="Normal"/>
        <w:spacing w:before="0" w:after="50"/>
        <w:rPr/>
      </w:pPr>
      <w:r>
        <w:rPr/>
      </w:r>
    </w:p>
    <w:p>
      <w:pPr>
        <w:pStyle w:val="Heading2"/>
        <w:spacing w:before="140" w:after="60"/>
        <w:rPr/>
      </w:pPr>
      <w:r>
        <w:rPr>
          <w:rFonts w:eastAsia="Arial" w:cs="Arial" w:ascii="Arial" w:hAnsi="Arial"/>
          <w:b/>
          <w:bCs/>
          <w:color w:val="0D47A1"/>
          <w:sz w:val="22"/>
          <w:szCs w:val="22"/>
        </w:rPr>
        <w:t>Root Cause</w:t>
      </w:r>
    </w:p>
    <w:p>
      <w:pPr>
        <w:pStyle w:val="Normal"/>
        <w:spacing w:lineRule="auto" w:line="281" w:before="40" w:after="40"/>
        <w:rPr/>
      </w:pPr>
      <w:r>
        <w:rPr>
          <w:rFonts w:eastAsia="Arial" w:cs="Arial"/>
          <w:color w:val="2E2E2E"/>
          <w:sz w:val="19"/>
          <w:szCs w:val="19"/>
        </w:rPr>
        <w:t>The sendmail service fails to deliver mail because no process is listening on port 25 of 127.0.0.1 — the local MTA is not running or misconfigured.</w:t>
      </w:r>
    </w:p>
    <w:p>
      <w:pPr>
        <w:pStyle w:val="Heading2"/>
        <w:spacing w:before="140" w:after="60"/>
        <w:rPr/>
      </w:pPr>
      <w:r>
        <w:rPr>
          <w:rFonts w:eastAsia="Arial" w:cs="Arial" w:ascii="Arial" w:hAnsi="Arial"/>
          <w:b/>
          <w:bCs/>
          <w:color w:val="0D47A1"/>
          <w:sz w:val="22"/>
          <w:szCs w:val="22"/>
        </w:rPr>
        <w:t>Probable Cause</w:t>
      </w:r>
    </w:p>
    <w:p>
      <w:pPr>
        <w:pStyle w:val="Normal"/>
        <w:spacing w:lineRule="auto" w:line="281" w:before="40" w:after="40"/>
        <w:rPr/>
      </w:pPr>
      <w:r>
        <w:rPr>
          <w:rFonts w:eastAsia="Arial" w:cs="Arial"/>
          <w:color w:val="2E2E2E"/>
          <w:sz w:val="19"/>
          <w:szCs w:val="19"/>
        </w:rPr>
        <w:t>MTA crash across nodes (eadmin1, badmin1) correlated with gmetad timeouts, indicating broader cluster instability — possibly OOM-induced process termination.</w:t>
      </w:r>
    </w:p>
    <w:p>
      <w:pPr>
        <w:pStyle w:val="Heading2"/>
        <w:spacing w:before="140" w:after="60"/>
        <w:rPr/>
      </w:pPr>
      <w:r>
        <w:rPr>
          <w:rFonts w:eastAsia="Arial" w:cs="Arial" w:ascii="Arial" w:hAnsi="Arial"/>
          <w:b/>
          <w:bCs/>
          <w:color w:val="0D47A1"/>
          <w:sz w:val="22"/>
          <w:szCs w:val="22"/>
        </w:rPr>
        <w:t>Remediation Steps</w:t>
      </w:r>
    </w:p>
    <w:p>
      <w:pPr>
        <w:pStyle w:val="ListParagraph"/>
        <w:numPr>
          <w:ilvl w:val="0"/>
          <w:numId w:val="2"/>
        </w:numPr>
        <w:spacing w:lineRule="auto" w:line="262" w:before="30" w:after="30"/>
        <w:rPr/>
      </w:pPr>
      <w:r>
        <w:rPr>
          <w:rFonts w:eastAsia="Arial" w:cs="Arial"/>
          <w:color w:val="2E2E2E"/>
          <w:sz w:val="19"/>
          <w:szCs w:val="19"/>
        </w:rPr>
        <w:t>systemctl status sendmail — verify service state</w:t>
      </w:r>
    </w:p>
    <w:p>
      <w:pPr>
        <w:pStyle w:val="ListParagraph"/>
        <w:numPr>
          <w:ilvl w:val="0"/>
          <w:numId w:val="2"/>
        </w:numPr>
        <w:spacing w:lineRule="auto" w:line="262" w:before="30" w:after="30"/>
        <w:rPr/>
      </w:pPr>
      <w:r>
        <w:rPr>
          <w:rFonts w:eastAsia="Arial" w:cs="Arial"/>
          <w:color w:val="2E2E2E"/>
          <w:sz w:val="19"/>
          <w:szCs w:val="19"/>
        </w:rPr>
        <w:t>netstat -plnt | grep :25 — confirm nothing listening on port 25</w:t>
      </w:r>
    </w:p>
    <w:p>
      <w:pPr>
        <w:pStyle w:val="ListParagraph"/>
        <w:numPr>
          <w:ilvl w:val="0"/>
          <w:numId w:val="2"/>
        </w:numPr>
        <w:spacing w:lineRule="auto" w:line="262" w:before="30" w:after="30"/>
        <w:rPr/>
      </w:pPr>
      <w:r>
        <w:rPr>
          <w:rFonts w:eastAsia="Arial" w:cs="Arial"/>
          <w:color w:val="2E2E2E"/>
          <w:sz w:val="19"/>
          <w:szCs w:val="19"/>
        </w:rPr>
        <w:t>Verify FQDN in /etc/hosts  ·  Check OOM events in dmesg  ·  Check disk saturation</w:t>
      </w:r>
    </w:p>
    <w:p>
      <w:pPr>
        <w:pStyle w:val="Heading2"/>
        <w:spacing w:before="140" w:after="60"/>
        <w:rPr/>
      </w:pPr>
      <w:r>
        <w:rPr>
          <w:rFonts w:eastAsia="Arial" w:cs="Arial" w:ascii="Arial" w:hAnsi="Arial"/>
          <w:b/>
          <w:bCs/>
          <w:color w:val="0D47A1"/>
          <w:sz w:val="22"/>
          <w:szCs w:val="22"/>
        </w:rPr>
        <w:t>Additional Anomalies</w:t>
      </w:r>
    </w:p>
    <w:p>
      <w:pPr>
        <w:pStyle w:val="ListParagraph"/>
        <w:numPr>
          <w:ilvl w:val="0"/>
          <w:numId w:val="1"/>
        </w:numPr>
        <w:spacing w:lineRule="auto" w:line="262" w:before="30" w:after="30"/>
        <w:rPr/>
      </w:pPr>
      <w:r>
        <w:rPr>
          <w:rFonts w:eastAsia="Arial" w:cs="Arial"/>
          <w:color w:val="2E2E2E"/>
          <w:sz w:val="19"/>
          <w:szCs w:val="19"/>
        </w:rPr>
        <w:t>vesafb probe error — GPU framebuffer init failure (non-critical)</w:t>
      </w:r>
    </w:p>
    <w:p>
      <w:pPr>
        <w:pStyle w:val="ListParagraph"/>
        <w:numPr>
          <w:ilvl w:val="0"/>
          <w:numId w:val="1"/>
        </w:numPr>
        <w:spacing w:lineRule="auto" w:line="262" w:before="30" w:after="30"/>
        <w:rPr/>
      </w:pPr>
      <w:r>
        <w:rPr>
          <w:rFonts w:eastAsia="Arial" w:cs="Arial"/>
          <w:color w:val="2E2E2E"/>
          <w:sz w:val="19"/>
          <w:szCs w:val="19"/>
        </w:rPr>
        <w:t>sshd port conflict — SSH bind failure on secondary interface</w:t>
      </w:r>
    </w:p>
    <w:p>
      <w:pPr>
        <w:pStyle w:val="ListParagraph"/>
        <w:numPr>
          <w:ilvl w:val="0"/>
          <w:numId w:val="1"/>
        </w:numPr>
        <w:spacing w:lineRule="auto" w:line="262" w:before="30" w:after="30"/>
        <w:rPr/>
      </w:pPr>
      <w:r>
        <w:rPr>
          <w:rFonts w:eastAsia="Arial" w:cs="Arial"/>
          <w:color w:val="2E2E2E"/>
          <w:sz w:val="19"/>
          <w:szCs w:val="19"/>
        </w:rPr>
        <w:t>Cluster instability — gmetad monitoring timeouts across nodes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6" w:space="2" w:color="1565C0"/>
        </w:pBdr>
        <w:spacing w:before="180" w:after="80"/>
        <w:rPr/>
      </w:pPr>
      <w:r>
        <w:rPr>
          <w:rFonts w:eastAsia="Arial" w:cs="Arial" w:ascii="Arial" w:hAnsi="Arial"/>
          <w:b/>
          <w:bCs/>
          <w:color w:val="1565C0"/>
          <w:sz w:val="26"/>
          <w:szCs w:val="26"/>
        </w:rPr>
        <w:t>8. Applications &amp; Real-World Use Cases</w:t>
      </w:r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100" w:type="dxa"/>
          <w:bottom w:w="55" w:type="dxa"/>
          <w:end w:w="100" w:type="dxa"/>
        </w:tblCellMar>
      </w:tblPr>
      <w:tblGrid>
        <w:gridCol w:w="2199"/>
        <w:gridCol w:w="2401"/>
        <w:gridCol w:w="4760"/>
      </w:tblGrid>
      <w:tr>
        <w:trPr/>
        <w:tc>
          <w:tcPr>
            <w:tcW w:w="21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0D47A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Use Case</w:t>
            </w:r>
          </w:p>
        </w:tc>
        <w:tc>
          <w:tcPr>
            <w:tcW w:w="24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0D47A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User</w:t>
            </w:r>
          </w:p>
        </w:tc>
        <w:tc>
          <w:tcPr>
            <w:tcW w:w="476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0D47A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Benefit</w:t>
            </w:r>
          </w:p>
        </w:tc>
      </w:tr>
      <w:tr>
        <w:trPr/>
        <w:tc>
          <w:tcPr>
            <w:tcW w:w="21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Incident Response</w:t>
            </w:r>
          </w:p>
        </w:tc>
        <w:tc>
          <w:tcPr>
            <w:tcW w:w="24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On-call SRE / DevOps</w:t>
            </w:r>
          </w:p>
        </w:tc>
        <w:tc>
          <w:tcPr>
            <w:tcW w:w="476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Instant AI-powered RCA during live outages — no manual log triage.</w:t>
            </w:r>
          </w:p>
        </w:tc>
      </w:tr>
      <w:tr>
        <w:trPr/>
        <w:tc>
          <w:tcPr>
            <w:tcW w:w="21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Post-Mortem Analysis</w:t>
            </w:r>
          </w:p>
        </w:tc>
        <w:tc>
          <w:tcPr>
            <w:tcW w:w="24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Engineering Manager</w:t>
            </w:r>
          </w:p>
        </w:tc>
        <w:tc>
          <w:tcPr>
            <w:tcW w:w="476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Auto-generate root-cause reports from historical log archives.</w:t>
            </w:r>
          </w:p>
        </w:tc>
      </w:tr>
      <w:tr>
        <w:trPr/>
        <w:tc>
          <w:tcPr>
            <w:tcW w:w="21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CI/CD Pipeline QA</w:t>
            </w:r>
          </w:p>
        </w:tc>
        <w:tc>
          <w:tcPr>
            <w:tcW w:w="24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Build Engineers</w:t>
            </w:r>
          </w:p>
        </w:tc>
        <w:tc>
          <w:tcPr>
            <w:tcW w:w="476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Detect failure patterns in test run logs; fail build with AI explanation.</w:t>
            </w:r>
          </w:p>
        </w:tc>
      </w:tr>
      <w:tr>
        <w:trPr/>
        <w:tc>
          <w:tcPr>
            <w:tcW w:w="21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DevOps Automation</w:t>
            </w:r>
          </w:p>
        </w:tc>
        <w:tc>
          <w:tcPr>
            <w:tcW w:w="24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Platform Engineering</w:t>
            </w:r>
          </w:p>
        </w:tc>
        <w:tc>
          <w:tcPr>
            <w:tcW w:w="476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Trigger alerts and automated remediation on detected anomaly patterns.</w:t>
            </w:r>
          </w:p>
        </w:tc>
      </w:tr>
      <w:tr>
        <w:trPr/>
        <w:tc>
          <w:tcPr>
            <w:tcW w:w="21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Developer Onboarding</w:t>
            </w:r>
          </w:p>
        </w:tc>
        <w:tc>
          <w:tcPr>
            <w:tcW w:w="24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Junior Engineers</w:t>
            </w:r>
          </w:p>
        </w:tc>
        <w:tc>
          <w:tcPr>
            <w:tcW w:w="476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New team members understand production errors faster via AI context.</w:t>
            </w:r>
          </w:p>
        </w:tc>
      </w:tr>
      <w:tr>
        <w:trPr/>
        <w:tc>
          <w:tcPr>
            <w:tcW w:w="21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Multi-Service Monitoring</w:t>
            </w:r>
          </w:p>
        </w:tc>
        <w:tc>
          <w:tcPr>
            <w:tcW w:w="24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SRE / Platform Teams</w:t>
            </w:r>
          </w:p>
        </w:tc>
        <w:tc>
          <w:tcPr>
            <w:tcW w:w="476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Batch-scan logs from microservices, cloud infra, and servers in one run.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6" w:space="2" w:color="1565C0"/>
        </w:pBdr>
        <w:spacing w:before="180" w:after="80"/>
        <w:rPr/>
      </w:pPr>
      <w:r>
        <w:rPr>
          <w:rFonts w:eastAsia="Arial" w:cs="Arial" w:ascii="Arial" w:hAnsi="Arial"/>
          <w:b/>
          <w:bCs/>
          <w:color w:val="1565C0"/>
          <w:sz w:val="26"/>
          <w:szCs w:val="26"/>
        </w:rPr>
        <w:t>9. Key Takeaways</w:t>
      </w:r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100" w:type="dxa"/>
          <w:bottom w:w="55" w:type="dxa"/>
          <w:end w:w="10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0D47A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Feature</w:t>
            </w:r>
          </w:p>
        </w:tc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0D47A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Implementation</w:t>
            </w:r>
          </w:p>
        </w:tc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0D47A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Impact</w:t>
            </w:r>
          </w:p>
        </w:tc>
      </w:tr>
      <w:tr>
        <w:trPr/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Automated Detection</w:t>
            </w:r>
          </w:p>
        </w:tc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Severity-ranked regex, 7 pattern tiers</w:t>
            </w:r>
          </w:p>
        </w:tc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Finds anomalies instantly across 10+ error types — zero ML required</w:t>
            </w:r>
          </w:p>
        </w:tc>
      </w:tr>
      <w:tr>
        <w:trPr/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Context-Aware AI</w:t>
            </w:r>
          </w:p>
        </w:tc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±20-line window with &gt;&gt;&gt; primary marker</w:t>
            </w:r>
          </w:p>
        </w:tc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Gives Gemini the system state needed for accurate RCA</w:t>
            </w:r>
          </w:p>
        </w:tc>
      </w:tr>
      <w:tr>
        <w:trPr/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Agent Architecture</w:t>
            </w:r>
          </w:p>
        </w:tc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4-tool iterative loop, up to 10 iterations</w:t>
            </w:r>
          </w:p>
        </w:tc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LLM investigates complex multi-anomaly logs like an expert SRE</w:t>
            </w:r>
          </w:p>
        </w:tc>
      </w:tr>
      <w:tr>
        <w:trPr/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Production Ready</w:t>
            </w:r>
          </w:p>
        </w:tc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Rich CLI, JSON/Markdown output, unit tested</w:t>
            </w:r>
          </w:p>
        </w:tc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Deployable in real on-call workflows and CI/CD pipelines</w:t>
            </w:r>
          </w:p>
        </w:tc>
      </w:tr>
      <w:tr>
        <w:trPr/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Zero ML Dependency</w:t>
            </w:r>
          </w:p>
        </w:tc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Pure regex + LLM API</w:t>
            </w:r>
          </w:p>
        </w:tc>
        <w:tc>
          <w:tcPr>
            <w:tcW w:w="312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E2E2E"/>
                <w:sz w:val="17"/>
                <w:szCs w:val="17"/>
              </w:rPr>
              <w:t>No training, no dataset, no GPU — runs anywhere Python 3.10 runs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left w:val="single" w:sz="8" w:space="0" w:color="1565C0"/>
        </w:pBdr>
        <w:shd w:val="clear" w:fill="F0F4FF"/>
        <w:spacing w:lineRule="auto" w:line="240" w:before="30" w:after="30"/>
        <w:rPr/>
      </w:pPr>
      <w:r>
        <w:rPr>
          <w:rFonts w:eastAsia="Courier New" w:cs="Courier New" w:ascii="Courier New" w:hAnsi="Courier New"/>
          <w:color w:val="1A237E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color w:val="1A237E"/>
          <w:sz w:val="17"/>
          <w:szCs w:val="17"/>
        </w:rPr>
        <w:t>log-explainer explain app.log  →  Instant AI-Powered Root Cause Report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80" w:after="0"/>
        <w:jc w:val="center"/>
        <w:rPr/>
      </w:pPr>
      <w:r>
        <w:rPr>
          <w:rFonts w:eastAsia="Arial" w:cs="Arial"/>
          <w:i/>
          <w:iCs/>
          <w:color w:val="546E7A"/>
          <w:sz w:val="16"/>
          <w:szCs w:val="16"/>
        </w:rPr>
        <w:t>Team PS-02  ·  Log File Anomaly Explainer  ·  2026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080" w:right="1080" w:gutter="0" w:header="708" w:top="900" w:footer="708" w:bottom="9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Courier New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1565C0"/>
      </w:pBdr>
      <w:tabs>
        <w:tab w:val="clear" w:pos="720"/>
        <w:tab w:val="right" w:pos="9026" w:leader="none"/>
      </w:tabs>
      <w:spacing w:before="80" w:after="0"/>
      <w:rPr/>
    </w:pPr>
    <w:r>
      <w:rPr>
        <w:rFonts w:eastAsia="Arial" w:cs="Arial"/>
        <w:color w:val="546E7A"/>
        <w:sz w:val="15"/>
        <w:szCs w:val="15"/>
      </w:rPr>
      <w:t>AI-Powered CLI for On-Call Engineers</w:t>
      <w:tab/>
      <w:t xml:space="preserve">Page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1565C0"/>
      </w:pBdr>
      <w:tabs>
        <w:tab w:val="clear" w:pos="720"/>
        <w:tab w:val="right" w:pos="9026" w:leader="none"/>
      </w:tabs>
      <w:spacing w:before="80" w:after="0"/>
      <w:rPr/>
    </w:pPr>
    <w:r>
      <w:rPr>
        <w:rFonts w:eastAsia="Arial" w:cs="Arial"/>
        <w:color w:val="546E7A"/>
        <w:sz w:val="15"/>
        <w:szCs w:val="15"/>
      </w:rPr>
      <w:t>AI-Powered CLI for On-Call Engineers</w:t>
      <w:tab/>
      <w:t xml:space="preserve">Page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1565C0"/>
      </w:pBdr>
      <w:spacing w:before="0" w:after="80"/>
      <w:rPr/>
    </w:pPr>
    <w:r>
      <w:rPr>
        <w:rFonts w:eastAsia="Arial" w:cs="Arial"/>
        <w:color w:val="546E7A"/>
        <w:sz w:val="16"/>
        <w:szCs w:val="16"/>
      </w:rPr>
      <w:t xml:space="preserve">PS-02 | Log File Anomaly Explainer Tool  —  Technical Report  ·  Team </w:t>
    </w:r>
    <w:r>
      <w:rPr>
        <w:rFonts w:eastAsia="Arial" w:cs="Arial"/>
        <w:color w:val="546E7A"/>
        <w:sz w:val="16"/>
        <w:szCs w:val="16"/>
      </w:rPr>
      <w:t>Apex Intelligence</w:t>
    </w:r>
    <w:r>
      <w:rPr>
        <w:rFonts w:eastAsia="Arial" w:cs="Arial"/>
        <w:color w:val="546E7A"/>
        <w:sz w:val="16"/>
        <w:szCs w:val="16"/>
      </w:rPr>
      <w:t xml:space="preserve">  ·  2026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1565C0"/>
      </w:pBdr>
      <w:spacing w:before="0" w:after="80"/>
      <w:rPr/>
    </w:pPr>
    <w:r>
      <w:rPr>
        <w:rFonts w:eastAsia="Arial" w:cs="Arial"/>
        <w:color w:val="546E7A"/>
        <w:sz w:val="16"/>
        <w:szCs w:val="16"/>
      </w:rPr>
      <w:t xml:space="preserve">PS-02 | Log File Anomaly Explainer Tool  —  Technical Report  ·  Team </w:t>
    </w:r>
    <w:r>
      <w:rPr>
        <w:rFonts w:eastAsia="Arial" w:cs="Arial"/>
        <w:color w:val="546E7A"/>
        <w:sz w:val="16"/>
        <w:szCs w:val="16"/>
      </w:rPr>
      <w:t>Apex Intelligence</w:t>
    </w:r>
    <w:r>
      <w:rPr>
        <w:rFonts w:eastAsia="Arial" w:cs="Arial"/>
        <w:color w:val="546E7A"/>
        <w:sz w:val="16"/>
        <w:szCs w:val="16"/>
      </w:rPr>
      <w:t xml:space="preserve">  ·  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8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580" w:hanging="28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19"/>
        <w:szCs w:val="19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en-IN" w:eastAsia="zh-CN" w:bidi="hi-IN"/>
    </w:rPr>
  </w:style>
  <w:style w:type="paragraph" w:styleId="Heading1">
    <w:name w:val="heading 1"/>
    <w:basedOn w:val="Heading"/>
    <w:qFormat/>
    <w:pPr>
      <w:spacing w:before="180" w:after="80"/>
      <w:outlineLvl w:val="0"/>
    </w:pPr>
    <w:rPr>
      <w:rFonts w:ascii="Arial" w:hAnsi="Arial" w:eastAsia="Arial" w:cs="Arial"/>
      <w:b/>
      <w:bCs/>
      <w:color w:val="1565C0"/>
      <w:sz w:val="26"/>
      <w:szCs w:val="26"/>
    </w:rPr>
  </w:style>
  <w:style w:type="paragraph" w:styleId="Heading2">
    <w:name w:val="heading 2"/>
    <w:basedOn w:val="Heading"/>
    <w:qFormat/>
    <w:pPr>
      <w:spacing w:before="140" w:after="60"/>
      <w:outlineLvl w:val="1"/>
    </w:pPr>
    <w:rPr>
      <w:rFonts w:ascii="Arial" w:hAnsi="Arial" w:eastAsia="Arial" w:cs="Arial"/>
      <w:b/>
      <w:bCs/>
      <w:color w:val="0D47A1"/>
      <w:sz w:val="22"/>
      <w:szCs w:val="22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19"/>
      <w:szCs w:val="19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LibreOffice/25.8.4.2$Windows_X86_64 LibreOffice_project/290daaa01b999472f0c7a3890eb6a550fd74c6df</Application>
  <AppVersion>15.0000</AppVersion>
  <Pages>5</Pages>
  <Words>1088</Words>
  <Characters>6252</Characters>
  <CharactersWithSpaces>7332</CharactersWithSpaces>
  <Paragraphs>186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2026-06-10T06:20:40Z</dcterms:created>
  <dc:creator>Un-named</dc:creator>
  <dc:description/>
  <dc:language>en-IN</dc:language>
  <cp:lastModifiedBy/>
  <dcterms:modified xsi:type="dcterms:W3CDTF">2026-06-10T12:18:00Z</dcterms:modified>
  <cp:revision>2</cp:revision>
  <dc:subject/>
  <dc:title/>
</cp:coreProperties>
</file>