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食品营养学</w:t>
      </w:r>
    </w:p>
    <w:p>
      <w:pPr>
        <w:rPr>
          <w:rFonts w:hint="default"/>
          <w:b w:val="0"/>
          <w:bCs w:val="0"/>
          <w:lang w:val="en-US" w:eastAsia="zh-CN"/>
        </w:rPr>
      </w:pPr>
      <w:bookmarkStart w:id="0" w:name="_GoBack"/>
      <w:bookmarkEnd w:id="0"/>
      <w:r>
        <w:rPr>
          <w:rFonts w:hint="eastAsia"/>
          <w:b/>
          <w:bCs/>
          <w:lang w:val="en-US" w:eastAsia="zh-CN"/>
        </w:rPr>
        <w:t xml:space="preserve">有毒食物  </w:t>
      </w:r>
      <w:r>
        <w:rPr>
          <w:rFonts w:hint="eastAsia"/>
          <w:b w:val="0"/>
          <w:bCs w:val="0"/>
          <w:lang w:val="en-US" w:eastAsia="zh-CN"/>
        </w:rPr>
        <w:t>指被致病菌及其毒素、化学毒物污染或本身含有毒素的食物</w:t>
      </w:r>
    </w:p>
    <w:p>
      <w:pPr>
        <w:rPr>
          <w:rFonts w:hint="eastAsia"/>
          <w:b/>
          <w:bCs/>
          <w:lang w:val="en-US" w:eastAsia="zh-CN"/>
        </w:rPr>
      </w:pPr>
      <w:r>
        <w:rPr>
          <w:rFonts w:hint="eastAsia"/>
          <w:b/>
          <w:bCs/>
          <w:lang w:val="en-US" w:eastAsia="zh-CN"/>
        </w:rPr>
        <w:t>分子营养学的实际应用价值</w:t>
      </w:r>
    </w:p>
    <w:p>
      <w:pPr>
        <w:rPr>
          <w:rFonts w:hint="default"/>
          <w:b w:val="0"/>
          <w:bCs w:val="0"/>
          <w:lang w:val="en-US" w:eastAsia="zh-CN"/>
        </w:rPr>
      </w:pPr>
      <w:r>
        <w:rPr>
          <w:rFonts w:hint="eastAsia"/>
          <w:b w:val="0"/>
          <w:bCs w:val="0"/>
          <w:lang w:val="en-US" w:eastAsia="zh-CN"/>
        </w:rPr>
        <w:t>分子营养学是营养学与现在分子生物学原理和技术有机结合的一门新兴边缘学科，他是以分子生物学技术为基础，应用DNA芯片，蛋白质组学等技术来阐明营养素与基因的相互作用及其对机体健康影响的规律和实际应用价值有1.制定个体化的营养需要量和供给量2.个体化的疾病预测与预防3.临床上对病人的饮食指导4开发治疗慢性病的药物5构建转基因生物 获得快速生长的动物开发生物工程药物</w:t>
      </w:r>
    </w:p>
    <w:p>
      <w:pPr>
        <w:rPr>
          <w:rFonts w:hint="eastAsia"/>
          <w:b/>
          <w:bCs/>
          <w:lang w:val="en-US" w:eastAsia="zh-CN"/>
        </w:rPr>
      </w:pPr>
    </w:p>
    <w:p>
      <w:pPr>
        <w:rPr>
          <w:rFonts w:hint="eastAsia"/>
          <w:b/>
          <w:bCs/>
          <w:lang w:val="en-US" w:eastAsia="zh-CN"/>
        </w:rPr>
      </w:pPr>
      <w:r>
        <w:rPr>
          <w:rFonts w:hint="eastAsia"/>
          <w:b/>
          <w:bCs/>
          <w:lang w:val="en-US" w:eastAsia="zh-CN"/>
        </w:rPr>
        <w:t>胃肠内用营养剂有哪些</w:t>
      </w:r>
    </w:p>
    <w:p>
      <w:pPr>
        <w:numPr>
          <w:ilvl w:val="0"/>
          <w:numId w:val="1"/>
        </w:numPr>
        <w:rPr>
          <w:rFonts w:ascii="宋体" w:hAnsi="宋体" w:eastAsia="宋体" w:cs="宋体"/>
          <w:sz w:val="24"/>
          <w:szCs w:val="24"/>
        </w:rPr>
      </w:pPr>
      <w:r>
        <w:rPr>
          <w:rFonts w:ascii="宋体" w:hAnsi="宋体" w:eastAsia="宋体" w:cs="宋体"/>
          <w:sz w:val="24"/>
          <w:szCs w:val="24"/>
        </w:rPr>
        <w:t>天然食品营养剂;</w:t>
      </w:r>
      <w:r>
        <w:rPr>
          <w:rFonts w:ascii="宋体" w:hAnsi="宋体" w:eastAsia="宋体" w:cs="宋体"/>
          <w:sz w:val="24"/>
          <w:szCs w:val="24"/>
        </w:rPr>
        <w:br w:type="textWrapping"/>
      </w:r>
      <w:r>
        <w:rPr>
          <w:rFonts w:ascii="宋体" w:hAnsi="宋体" w:eastAsia="宋体" w:cs="宋体"/>
          <w:sz w:val="24"/>
          <w:szCs w:val="24"/>
        </w:rPr>
        <w:t>(2)聚合营养剂;</w:t>
      </w:r>
      <w:r>
        <w:rPr>
          <w:rFonts w:ascii="宋体" w:hAnsi="宋体" w:eastAsia="宋体" w:cs="宋体"/>
          <w:sz w:val="24"/>
          <w:szCs w:val="24"/>
        </w:rPr>
        <w:br w:type="textWrapping"/>
      </w:r>
      <w:r>
        <w:rPr>
          <w:rFonts w:ascii="宋体" w:hAnsi="宋体" w:eastAsia="宋体" w:cs="宋体"/>
          <w:sz w:val="24"/>
          <w:szCs w:val="24"/>
        </w:rPr>
        <w:t>(3)要素营养剂;</w:t>
      </w:r>
      <w:r>
        <w:rPr>
          <w:rFonts w:ascii="宋体" w:hAnsi="宋体" w:eastAsia="宋体" w:cs="宋体"/>
          <w:sz w:val="24"/>
          <w:szCs w:val="24"/>
        </w:rPr>
        <w:br w:type="textWrapping"/>
      </w:r>
      <w:r>
        <w:rPr>
          <w:rFonts w:ascii="宋体" w:hAnsi="宋体" w:eastAsia="宋体" w:cs="宋体"/>
          <w:sz w:val="24"/>
          <w:szCs w:val="24"/>
        </w:rPr>
        <w:t>(4)组件营养剂。</w:t>
      </w:r>
    </w:p>
    <w:p>
      <w:pPr>
        <w:numPr>
          <w:ilvl w:val="0"/>
          <w:numId w:val="0"/>
        </w:numPr>
        <w:rPr>
          <w:rFonts w:hint="eastAsia" w:ascii="宋体" w:hAnsi="宋体" w:eastAsia="宋体" w:cs="宋体"/>
          <w:sz w:val="24"/>
          <w:szCs w:val="24"/>
          <w:lang w:val="en-US" w:eastAsia="zh-CN"/>
        </w:rPr>
      </w:pPr>
    </w:p>
    <w:p>
      <w:pPr>
        <w:numPr>
          <w:ilvl w:val="0"/>
          <w:numId w:val="0"/>
        </w:num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绘制脂肪体内的动态变化示意图并阐述其变化过程</w:t>
      </w:r>
    </w:p>
    <w:p>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086350" cy="2924175"/>
            <wp:effectExtent l="0" t="0" r="0" b="9525"/>
            <wp:docPr id="1" name="图片 1" descr="2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2222"/>
                    <pic:cNvPicPr>
                      <a:picLocks noChangeAspect="1"/>
                    </pic:cNvPicPr>
                  </pic:nvPicPr>
                  <pic:blipFill>
                    <a:blip r:embed="rId4"/>
                    <a:stretch>
                      <a:fillRect/>
                    </a:stretch>
                  </pic:blipFill>
                  <pic:spPr>
                    <a:xfrm>
                      <a:off x="0" y="0"/>
                      <a:ext cx="5086350" cy="2924175"/>
                    </a:xfrm>
                    <a:prstGeom prst="rect">
                      <a:avLst/>
                    </a:prstGeom>
                  </pic:spPr>
                </pic:pic>
              </a:graphicData>
            </a:graphic>
          </wp:inline>
        </w:drawing>
      </w:r>
    </w:p>
    <w:p>
      <w:pPr>
        <w:spacing w:after="240" w:afterAutospacing="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脂肪的消化主要在小肠进行，在胰液和胆汁作用下，与胆盐混匀乳化。</w:t>
      </w:r>
    </w:p>
    <w:p>
      <w:pPr>
        <w:spacing w:after="240" w:afterAutospacing="0"/>
        <w:rPr>
          <w:rFonts w:hint="eastAsia"/>
          <w:b/>
          <w:bCs/>
          <w:lang w:val="en-US" w:eastAsia="zh-CN"/>
        </w:rPr>
      </w:pPr>
      <w:r>
        <w:rPr>
          <w:rFonts w:hint="eastAsia" w:ascii="宋体" w:hAnsi="宋体" w:eastAsia="宋体" w:cs="宋体"/>
          <w:sz w:val="24"/>
          <w:szCs w:val="24"/>
          <w:lang w:val="en-US" w:eastAsia="zh-CN"/>
        </w:rPr>
        <w:t>①</w:t>
      </w:r>
      <w:r>
        <w:rPr>
          <w:rFonts w:ascii="宋体" w:hAnsi="宋体" w:eastAsia="宋体" w:cs="宋体"/>
          <w:sz w:val="24"/>
          <w:szCs w:val="24"/>
        </w:rPr>
        <w:t>一部分被脂肪酶水解成甘油和脂肪酸。吸收时又重新合成具有本身特性的甘油三酯。</w:t>
      </w:r>
      <w:r>
        <w:rPr>
          <w:rFonts w:ascii="宋体" w:hAnsi="宋体" w:eastAsia="宋体" w:cs="宋体"/>
          <w:sz w:val="24"/>
          <w:szCs w:val="24"/>
        </w:rPr>
        <w:br w:type="textWrapping"/>
      </w:r>
      <w:r>
        <w:rPr>
          <w:rFonts w:ascii="宋体" w:hAnsi="宋体" w:eastAsia="宋体" w:cs="宋体"/>
          <w:sz w:val="24"/>
          <w:szCs w:val="24"/>
        </w:rPr>
        <w:br w:type="textWrapping"/>
      </w:r>
      <w:r>
        <w:rPr>
          <w:rFonts w:hint="eastAsia" w:ascii="宋体" w:hAnsi="宋体" w:eastAsia="宋体" w:cs="宋体"/>
          <w:sz w:val="24"/>
          <w:szCs w:val="24"/>
          <w:lang w:val="en-US" w:eastAsia="zh-CN"/>
        </w:rPr>
        <w:t>②</w:t>
      </w:r>
      <w:r>
        <w:rPr>
          <w:rFonts w:ascii="宋体" w:hAnsi="宋体" w:eastAsia="宋体" w:cs="宋体"/>
          <w:sz w:val="24"/>
          <w:szCs w:val="24"/>
        </w:rPr>
        <w:t>另一部分</w:t>
      </w:r>
      <w:r>
        <w:rPr>
          <w:rFonts w:hint="eastAsia" w:ascii="宋体" w:hAnsi="宋体" w:eastAsia="宋体" w:cs="宋体"/>
          <w:sz w:val="24"/>
          <w:szCs w:val="24"/>
          <w:lang w:val="en-US" w:eastAsia="zh-CN"/>
        </w:rPr>
        <w:t>未</w:t>
      </w:r>
      <w:r>
        <w:rPr>
          <w:rFonts w:ascii="宋体" w:hAnsi="宋体" w:eastAsia="宋体" w:cs="宋体"/>
          <w:sz w:val="24"/>
          <w:szCs w:val="24"/>
        </w:rPr>
        <w:t>经水解或部分水解的油脂</w:t>
      </w:r>
      <w:r>
        <w:rPr>
          <w:rFonts w:hint="eastAsia" w:ascii="宋体" w:hAnsi="宋体" w:eastAsia="宋体" w:cs="宋体"/>
          <w:sz w:val="24"/>
          <w:szCs w:val="24"/>
          <w:lang w:val="en-US" w:eastAsia="zh-CN"/>
        </w:rPr>
        <w:t>微粒</w:t>
      </w:r>
      <w:r>
        <w:rPr>
          <w:rFonts w:ascii="宋体" w:hAnsi="宋体" w:eastAsia="宋体" w:cs="宋体"/>
          <w:sz w:val="24"/>
          <w:szCs w:val="24"/>
        </w:rPr>
        <w:t>，可直接被肠壁吸收。经淋巴系统进入</w:t>
      </w:r>
      <w:r>
        <w:rPr>
          <w:rFonts w:hint="eastAsia" w:ascii="宋体" w:hAnsi="宋体" w:eastAsia="宋体" w:cs="宋体"/>
          <w:sz w:val="24"/>
          <w:szCs w:val="24"/>
          <w:lang w:val="en-US" w:eastAsia="zh-CN"/>
        </w:rPr>
        <w:t>血</w:t>
      </w:r>
      <w:r>
        <w:rPr>
          <w:rFonts w:ascii="宋体" w:hAnsi="宋体" w:eastAsia="宋体" w:cs="宋体"/>
          <w:sz w:val="24"/>
          <w:szCs w:val="24"/>
        </w:rPr>
        <w:t>循环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由</w:t>
      </w:r>
      <w:r>
        <w:rPr>
          <w:rFonts w:ascii="宋体" w:hAnsi="宋体" w:eastAsia="宋体" w:cs="宋体"/>
          <w:sz w:val="24"/>
          <w:szCs w:val="24"/>
        </w:rPr>
        <w:t>脂蛋白运送分布全身，成为血脂的主要部分。</w:t>
      </w:r>
      <w:r>
        <w:rPr>
          <w:rFonts w:ascii="宋体" w:hAnsi="宋体" w:eastAsia="宋体" w:cs="宋体"/>
          <w:sz w:val="24"/>
          <w:szCs w:val="24"/>
        </w:rPr>
        <w:br w:type="textWrapping"/>
      </w:r>
      <w:r>
        <w:rPr>
          <w:rFonts w:hint="eastAsia" w:ascii="宋体" w:hAnsi="宋体" w:eastAsia="宋体" w:cs="宋体"/>
          <w:sz w:val="24"/>
          <w:szCs w:val="24"/>
          <w:lang w:val="en-US" w:eastAsia="zh-CN"/>
        </w:rPr>
        <w:t>③</w:t>
      </w:r>
      <w:r>
        <w:rPr>
          <w:rFonts w:ascii="宋体" w:hAnsi="宋体" w:eastAsia="宋体" w:cs="宋体"/>
          <w:sz w:val="24"/>
          <w:szCs w:val="24"/>
        </w:rPr>
        <w:t>小部分短</w:t>
      </w:r>
      <w:r>
        <w:rPr>
          <w:rFonts w:hint="eastAsia" w:ascii="宋体" w:hAnsi="宋体" w:eastAsia="宋体" w:cs="宋体"/>
          <w:sz w:val="24"/>
          <w:szCs w:val="24"/>
          <w:lang w:val="en-US" w:eastAsia="zh-CN"/>
        </w:rPr>
        <w:t>链及</w:t>
      </w:r>
      <w:r>
        <w:rPr>
          <w:rFonts w:ascii="宋体" w:hAnsi="宋体" w:eastAsia="宋体" w:cs="宋体"/>
          <w:sz w:val="24"/>
          <w:szCs w:val="24"/>
        </w:rPr>
        <w:t>中链脂肪酸甘油三酯可经门静脉进入肝脏。食入的脂肪与</w:t>
      </w:r>
      <w:r>
        <w:rPr>
          <w:rFonts w:hint="eastAsia" w:ascii="宋体" w:hAnsi="宋体" w:eastAsia="宋体" w:cs="宋体"/>
          <w:sz w:val="24"/>
          <w:szCs w:val="24"/>
          <w:lang w:val="en-US" w:eastAsia="zh-CN"/>
        </w:rPr>
        <w:t>体内</w:t>
      </w:r>
      <w:r>
        <w:rPr>
          <w:rFonts w:ascii="宋体" w:hAnsi="宋体" w:eastAsia="宋体" w:cs="宋体"/>
          <w:sz w:val="24"/>
          <w:szCs w:val="24"/>
        </w:rPr>
        <w:t>存</w:t>
      </w:r>
      <w:r>
        <w:rPr>
          <w:rFonts w:hint="eastAsia" w:ascii="宋体" w:hAnsi="宋体" w:eastAsia="宋体" w:cs="宋体"/>
          <w:sz w:val="24"/>
          <w:szCs w:val="24"/>
          <w:lang w:val="en-US" w:eastAsia="zh-CN"/>
        </w:rPr>
        <w:t>脂</w:t>
      </w:r>
      <w:r>
        <w:rPr>
          <w:rFonts w:ascii="宋体" w:hAnsi="宋体" w:eastAsia="宋体" w:cs="宋体"/>
          <w:sz w:val="24"/>
          <w:szCs w:val="24"/>
        </w:rPr>
        <w:t>在代谢上构成一种可互换的动态平衡。同时参加分解代谢</w:t>
      </w:r>
      <w:r>
        <w:rPr>
          <w:rFonts w:hint="eastAsia" w:ascii="宋体" w:hAnsi="宋体" w:eastAsia="宋体" w:cs="宋体"/>
          <w:sz w:val="24"/>
          <w:szCs w:val="24"/>
          <w:lang w:eastAsia="zh-CN"/>
        </w:rPr>
        <w:t>，</w:t>
      </w:r>
      <w:r>
        <w:rPr>
          <w:rFonts w:ascii="宋体" w:hAnsi="宋体" w:eastAsia="宋体" w:cs="宋体"/>
          <w:sz w:val="24"/>
          <w:szCs w:val="24"/>
        </w:rPr>
        <w:t>人体贮藏脂相当部分由糖转化而来。</w:t>
      </w:r>
    </w:p>
    <w:p>
      <w:pPr>
        <w:rPr>
          <w:rFonts w:hint="eastAsia"/>
          <w:b/>
          <w:bCs/>
          <w:lang w:val="en-US" w:eastAsia="zh-CN"/>
        </w:rPr>
      </w:pPr>
    </w:p>
    <w:p>
      <w:pPr>
        <w:rPr>
          <w:rFonts w:hint="eastAsia"/>
          <w:b/>
          <w:bCs/>
          <w:lang w:val="en-US" w:eastAsia="zh-CN"/>
        </w:rPr>
      </w:pPr>
    </w:p>
    <w:p>
      <w:pPr>
        <w:rPr>
          <w:rFonts w:hint="eastAsia"/>
          <w:b/>
          <w:bCs/>
          <w:lang w:val="en-US" w:eastAsia="zh-CN"/>
        </w:rPr>
      </w:pPr>
      <w:r>
        <w:rPr>
          <w:rFonts w:hint="eastAsia"/>
          <w:b/>
          <w:bCs/>
          <w:lang w:val="en-US" w:eastAsia="zh-CN"/>
        </w:rPr>
        <w:t>水溶性维生素有哪些特点？</w:t>
      </w:r>
    </w:p>
    <w:p>
      <w:pPr>
        <w:rPr>
          <w:rFonts w:hint="eastAsia"/>
          <w:b w:val="0"/>
          <w:bCs w:val="0"/>
          <w:lang w:val="en-US" w:eastAsia="zh-CN"/>
        </w:rPr>
      </w:pPr>
      <w:r>
        <w:rPr>
          <w:rFonts w:hint="eastAsia"/>
          <w:b w:val="0"/>
          <w:bCs w:val="0"/>
          <w:lang w:val="en-US" w:eastAsia="zh-CN"/>
        </w:rPr>
        <w:t>1水溶性维生素包括B族维生素和维生素C体内仅有少量储存（V12例外，甚至比Vk更易储存于体内）</w:t>
      </w:r>
    </w:p>
    <w:p>
      <w:pPr>
        <w:rPr>
          <w:rFonts w:hint="eastAsia"/>
          <w:b w:val="0"/>
          <w:bCs w:val="0"/>
          <w:lang w:val="en-US" w:eastAsia="zh-CN"/>
        </w:rPr>
      </w:pPr>
      <w:r>
        <w:rPr>
          <w:rFonts w:hint="eastAsia"/>
          <w:b w:val="0"/>
          <w:bCs w:val="0"/>
          <w:lang w:val="en-US" w:eastAsia="zh-CN"/>
        </w:rPr>
        <w:t>2在体内没有非功能性的单纯储存形式。当机体饱和后摄入的维生素从尿中排出</w:t>
      </w:r>
    </w:p>
    <w:p>
      <w:pPr>
        <w:rPr>
          <w:rFonts w:hint="eastAsia"/>
          <w:b w:val="0"/>
          <w:bCs w:val="0"/>
          <w:lang w:val="en-US" w:eastAsia="zh-CN"/>
        </w:rPr>
      </w:pPr>
      <w:r>
        <w:rPr>
          <w:rFonts w:hint="eastAsia"/>
          <w:b w:val="0"/>
          <w:bCs w:val="0"/>
          <w:lang w:val="en-US" w:eastAsia="zh-CN"/>
        </w:rPr>
        <w:t>3若组织中维生素耗竭，则给予的维生素将大量被机体组织取用，从尿中排出量减少</w:t>
      </w:r>
    </w:p>
    <w:p>
      <w:pPr>
        <w:rPr>
          <w:rFonts w:hint="default"/>
          <w:b w:val="0"/>
          <w:bCs w:val="0"/>
          <w:lang w:val="en-US" w:eastAsia="zh-CN"/>
        </w:rPr>
      </w:pPr>
      <w:r>
        <w:rPr>
          <w:rFonts w:hint="eastAsia"/>
          <w:b w:val="0"/>
          <w:bCs w:val="0"/>
          <w:lang w:val="en-US" w:eastAsia="zh-CN"/>
        </w:rPr>
        <w:t>4可利用负荷试验对水溶性维生素的营养水平进行评定</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1"/>
        <w:gridCol w:w="4460"/>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Pr>
          <w:p>
            <w:pPr>
              <w:rPr>
                <w:rFonts w:hint="eastAsia"/>
                <w:b/>
                <w:bCs/>
                <w:vertAlign w:val="baseline"/>
                <w:lang w:val="en-US" w:eastAsia="zh-CN"/>
              </w:rPr>
            </w:pPr>
          </w:p>
        </w:tc>
        <w:tc>
          <w:tcPr>
            <w:tcW w:w="4460" w:type="dxa"/>
          </w:tcPr>
          <w:p>
            <w:pPr>
              <w:rPr>
                <w:rFonts w:hint="default"/>
                <w:b/>
                <w:bCs/>
                <w:vertAlign w:val="baseline"/>
                <w:lang w:val="en-US" w:eastAsia="zh-CN"/>
              </w:rPr>
            </w:pPr>
            <w:r>
              <w:rPr>
                <w:rFonts w:hint="eastAsia"/>
                <w:b/>
                <w:bCs/>
                <w:vertAlign w:val="baseline"/>
                <w:lang w:val="en-US" w:eastAsia="zh-CN"/>
              </w:rPr>
              <w:t>脂溶性维生素</w:t>
            </w:r>
          </w:p>
        </w:tc>
        <w:tc>
          <w:tcPr>
            <w:tcW w:w="2841" w:type="dxa"/>
          </w:tcPr>
          <w:p>
            <w:pPr>
              <w:rPr>
                <w:rFonts w:hint="default"/>
                <w:b/>
                <w:bCs/>
                <w:vertAlign w:val="baseline"/>
                <w:lang w:val="en-US" w:eastAsia="zh-CN"/>
              </w:rPr>
            </w:pPr>
            <w:r>
              <w:rPr>
                <w:rFonts w:hint="eastAsia"/>
                <w:b/>
                <w:bCs/>
                <w:vertAlign w:val="baseline"/>
                <w:lang w:val="en-US" w:eastAsia="zh-CN"/>
              </w:rPr>
              <w:t>水溶性维生素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Pr>
          <w:p>
            <w:pPr>
              <w:rPr>
                <w:rFonts w:hint="default"/>
                <w:b/>
                <w:bCs/>
                <w:vertAlign w:val="baseline"/>
                <w:lang w:val="en-US" w:eastAsia="zh-CN"/>
              </w:rPr>
            </w:pPr>
            <w:r>
              <w:rPr>
                <w:rFonts w:hint="eastAsia"/>
                <w:b/>
                <w:bCs/>
                <w:vertAlign w:val="baseline"/>
                <w:lang w:val="en-US" w:eastAsia="zh-CN"/>
              </w:rPr>
              <w:t>化学组成</w:t>
            </w:r>
          </w:p>
        </w:tc>
        <w:tc>
          <w:tcPr>
            <w:tcW w:w="4460" w:type="dxa"/>
          </w:tcPr>
          <w:p>
            <w:pPr>
              <w:rPr>
                <w:rFonts w:hint="default"/>
                <w:b/>
                <w:bCs/>
                <w:vertAlign w:val="baseline"/>
                <w:lang w:val="en-US" w:eastAsia="zh-CN"/>
              </w:rPr>
            </w:pPr>
            <w:r>
              <w:rPr>
                <w:rFonts w:hint="eastAsia"/>
                <w:b/>
                <w:bCs/>
                <w:vertAlign w:val="baseline"/>
                <w:lang w:val="en-US" w:eastAsia="zh-CN"/>
              </w:rPr>
              <w:t>仅含CHO</w:t>
            </w:r>
          </w:p>
        </w:tc>
        <w:tc>
          <w:tcPr>
            <w:tcW w:w="2841" w:type="dxa"/>
          </w:tcPr>
          <w:p>
            <w:pPr>
              <w:rPr>
                <w:rFonts w:hint="default"/>
                <w:b/>
                <w:bCs/>
                <w:vertAlign w:val="baseline"/>
                <w:lang w:val="en-US" w:eastAsia="zh-CN"/>
              </w:rPr>
            </w:pPr>
            <w:r>
              <w:rPr>
                <w:rFonts w:hint="eastAsia"/>
                <w:b/>
                <w:bCs/>
                <w:vertAlign w:val="baseline"/>
                <w:lang w:val="en-US" w:eastAsia="zh-CN"/>
              </w:rPr>
              <w:t>除CHO外，有N Co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Pr>
          <w:p>
            <w:pPr>
              <w:rPr>
                <w:rFonts w:hint="default"/>
                <w:b/>
                <w:bCs/>
                <w:vertAlign w:val="baseline"/>
                <w:lang w:val="en-US" w:eastAsia="zh-CN"/>
              </w:rPr>
            </w:pPr>
            <w:r>
              <w:rPr>
                <w:rFonts w:hint="eastAsia"/>
                <w:b/>
                <w:bCs/>
                <w:vertAlign w:val="baseline"/>
                <w:lang w:val="en-US" w:eastAsia="zh-CN"/>
              </w:rPr>
              <w:t>溶解性</w:t>
            </w:r>
          </w:p>
        </w:tc>
        <w:tc>
          <w:tcPr>
            <w:tcW w:w="4460" w:type="dxa"/>
          </w:tcPr>
          <w:p>
            <w:pPr>
              <w:rPr>
                <w:rFonts w:hint="default"/>
                <w:b/>
                <w:bCs/>
                <w:vertAlign w:val="baseline"/>
                <w:lang w:val="en-US" w:eastAsia="zh-CN"/>
              </w:rPr>
            </w:pPr>
            <w:r>
              <w:rPr>
                <w:rFonts w:hint="eastAsia"/>
                <w:b/>
                <w:bCs/>
                <w:vertAlign w:val="baseline"/>
                <w:lang w:val="en-US" w:eastAsia="zh-CN"/>
              </w:rPr>
              <w:t>溶于脂肪及脂溶剂</w:t>
            </w:r>
          </w:p>
        </w:tc>
        <w:tc>
          <w:tcPr>
            <w:tcW w:w="2841" w:type="dxa"/>
          </w:tcPr>
          <w:p>
            <w:pPr>
              <w:rPr>
                <w:rFonts w:hint="default"/>
                <w:b/>
                <w:bCs/>
                <w:vertAlign w:val="baseline"/>
                <w:lang w:val="en-US" w:eastAsia="zh-CN"/>
              </w:rPr>
            </w:pPr>
            <w:r>
              <w:rPr>
                <w:rFonts w:hint="eastAsia"/>
                <w:b/>
                <w:bCs/>
                <w:vertAlign w:val="baseline"/>
                <w:lang w:val="en-US" w:eastAsia="zh-CN"/>
              </w:rPr>
              <w:t>溶于水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Pr>
          <w:p>
            <w:pPr>
              <w:rPr>
                <w:rFonts w:hint="default"/>
                <w:b/>
                <w:bCs/>
                <w:vertAlign w:val="baseline"/>
                <w:lang w:val="en-US" w:eastAsia="zh-CN"/>
              </w:rPr>
            </w:pPr>
            <w:r>
              <w:rPr>
                <w:rFonts w:hint="eastAsia"/>
                <w:b/>
                <w:bCs/>
                <w:vertAlign w:val="baseline"/>
                <w:lang w:val="en-US" w:eastAsia="zh-CN"/>
              </w:rPr>
              <w:t>吸收排泄</w:t>
            </w:r>
          </w:p>
        </w:tc>
        <w:tc>
          <w:tcPr>
            <w:tcW w:w="4460" w:type="dxa"/>
          </w:tcPr>
          <w:p>
            <w:pPr>
              <w:rPr>
                <w:rFonts w:hint="default"/>
                <w:b/>
                <w:bCs/>
                <w:vertAlign w:val="baseline"/>
                <w:lang w:val="en-US" w:eastAsia="zh-CN"/>
              </w:rPr>
            </w:pPr>
            <w:r>
              <w:rPr>
                <w:rFonts w:hint="eastAsia"/>
                <w:b/>
                <w:bCs/>
                <w:vertAlign w:val="baseline"/>
                <w:lang w:val="en-US" w:eastAsia="zh-CN"/>
              </w:rPr>
              <w:t>随脂肪经淋巴吸收，从胆汁中少量排出</w:t>
            </w:r>
          </w:p>
        </w:tc>
        <w:tc>
          <w:tcPr>
            <w:tcW w:w="2841" w:type="dxa"/>
          </w:tcPr>
          <w:p>
            <w:pPr>
              <w:rPr>
                <w:rFonts w:hint="default"/>
                <w:b/>
                <w:bCs/>
                <w:vertAlign w:val="baseline"/>
                <w:lang w:val="en-US" w:eastAsia="zh-CN"/>
              </w:rPr>
            </w:pPr>
            <w:r>
              <w:rPr>
                <w:rFonts w:hint="eastAsia"/>
                <w:b/>
                <w:bCs/>
                <w:vertAlign w:val="baseline"/>
                <w:lang w:val="en-US" w:eastAsia="zh-CN"/>
              </w:rPr>
              <w:t>从尿液汗液排出体外xa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Pr>
          <w:p>
            <w:pPr>
              <w:rPr>
                <w:rFonts w:hint="default"/>
                <w:b/>
                <w:bCs/>
                <w:vertAlign w:val="baseline"/>
                <w:lang w:val="en-US" w:eastAsia="zh-CN"/>
              </w:rPr>
            </w:pPr>
            <w:r>
              <w:rPr>
                <w:rFonts w:hint="eastAsia"/>
                <w:b/>
                <w:bCs/>
                <w:vertAlign w:val="baseline"/>
                <w:lang w:val="en-US" w:eastAsia="zh-CN"/>
              </w:rPr>
              <w:t>积存性</w:t>
            </w:r>
          </w:p>
        </w:tc>
        <w:tc>
          <w:tcPr>
            <w:tcW w:w="4460" w:type="dxa"/>
          </w:tcPr>
          <w:p>
            <w:pPr>
              <w:rPr>
                <w:rFonts w:hint="default"/>
                <w:b/>
                <w:bCs/>
                <w:vertAlign w:val="baseline"/>
                <w:lang w:val="en-US" w:eastAsia="zh-CN"/>
              </w:rPr>
            </w:pPr>
            <w:r>
              <w:rPr>
                <w:rFonts w:hint="eastAsia"/>
                <w:b/>
                <w:bCs/>
                <w:vertAlign w:val="baseline"/>
                <w:lang w:val="en-US" w:eastAsia="zh-CN"/>
              </w:rPr>
              <w:t>易存于体内，而不易排出体外在肝脏储存</w:t>
            </w:r>
          </w:p>
        </w:tc>
        <w:tc>
          <w:tcPr>
            <w:tcW w:w="2841" w:type="dxa"/>
          </w:tcPr>
          <w:p>
            <w:pPr>
              <w:rPr>
                <w:rFonts w:hint="default"/>
                <w:b/>
                <w:bCs/>
                <w:vertAlign w:val="baseline"/>
                <w:lang w:val="en-US" w:eastAsia="zh-CN"/>
              </w:rPr>
            </w:pPr>
            <w:r>
              <w:rPr>
                <w:rFonts w:hint="eastAsia"/>
                <w:b/>
                <w:bCs/>
                <w:vertAlign w:val="baseline"/>
                <w:lang w:val="en-US" w:eastAsia="zh-CN"/>
              </w:rPr>
              <w:t>在体内没有非功能性的单纯储存形式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Pr>
          <w:p>
            <w:pPr>
              <w:rPr>
                <w:rFonts w:hint="default"/>
                <w:b/>
                <w:bCs/>
                <w:vertAlign w:val="baseline"/>
                <w:lang w:val="en-US" w:eastAsia="zh-CN"/>
              </w:rPr>
            </w:pPr>
            <w:r>
              <w:rPr>
                <w:rFonts w:hint="eastAsia"/>
                <w:b/>
                <w:bCs/>
                <w:vertAlign w:val="baseline"/>
                <w:lang w:val="en-US" w:eastAsia="zh-CN"/>
              </w:rPr>
              <w:t>缺乏症状出现</w:t>
            </w:r>
          </w:p>
        </w:tc>
        <w:tc>
          <w:tcPr>
            <w:tcW w:w="4460" w:type="dxa"/>
          </w:tcPr>
          <w:p>
            <w:pPr>
              <w:rPr>
                <w:rFonts w:hint="default"/>
                <w:b/>
                <w:bCs/>
                <w:vertAlign w:val="baseline"/>
                <w:lang w:val="en-US" w:eastAsia="zh-CN"/>
              </w:rPr>
            </w:pPr>
            <w:r>
              <w:rPr>
                <w:rFonts w:hint="eastAsia"/>
                <w:b/>
                <w:bCs/>
                <w:vertAlign w:val="baseline"/>
                <w:lang w:val="en-US" w:eastAsia="zh-CN"/>
              </w:rPr>
              <w:t>缓慢</w:t>
            </w:r>
          </w:p>
        </w:tc>
        <w:tc>
          <w:tcPr>
            <w:tcW w:w="2841" w:type="dxa"/>
          </w:tcPr>
          <w:p>
            <w:pPr>
              <w:rPr>
                <w:rFonts w:hint="default"/>
                <w:b/>
                <w:bCs/>
                <w:vertAlign w:val="baseline"/>
                <w:lang w:val="en-US" w:eastAsia="zh-CN"/>
              </w:rPr>
            </w:pPr>
            <w:r>
              <w:rPr>
                <w:rFonts w:hint="eastAsia"/>
                <w:b/>
                <w:bCs/>
                <w:vertAlign w:val="baseline"/>
                <w:lang w:val="en-US" w:eastAsia="zh-CN"/>
              </w:rPr>
              <w:t>较快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tcPr>
          <w:p>
            <w:pPr>
              <w:rPr>
                <w:rFonts w:hint="default"/>
                <w:b/>
                <w:bCs/>
                <w:vertAlign w:val="baseline"/>
                <w:lang w:val="en-US" w:eastAsia="zh-CN"/>
              </w:rPr>
            </w:pPr>
            <w:r>
              <w:rPr>
                <w:rFonts w:hint="eastAsia"/>
                <w:b/>
                <w:bCs/>
                <w:vertAlign w:val="baseline"/>
                <w:lang w:val="en-US" w:eastAsia="zh-CN"/>
              </w:rPr>
              <w:t>营养状况评价及毒性</w:t>
            </w:r>
          </w:p>
        </w:tc>
        <w:tc>
          <w:tcPr>
            <w:tcW w:w="4460" w:type="dxa"/>
          </w:tcPr>
          <w:p>
            <w:pPr>
              <w:rPr>
                <w:rFonts w:hint="eastAsia"/>
                <w:b/>
                <w:bCs/>
                <w:vertAlign w:val="baseline"/>
                <w:lang w:val="en-US" w:eastAsia="zh-CN"/>
              </w:rPr>
            </w:pPr>
            <w:r>
              <w:rPr>
                <w:rFonts w:hint="eastAsia"/>
                <w:b/>
                <w:bCs/>
                <w:vertAlign w:val="baseline"/>
                <w:lang w:val="en-US" w:eastAsia="zh-CN"/>
              </w:rPr>
              <w:t>不能利用尿进行分析评价</w:t>
            </w:r>
          </w:p>
          <w:p>
            <w:pPr>
              <w:rPr>
                <w:rFonts w:hint="default"/>
                <w:b/>
                <w:bCs/>
                <w:vertAlign w:val="baseline"/>
                <w:lang w:val="en-US" w:eastAsia="zh-CN"/>
              </w:rPr>
            </w:pPr>
            <w:r>
              <w:rPr>
                <w:rFonts w:hint="eastAsia"/>
                <w:b/>
                <w:bCs/>
                <w:vertAlign w:val="baseline"/>
                <w:lang w:val="en-US" w:eastAsia="zh-CN"/>
              </w:rPr>
              <w:t>大剂量摄入（6-10倍RNI）易中毒</w:t>
            </w:r>
          </w:p>
        </w:tc>
        <w:tc>
          <w:tcPr>
            <w:tcW w:w="2841" w:type="dxa"/>
          </w:tcPr>
          <w:p>
            <w:pPr>
              <w:rPr>
                <w:rFonts w:hint="default"/>
                <w:b/>
                <w:bCs/>
                <w:vertAlign w:val="baseline"/>
                <w:lang w:val="en-US" w:eastAsia="zh-CN"/>
              </w:rPr>
            </w:pPr>
            <w:r>
              <w:rPr>
                <w:rFonts w:hint="eastAsia"/>
                <w:b/>
                <w:bCs/>
                <w:vertAlign w:val="baseline"/>
                <w:lang w:val="en-US" w:eastAsia="zh-CN"/>
              </w:rPr>
              <w:t>可利用负荷试验，通过血尿进行评价，几乎无毒性  除非极大量</w:t>
            </w:r>
          </w:p>
        </w:tc>
      </w:tr>
    </w:tbl>
    <w:p>
      <w:pPr>
        <w:rPr>
          <w:rFonts w:hint="eastAsia"/>
          <w:b/>
          <w:bCs/>
          <w:lang w:val="en-US" w:eastAsia="zh-CN"/>
        </w:rPr>
      </w:pPr>
    </w:p>
    <w:p>
      <w:pPr>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DDACCD"/>
    <w:multiLevelType w:val="singleLevel"/>
    <w:tmpl w:val="65DDACC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A1123C"/>
    <w:rsid w:val="17407764"/>
    <w:rsid w:val="23C000D2"/>
    <w:rsid w:val="41F942AC"/>
    <w:rsid w:val="468B307E"/>
    <w:rsid w:val="46C640ED"/>
    <w:rsid w:val="71450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60</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2020-08-05T15:00:00Z</dcterms:created>
  <dc:creator>DdYang</dc:creator>
  <cp:lastModifiedBy>楠朋友</cp:lastModifiedBy>
  <dcterms:modified xsi:type="dcterms:W3CDTF">2020-11-22T14:45:41Z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