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3D7749">
      <w:pPr>
        <w:spacing w:before="150" w:after="40" w:line="240" w:lineRule="auto"/>
      </w:pPr>
      <w:r>
        <w:rPr>
          <w:rFonts w:ascii="PingFang SC" w:hAnsi="PingFang SC" w:eastAsia="PingFang SC" w:cs="PingFang SC"/>
          <w:b/>
          <w:bCs/>
          <w:sz w:val="24"/>
          <w:szCs w:val="24"/>
        </w:rPr>
        <w:t>一、OKR1：支撑业务增长，推进目标落地</w:t>
      </w:r>
    </w:p>
    <w:p w14:paraId="6CBE0261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上半年参与95个需求，覆盖机构接入、CA签章、账务核心、运营支持等场景；</w:t>
      </w:r>
    </w:p>
    <w:p w14:paraId="51C6C50C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  <w:rPr>
          <w:rFonts w:hint="eastAsia"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新增14 家机构产品上线（12家我方</w:t>
      </w:r>
      <w:r>
        <w:rPr>
          <w:rFonts w:hint="eastAsia" w:cs="PingFang SC"/>
          <w:sz w:val="24"/>
          <w:szCs w:val="24"/>
          <w:lang w:val="en-US" w:eastAsia="zh-CN"/>
        </w:rPr>
        <w:t>标准</w:t>
      </w:r>
      <w:bookmarkStart w:id="0" w:name="_GoBack"/>
      <w:bookmarkEnd w:id="0"/>
      <w:r>
        <w:rPr>
          <w:rFonts w:hint="eastAsia" w:ascii="PingFang SC" w:hAnsi="PingFang SC" w:eastAsia="PingFang SC" w:cs="PingFang SC"/>
          <w:sz w:val="24"/>
          <w:szCs w:val="24"/>
        </w:rPr>
        <w:t>文档+2家机构文档）；</w:t>
      </w:r>
    </w:p>
    <w:p w14:paraId="054DCD2B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  <w:rPr>
          <w:rFonts w:hint="eastAsia"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11家机构CA签章对接，保障合规放款；</w:t>
      </w:r>
    </w:p>
    <w:p w14:paraId="251B4BB4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数据治理一期收尾，异常借据从3.4万降至340笔；</w:t>
      </w:r>
    </w:p>
    <w:p w14:paraId="0E7745A9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数据治理二期合规补充，45个产品67个问题全部完成沟通和确认；</w:t>
      </w:r>
    </w:p>
    <w:p w14:paraId="572D5152">
      <w:pPr>
        <w:spacing w:before="150" w:after="40" w:line="240" w:lineRule="auto"/>
      </w:pPr>
      <w:r>
        <w:rPr>
          <w:rFonts w:ascii="PingFang SC" w:hAnsi="PingFang SC" w:eastAsia="PingFang SC" w:cs="PingFang SC"/>
          <w:b/>
          <w:bCs/>
          <w:sz w:val="24"/>
          <w:szCs w:val="24"/>
        </w:rPr>
        <w:t>二、OKR2：研发效率提升</w:t>
      </w:r>
    </w:p>
    <w:p w14:paraId="4BFF95B5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基于AI赋能，标准机构对接（文档+开发+配置）提效80%；</w:t>
      </w:r>
    </w:p>
    <w:p w14:paraId="7D055765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清理无用代码：GOA删除3,172行（减少1.86%）、LCS删除13,149行（减少9.18%）、AMS删除3,721行（减少12.87%）；</w:t>
      </w:r>
    </w:p>
    <w:p w14:paraId="2C3886BA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核心链路重构：借款试算重构上线、借款申请重构、ams账户开户/更新流程优化；</w:t>
      </w:r>
    </w:p>
    <w:p w14:paraId="6AC3F75A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接入自研mock平台，提升机构自测、联调效率；</w:t>
      </w:r>
    </w:p>
    <w:p w14:paraId="6ECDA8E3">
      <w:pPr>
        <w:spacing w:before="150" w:after="40" w:line="240" w:lineRule="auto"/>
      </w:pPr>
      <w:r>
        <w:rPr>
          <w:rFonts w:ascii="PingFang SC" w:hAnsi="PingFang SC" w:eastAsia="PingFang SC" w:cs="PingFang SC"/>
          <w:b/>
          <w:bCs/>
          <w:sz w:val="24"/>
          <w:szCs w:val="24"/>
        </w:rPr>
        <w:t>三、OKR3：AI 深度赋能</w:t>
      </w:r>
    </w:p>
    <w:p w14:paraId="7823CBE9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  <w:rPr>
          <w:rFonts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Skills覆盖15+场景，涵盖机构接入、功能开发、代码审查、问题排查、文档生成等，工作效率、代码可用率持续提升</w:t>
      </w:r>
      <w:r>
        <w:rPr>
          <w:rFonts w:ascii="PingFang SC" w:hAnsi="PingFang SC" w:eastAsia="PingFang SC" w:cs="PingFang SC"/>
          <w:sz w:val="24"/>
          <w:szCs w:val="24"/>
        </w:rPr>
        <w:t>；</w:t>
      </w:r>
    </w:p>
    <w:p w14:paraId="6C641A37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  <w:rPr>
          <w:rFonts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Skills同步工具，聚合多仓库 AI Skills，支持跨工具分发、工作区隔离、自动同步，提升配置标准化和同步效率</w:t>
      </w:r>
      <w:r>
        <w:rPr>
          <w:rFonts w:ascii="PingFang SC" w:hAnsi="PingFang SC" w:eastAsia="PingFang SC" w:cs="PingFang SC"/>
          <w:sz w:val="24"/>
          <w:szCs w:val="24"/>
        </w:rPr>
        <w:t>；</w:t>
      </w:r>
    </w:p>
    <w:p w14:paraId="31F9B43C">
      <w:pPr>
        <w:spacing w:before="150" w:after="40" w:line="240" w:lineRule="auto"/>
      </w:pPr>
      <w:r>
        <w:rPr>
          <w:rFonts w:ascii="PingFang SC" w:hAnsi="PingFang SC" w:eastAsia="PingFang SC" w:cs="PingFang SC"/>
          <w:b/>
          <w:bCs/>
          <w:sz w:val="24"/>
          <w:szCs w:val="24"/>
        </w:rPr>
        <w:t>四、OKR4：基础建设</w:t>
      </w:r>
    </w:p>
    <w:p w14:paraId="314E4C8B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0起P0/P1故障，保障系统稳定性，共处理缺陷4个；</w:t>
      </w:r>
    </w:p>
    <w:p w14:paraId="773324F3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告警降噪：重复/漏告警/误告警治理，无效告警减少90%；</w:t>
      </w:r>
    </w:p>
    <w:p w14:paraId="06AF91D9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清盘机构告警降噪方案上线；</w:t>
      </w:r>
    </w:p>
    <w:p w14:paraId="54D4E528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新增监控：cat告警覆盖19个系统服务、新增11个还款计划校验告警、goa告警配置；</w:t>
      </w:r>
    </w:p>
    <w:sectPr>
      <w:pgSz w:w="11906" w:h="16838"/>
      <w:pgMar w:top="710" w:right="840" w:bottom="710" w:left="49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7721DE"/>
    <w:multiLevelType w:val="singleLevel"/>
    <w:tmpl w:val="FE7721D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3DFCD9E4"/>
    <w:rsid w:val="4EEE5545"/>
    <w:rsid w:val="7573BA8B"/>
    <w:rsid w:val="7D2F72F4"/>
    <w:rsid w:val="AE977790"/>
    <w:rsid w:val="BF7FA1D1"/>
    <w:rsid w:val="FBEFF58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PingFang SC" w:hAnsi="PingFang SC" w:eastAsia="PingFang SC" w:cs="PingFang SC"/>
      <w:sz w:val="24"/>
      <w:szCs w:val="24"/>
    </w:rPr>
  </w:style>
  <w:style w:type="paragraph" w:styleId="2">
    <w:name w:val="heading 1"/>
    <w:next w:val="1"/>
    <w:qFormat/>
    <w:uiPriority w:val="0"/>
    <w:rPr>
      <w:rFonts w:ascii="PingFang SC" w:hAnsi="PingFang SC" w:eastAsia="PingFang SC" w:cs="PingFang SC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PingFang SC" w:hAnsi="PingFang SC" w:eastAsia="PingFang SC" w:cs="PingFang SC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PingFang SC" w:hAnsi="PingFang SC" w:eastAsia="PingFang SC" w:cs="PingFang SC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PingFang SC" w:hAnsi="PingFang SC" w:eastAsia="PingFang SC" w:cs="PingFang SC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PingFang SC" w:hAnsi="PingFang SC" w:eastAsia="PingFang SC" w:cs="PingFang SC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PingFang SC" w:hAnsi="PingFang SC" w:eastAsia="PingFang SC" w:cs="PingFang SC"/>
      <w:color w:val="1F4D78"/>
      <w:sz w:val="24"/>
      <w:szCs w:val="24"/>
    </w:rPr>
  </w:style>
  <w:style w:type="character" w:default="1" w:styleId="13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9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9">
    <w:name w:val="footnote text"/>
    <w:link w:val="18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10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Title"/>
    <w:qFormat/>
    <w:uiPriority w:val="0"/>
    <w:rPr>
      <w:rFonts w:ascii="PingFang SC" w:hAnsi="PingFang SC" w:eastAsia="PingFang SC" w:cs="PingFang SC"/>
      <w:sz w:val="56"/>
      <w:szCs w:val="56"/>
    </w:rPr>
  </w:style>
  <w:style w:type="character" w:styleId="14">
    <w:name w:val="endnote reference"/>
    <w:semiHidden/>
    <w:unhideWhenUsed/>
    <w:uiPriority w:val="99"/>
    <w:rPr>
      <w:vertAlign w:val="superscript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footnote reference"/>
    <w:semiHidden/>
    <w:unhideWhenUsed/>
    <w:uiPriority w:val="99"/>
    <w:rPr>
      <w:vertAlign w:val="superscript"/>
    </w:rPr>
  </w:style>
  <w:style w:type="paragraph" w:styleId="17">
    <w:name w:val="List Paragraph"/>
    <w:qFormat/>
    <w:uiPriority w:val="0"/>
    <w:rPr>
      <w:rFonts w:ascii="PingFang SC" w:hAnsi="PingFang SC" w:eastAsia="PingFang SC" w:cs="PingFang SC"/>
      <w:sz w:val="24"/>
      <w:szCs w:val="24"/>
    </w:rPr>
  </w:style>
  <w:style w:type="character" w:customStyle="1" w:styleId="18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3</TotalTime>
  <ScaleCrop>false</ScaleCrop>
  <LinksUpToDate>false</LinksUpToDate>
  <Application>WPS Office_6.14.0.8924_F1E327BC-269C-435d-A152-05C5408002CA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2026-07-30T22:23:00Z</dcterms:created>
  <dc:creator>Un-named</dc:creator>
  <cp:lastModifiedBy>赵鑫</cp:lastModifiedBy>
  <dcterms:modified xsi:type="dcterms:W3CDTF">2026-07-30T16:31:19Z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2052-6.14.0.8924</vt:lpwstr>
  </property>
  <property fmtid="{D5CDD505-2E9C-101B-9397-08002B2CF9AE}" pid="3" name="ICV">
    <vt:lpwstr>974EE35BB31DE4F0D6FD676AF087F871_42</vt:lpwstr>
  </property>
</Properties>
</file>