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3D7749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一、OKR1：支撑业务增长，推进目标落地</w:t>
      </w:r>
    </w:p>
    <w:p w14:paraId="6CBE0261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上半年参与95个需求，覆盖机构接入、CA签章、账务核心、运营支持等场景；</w:t>
      </w:r>
    </w:p>
    <w:p w14:paraId="51C6C50C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新增14 家机构产品上线（12家我方文档+2家机构文档）；</w:t>
      </w:r>
    </w:p>
    <w:p w14:paraId="054DCD2B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hint="eastAsia"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11家机构CA签章对接，保障合规放款；</w:t>
      </w:r>
    </w:p>
    <w:p w14:paraId="251B4BB4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数据治理一期收尾，异常借据从3.4万降至340笔；</w:t>
      </w:r>
    </w:p>
    <w:p w14:paraId="0E7745A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数据治理二期合规补充，45个产品67个问题全部完成沟通和确认；</w:t>
      </w:r>
    </w:p>
    <w:p w14:paraId="572D5152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二、OKR2：研发效率提升</w:t>
      </w:r>
    </w:p>
    <w:p w14:paraId="4BFF95B5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基于AI赋能，标准机构对接（文档+开发+配置）提效80%；</w:t>
      </w:r>
    </w:p>
    <w:p w14:paraId="7D055765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清理无用代码：GOA删除3,172行（减少1.86%）、LCS删除13,149行（减少9.18%）、AMS删除3,721行（减少12.87%）；</w:t>
      </w:r>
    </w:p>
    <w:p w14:paraId="2C3886BA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核心链路重构：借款试算重构上线、借款申请重构、ams账户开户/更新流程优化；</w:t>
      </w:r>
    </w:p>
    <w:p w14:paraId="6AC3F75A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接入自研mock平台，提升机构自测、联调效率；</w:t>
      </w:r>
      <w:bookmarkStart w:id="0" w:name="_GoBack"/>
      <w:bookmarkEnd w:id="0"/>
    </w:p>
    <w:p w14:paraId="6ECDA8E3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三、OKR3：AI 深度赋能</w:t>
      </w:r>
    </w:p>
    <w:p w14:paraId="7823CBE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Skills覆盖15+场景，涵盖机构接入、功能开发、代码审查、问题排查、文档生成等，工作效率、代码可用率持续提升</w:t>
      </w:r>
      <w:r>
        <w:rPr>
          <w:rFonts w:ascii="PingFang SC" w:hAnsi="PingFang SC" w:eastAsia="PingFang SC" w:cs="PingFang SC"/>
          <w:sz w:val="24"/>
          <w:szCs w:val="24"/>
        </w:rPr>
        <w:t>；</w:t>
      </w:r>
    </w:p>
    <w:p w14:paraId="6C641A37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  <w:rPr>
          <w:rFonts w:ascii="PingFang SC" w:hAnsi="PingFang SC" w:eastAsia="PingFang SC" w:cs="PingFang SC"/>
          <w:sz w:val="24"/>
          <w:szCs w:val="24"/>
        </w:rPr>
      </w:pPr>
      <w:r>
        <w:rPr>
          <w:rFonts w:hint="eastAsia" w:ascii="PingFang SC" w:hAnsi="PingFang SC" w:eastAsia="PingFang SC" w:cs="PingFang SC"/>
          <w:sz w:val="24"/>
          <w:szCs w:val="24"/>
        </w:rPr>
        <w:t>Skills同步工具，聚合多仓库 AI Skills，支持跨工具分发、工作区隔离、自动同步，提升配置标准化和同步效率</w:t>
      </w:r>
      <w:r>
        <w:rPr>
          <w:rFonts w:ascii="PingFang SC" w:hAnsi="PingFang SC" w:eastAsia="PingFang SC" w:cs="PingFang SC"/>
          <w:sz w:val="24"/>
          <w:szCs w:val="24"/>
        </w:rPr>
        <w:t>；</w:t>
      </w:r>
    </w:p>
    <w:p w14:paraId="31F9B43C">
      <w:pPr>
        <w:spacing w:before="150" w:after="40" w:line="240" w:lineRule="auto"/>
      </w:pPr>
      <w:r>
        <w:rPr>
          <w:rFonts w:ascii="PingFang SC" w:hAnsi="PingFang SC" w:eastAsia="PingFang SC" w:cs="PingFang SC"/>
          <w:b/>
          <w:bCs/>
          <w:sz w:val="24"/>
          <w:szCs w:val="24"/>
        </w:rPr>
        <w:t>四、OKR4：基础建设</w:t>
      </w:r>
    </w:p>
    <w:p w14:paraId="314E4C8B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0起P0/P1故障，保障系统稳定性，共处理缺陷4个；</w:t>
      </w:r>
    </w:p>
    <w:p w14:paraId="773324F3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告警降噪：重复/漏告警/误告警治理，无效告警减少90%；</w:t>
      </w:r>
    </w:p>
    <w:p w14:paraId="06AF91D9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清盘机构告警降噪方案上线；</w:t>
      </w:r>
    </w:p>
    <w:p w14:paraId="54D4E528">
      <w:pPr>
        <w:numPr>
          <w:ilvl w:val="0"/>
          <w:numId w:val="1"/>
        </w:numPr>
        <w:spacing w:before="50" w:after="10" w:line="240" w:lineRule="auto"/>
        <w:ind w:left="840" w:leftChars="0" w:hanging="420" w:firstLineChars="0"/>
      </w:pPr>
      <w:r>
        <w:rPr>
          <w:rFonts w:ascii="PingFang SC" w:hAnsi="PingFang SC" w:eastAsia="PingFang SC" w:cs="PingFang SC"/>
          <w:sz w:val="24"/>
          <w:szCs w:val="24"/>
        </w:rPr>
        <w:t>新增监控：cat告警覆盖19个系统服务、新增11个还款计划校验告警、goa告警配置；</w:t>
      </w:r>
    </w:p>
    <w:sectPr>
      <w:pgSz w:w="11906" w:h="16838"/>
      <w:pgMar w:top="710" w:right="840" w:bottom="710" w:left="49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721DE"/>
    <w:multiLevelType w:val="singleLevel"/>
    <w:tmpl w:val="FE7721D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3DFCD9E4"/>
    <w:rsid w:val="4EEE5545"/>
    <w:rsid w:val="7573BA8B"/>
    <w:rsid w:val="7D2F72F4"/>
    <w:rsid w:val="BF7FA1D1"/>
    <w:rsid w:val="FBEFF5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rPr>
      <w:rFonts w:ascii="PingFang SC" w:hAnsi="PingFang SC" w:eastAsia="PingFang SC" w:cs="PingFang SC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9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Title"/>
    <w:qFormat/>
    <w:uiPriority w:val="0"/>
    <w:rPr>
      <w:rFonts w:ascii="PingFang SC" w:hAnsi="PingFang SC" w:eastAsia="PingFang SC" w:cs="PingFang SC"/>
      <w:sz w:val="56"/>
      <w:szCs w:val="56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PingFang SC" w:hAnsi="PingFang SC" w:eastAsia="PingFang SC" w:cs="PingFang SC"/>
      <w:sz w:val="24"/>
      <w:szCs w:val="24"/>
    </w:rPr>
  </w:style>
  <w:style w:type="character" w:customStyle="1" w:styleId="18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</TotalTime>
  <ScaleCrop>false</ScaleCrop>
  <LinksUpToDate>false</LinksUpToDate>
  <Application>WPS Office_6.14.0.8924_F1E327BC-269C-435d-A152-05C5408002CA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2026-07-30T14:23:59Z</dcterms:created>
  <dc:creator>Un-named</dc:creator>
  <cp:lastModifiedBy>赵鑫</cp:lastModifiedBy>
  <dcterms:modified xsi:type="dcterms:W3CDTF">2026-07-30T14:27:43Z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2052-6.14.0.8924</vt:lpwstr>
  </property>
  <property fmtid="{D5CDD505-2E9C-101B-9397-08002B2CF9AE}" pid="3" name="ICV">
    <vt:lpwstr>974EE35BB31DE4F0D6FD676AF087F871_42</vt:lpwstr>
  </property>
</Properties>
</file>