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46"/>
        <w:pBdr/>
        <w:spacing/>
        <w:ind/>
        <w:jc w:val="center"/>
        <w:rPr>
          <w:sz w:val="56"/>
          <w:szCs w:val="56"/>
        </w:rPr>
      </w:pPr>
      <w:r>
        <w:rPr>
          <w:sz w:val="56"/>
          <w:szCs w:val="56"/>
        </w:rPr>
        <w:t xml:space="preserve">Actividades Tema 1</w:t>
      </w:r>
      <w:r>
        <w:rPr>
          <w:sz w:val="56"/>
          <w:szCs w:val="56"/>
        </w:rPr>
      </w:r>
      <w:r>
        <w:rPr>
          <w:sz w:val="56"/>
          <w:szCs w:val="56"/>
        </w:rPr>
      </w:r>
    </w:p>
    <w:p w14:paraId="6FC25BB6">
      <w:pPr>
        <w:pBdr/>
        <w:shd w:val="nil" w:color="000000"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47788ABC">
      <w:pPr>
        <w:pBdr/>
        <w:shd w:val="nil" w:color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</w:r>
      <w:r>
        <w:rPr>
          <w:b/>
          <w:bCs/>
        </w:rPr>
        <w:t xml:space="preserve">1. </w:t>
      </w:r>
      <w:r>
        <w:rPr>
          <w:b/>
          <w:bCs/>
        </w:rPr>
        <w:t xml:space="preserve">Realiza una comparativa entre 5 ERP diferentes.​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tbl>
      <w:tblPr>
        <w:tblStyle w:val="701"/>
        <w:tblInd w:w="-233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856"/>
        <w:gridCol w:w="1623"/>
        <w:gridCol w:w="1623"/>
        <w:gridCol w:w="1623"/>
        <w:gridCol w:w="1623"/>
        <w:gridCol w:w="1623"/>
      </w:tblGrid>
      <w:tr>
        <w:trPr>
          <w:trHeight w:val="933"/>
        </w:trPr>
        <w:tc>
          <w:tcPr>
            <w:tcBorders/>
            <w:tcW w:w="1856" w:type="dxa"/>
            <w:vAlign w:val="center"/>
          </w:tcPr>
          <w:p w14:paraId="5834B06D">
            <w:pPr>
              <w:pBdr/>
              <w:shd w:val="nil" w:color="000000"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623" w:type="dxa"/>
            <w:vAlign w:val="center"/>
          </w:tcPr>
          <w:p w14:paraId="0167C019">
            <w:pPr>
              <w:pBdr/>
              <w:shd w:val="nil" w:color="000000"/>
              <w:spacing/>
              <w:ind/>
              <w:jc w:val="center"/>
              <w:rPr>
                <w14:ligatures w14:val="none"/>
              </w:rPr>
            </w:pPr>
            <w:r>
              <w:rPr>
                <w:highlight w:val="none"/>
              </w:rPr>
            </w:r>
            <w:r>
              <w:rPr>
                <w:b/>
                <w:bCs/>
              </w:rPr>
              <w:t xml:space="preserve">SAP</w:t>
            </w:r>
            <w:r>
              <w:rPr>
                <w14:ligatures w14:val="none"/>
              </w:rPr>
            </w:r>
            <w:r>
              <w:rPr>
                <w14:ligatures w14:val="none"/>
              </w:rPr>
            </w:r>
          </w:p>
        </w:tc>
        <w:tc>
          <w:tcPr>
            <w:tcBorders/>
            <w:tcW w:w="1623" w:type="dxa"/>
            <w:vAlign w:val="center"/>
          </w:tcPr>
          <w:p w14:paraId="456B1D5E">
            <w:pPr>
              <w:pBdr/>
              <w:shd w:val="nil" w:color="000000"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MS DYNAMICS 365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623" w:type="dxa"/>
            <w:vAlign w:val="center"/>
          </w:tcPr>
          <w:p w14:paraId="51A6C94D">
            <w:pPr>
              <w:pBdr/>
              <w:shd w:val="nil" w:color="000000"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ORACLE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623" w:type="dxa"/>
            <w:vAlign w:val="center"/>
          </w:tcPr>
          <w:p w14:paraId="5D8A6092">
            <w:pPr>
              <w:pBdr/>
              <w:shd w:val="nil" w:color="000000"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ODOO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623" w:type="dxa"/>
            <w:vAlign w:val="center"/>
          </w:tcPr>
          <w:p w14:paraId="630D45DE">
            <w:pPr>
              <w:pBdr/>
              <w:shd w:val="nil" w:color="000000"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SAGE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trHeight w:val="933"/>
        </w:trPr>
        <w:tc>
          <w:tcPr>
            <w:tcBorders/>
            <w:tcW w:w="1856" w:type="dxa"/>
            <w:vAlign w:val="center"/>
          </w:tcPr>
          <w:p w14:paraId="730A039B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Precio
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11174302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</w:rPr>
              <w:t xml:space="preserve">180-400€</w:t>
            </w:r>
            <w:r>
              <w:rPr>
                <w:b w:val="0"/>
                <w:bCs w:val="0"/>
                <w:highlight w:val="none"/>
              </w:rPr>
            </w:r>
          </w:p>
          <w:p w14:paraId="2BA1796A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  <w:t xml:space="preserve">Por usuario al mes</w:t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1623" w:type="dxa"/>
            <w:vAlign w:val="center"/>
          </w:tcPr>
          <w:p w14:paraId="3D0F57F3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</w:rPr>
              <w:t xml:space="preserve">69-95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€</w:t>
            </w:r>
            <w:r/>
            <w:r>
              <w:rPr>
                <w:b w:val="0"/>
                <w:bCs w:val="0"/>
                <w:highlight w:val="none"/>
              </w:rPr>
            </w:r>
          </w:p>
          <w:p w14:paraId="122A5609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  <w:t xml:space="preserve">Por usuario al mes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/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1623" w:type="dxa"/>
            <w:vAlign w:val="center"/>
          </w:tcPr>
          <w:p w14:paraId="71C5D1FB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Version gratis y </w:t>
              <w:br/>
              <w:t xml:space="preserve">20-37€ empresas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1C97F252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</w:rPr>
              <w:t xml:space="preserve">175-625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€</w:t>
            </w:r>
            <w:r/>
            <w:r>
              <w:rPr>
                <w:b w:val="0"/>
                <w:bCs w:val="0"/>
                <w:highlight w:val="none"/>
              </w:rPr>
            </w:r>
          </w:p>
          <w:p w14:paraId="57905F9C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  <w:t xml:space="preserve">Por usuario al mes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/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1623" w:type="dxa"/>
            <w:vAlign w:val="center"/>
          </w:tcPr>
          <w:p w14:paraId="1C97F252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</w:rPr>
              <w:t xml:space="preserve">Desde 1.850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€</w:t>
            </w:r>
            <w:r/>
            <w:r>
              <w:rPr>
                <w:b w:val="0"/>
                <w:bCs w:val="0"/>
                <w:highlight w:val="none"/>
              </w:rPr>
            </w:r>
          </w:p>
          <w:p w14:paraId="57905F9C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  <w:t xml:space="preserve">Por usuario al año</w:t>
            </w:r>
            <w:r>
              <w:rPr>
                <w:b w:val="0"/>
                <w:bCs w:val="0"/>
              </w:rPr>
            </w:r>
            <w:r/>
            <w:r>
              <w:rPr>
                <w:b w:val="0"/>
                <w:bCs w:val="0"/>
                <w:highlight w:val="none"/>
              </w:rPr>
            </w:r>
          </w:p>
        </w:tc>
      </w:tr>
      <w:tr>
        <w:trPr>
          <w:trHeight w:val="933"/>
        </w:trPr>
        <w:tc>
          <w:tcPr>
            <w:tcBorders/>
            <w:tcW w:w="1856" w:type="dxa"/>
            <w:vAlign w:val="center"/>
          </w:tcPr>
          <w:p w14:paraId="002C9D82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Disponibilidad en la nube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0FAD4D90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público y privado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04FC6616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100% cloud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22859453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SaaS en OCI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2315B83C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  <w:highlight w:val="none"/>
              </w:rPr>
              <w:t xml:space="preserve">Servicio nube y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</w:p>
          <w:p w14:paraId="6F1D31D0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</w:rPr>
              <w:t xml:space="preserve">autoalojable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0134A48C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Servicio en la nube
</w:t>
            </w:r>
            <w:r>
              <w:rPr>
                <w:b w:val="0"/>
                <w:bCs w:val="0"/>
              </w:rPr>
            </w:r>
          </w:p>
        </w:tc>
      </w:tr>
      <w:tr>
        <w:trPr>
          <w:trHeight w:val="933"/>
        </w:trPr>
        <w:tc>
          <w:tcPr>
            <w:tcBorders/>
            <w:tcW w:w="1856" w:type="dxa"/>
            <w:vAlign w:val="center"/>
          </w:tcPr>
          <w:p w14:paraId="03DA7FDB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Servicio t</w:t>
            </w:r>
            <w:r>
              <w:rPr>
                <w:b w:val="0"/>
                <w:bCs w:val="0"/>
              </w:rPr>
              <w:t xml:space="preserve">écnico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1C93513C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24/7 vía partners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684DCCEE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24/7 de Microsoft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40DC1968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24/7 de Oracle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2C8EE608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Comunidad y partners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6AD1140D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Partner local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>
          <w:trHeight w:val="933"/>
        </w:trPr>
        <w:tc>
          <w:tcPr>
            <w:tcBorders/>
            <w:tcW w:w="1856" w:type="dxa"/>
            <w:vAlign w:val="center"/>
          </w:tcPr>
          <w:p w14:paraId="5ED54D31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Modularidad / tipo de empresa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74196980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Muy modular, gran empresa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558950FE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Por apps, pymes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4DCA60D8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Suite completa, gran empresa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260FD57C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Modulos de pago y gratuitos, muy flexible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6BE5C900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Por productos, pymes</w:t>
            </w:r>
            <w:r>
              <w:rPr>
                <w:b w:val="0"/>
                <w:bCs w:val="0"/>
              </w:rPr>
            </w:r>
          </w:p>
        </w:tc>
      </w:tr>
    </w:tbl>
    <w:p w14:paraId="0E1FC7A2">
      <w:pPr>
        <w:pBdr/>
        <w:shd w:val="nil" w:color="000000"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66BB5A2F">
      <w:pPr>
        <w:pBdr/>
        <w:shd w:val="nil" w:color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2. Realiza una comparativa entre 5 CRM diferentes.​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tbl>
      <w:tblPr>
        <w:tblStyle w:val="701"/>
        <w:tblInd w:w="-233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856"/>
        <w:gridCol w:w="1623"/>
        <w:gridCol w:w="1623"/>
        <w:gridCol w:w="1623"/>
        <w:gridCol w:w="1623"/>
        <w:gridCol w:w="1623"/>
      </w:tblGrid>
      <w:tr>
        <w:trPr/>
        <w:tc>
          <w:tcPr>
            <w:tcBorders/>
            <w:tcW w:w="1856" w:type="dxa"/>
            <w:vAlign w:val="center"/>
          </w:tcPr>
          <w:p w14:paraId="22B320CE">
            <w:pPr>
              <w:pBdr/>
              <w:shd w:val="nil" w:color="000000"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623" w:type="dxa"/>
            <w:vAlign w:val="center"/>
          </w:tcPr>
          <w:p w14:paraId="76444A37">
            <w:pPr>
              <w:pBdr/>
              <w:shd w:val="nil" w:color="000000"/>
              <w:spacing/>
              <w:ind/>
              <w:jc w:val="center"/>
              <w:rPr>
                <w:b/>
                <w:bCs/>
                <w14:ligatures w14:val="none"/>
              </w:rPr>
            </w:pPr>
            <w:r>
              <w:rPr>
                <w:b/>
                <w:bCs/>
                <w:highlight w:val="none"/>
              </w:rPr>
              <w:t xml:space="preserve">SalesForce</w:t>
            </w:r>
            <w:r>
              <w:rPr>
                <w:b/>
                <w:bCs/>
              </w:rPr>
              <w:t xml:space="preserve">
</w:t>
            </w:r>
            <w:r>
              <w:rPr>
                <w:b/>
                <w:bCs/>
                <w14:ligatures w14:val="none"/>
              </w:rPr>
            </w:r>
            <w:r>
              <w:rPr>
                <w:b/>
                <w:bCs/>
                <w14:ligatures w14:val="none"/>
              </w:rPr>
            </w:r>
          </w:p>
        </w:tc>
        <w:tc>
          <w:tcPr>
            <w:tcBorders/>
            <w:tcW w:w="1623" w:type="dxa"/>
            <w:vAlign w:val="center"/>
          </w:tcPr>
          <w:p w14:paraId="011BE55D">
            <w:pPr>
              <w:pBdr/>
              <w:shd w:val="nil" w:color="000000"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HubSpot CRM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623" w:type="dxa"/>
            <w:vAlign w:val="center"/>
          </w:tcPr>
          <w:p w14:paraId="47B7FEFC">
            <w:pPr>
              <w:pBdr/>
              <w:shd w:val="nil" w:color="000000"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Zoho CRM
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623" w:type="dxa"/>
            <w:vAlign w:val="center"/>
          </w:tcPr>
          <w:p w14:paraId="4FF4C182">
            <w:pPr>
              <w:pBdr/>
              <w:shd w:val="nil" w:color="000000"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Pipedrive
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623" w:type="dxa"/>
            <w:vAlign w:val="center"/>
          </w:tcPr>
          <w:p w14:paraId="5CA89A27">
            <w:pPr>
              <w:pBdr/>
              <w:shd w:val="nil" w:color="000000"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MS DYNAMICS 365
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trHeight w:val="1075"/>
        </w:trPr>
        <w:tc>
          <w:tcPr>
            <w:tcBorders/>
            <w:tcW w:w="1856" w:type="dxa"/>
            <w:vAlign w:val="center"/>
          </w:tcPr>
          <w:p w14:paraId="0205013A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Precio
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1C97F252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</w:rPr>
              <w:t xml:space="preserve">25-550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€</w:t>
            </w:r>
            <w:r/>
            <w:r>
              <w:rPr>
                <w:b w:val="0"/>
                <w:bCs w:val="0"/>
                <w:highlight w:val="none"/>
              </w:rPr>
            </w:r>
          </w:p>
          <w:p w14:paraId="57905F9C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  <w:t xml:space="preserve">Por usuario al mes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/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1623" w:type="dxa"/>
            <w:vAlign w:val="center"/>
          </w:tcPr>
          <w:p w14:paraId="61A933D3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Gratis hasta 3 usuarios</w:t>
              <w:br/>
              <w:t xml:space="preserve">15-150€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42DB5CA4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Gratis hasta 3 usuarios</w:t>
              <w:br/>
              <w:t xml:space="preserve">14-52€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1C97F252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</w:rPr>
              <w:t xml:space="preserve">14-79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€</w:t>
            </w:r>
            <w:r/>
            <w:r>
              <w:rPr>
                <w:b w:val="0"/>
                <w:bCs w:val="0"/>
                <w:highlight w:val="none"/>
              </w:rPr>
            </w:r>
          </w:p>
          <w:p w14:paraId="57905F9C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  <w:t xml:space="preserve">Por usuario al mes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/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1623" w:type="dxa"/>
            <w:vAlign w:val="center"/>
          </w:tcPr>
          <w:p w14:paraId="1C97F252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</w:rPr>
              <w:t xml:space="preserve">20-115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  <w:t xml:space="preserve">€</w:t>
            </w:r>
            <w:r/>
            <w:r>
              <w:rPr>
                <w:b w:val="0"/>
                <w:bCs w:val="0"/>
                <w:highlight w:val="none"/>
              </w:rPr>
            </w:r>
          </w:p>
          <w:p w14:paraId="57905F9C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  <w:t xml:space="preserve">Por usuario al mes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/>
            <w:r>
              <w:rPr>
                <w:b w:val="0"/>
                <w:bCs w:val="0"/>
                <w:highlight w:val="none"/>
              </w:rPr>
            </w:r>
          </w:p>
        </w:tc>
      </w:tr>
      <w:tr>
        <w:trPr>
          <w:trHeight w:val="1075"/>
        </w:trPr>
        <w:tc>
          <w:tcPr>
            <w:tcBorders/>
            <w:tcW w:w="1856" w:type="dxa"/>
            <w:vAlign w:val="center"/>
          </w:tcPr>
          <w:p w14:paraId="2F602BBC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Disponibilidad en la nube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7C445B71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100% cloud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1FEEFDCF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100% cloud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4F234436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Cloud y selfhosting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20C69D3B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100% cloud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6D12EBA5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100% cloud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>
          <w:trHeight w:val="1075"/>
        </w:trPr>
        <w:tc>
          <w:tcPr>
            <w:tcBorders/>
            <w:tcW w:w="1856" w:type="dxa"/>
            <w:vAlign w:val="center"/>
          </w:tcPr>
          <w:p w14:paraId="79642F0F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Servicio t</w:t>
            </w:r>
            <w:r>
              <w:rPr>
                <w:b w:val="0"/>
                <w:bCs w:val="0"/>
              </w:rPr>
              <w:t xml:space="preserve">écnico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53C60BCC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24/7 (Premier desde Pro)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4FF18BD9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Email y chat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17211F10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Multilingüe, premier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3D36A957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Email y chat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6FC8E422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24/7 de Microsoft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>
          <w:trHeight w:val="1075"/>
        </w:trPr>
        <w:tc>
          <w:tcPr>
            <w:tcBorders/>
            <w:tcW w:w="1856" w:type="dxa"/>
            <w:vAlign w:val="center"/>
          </w:tcPr>
          <w:p w14:paraId="2D282285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Modularidad / escalabilidad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707D7505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Máxima, con IA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0AD28556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Muy modular por Hubs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7EE85114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Buena relación calidad/precio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3162731B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Enfocado en ventas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1623" w:type="dxa"/>
            <w:vAlign w:val="center"/>
          </w:tcPr>
          <w:p w14:paraId="227FC0E2">
            <w:pPr>
              <w:pBdr/>
              <w:shd w:val="nil" w:color="000000"/>
              <w:spacing/>
              <w:ind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Unifica CRM y ERP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</w:tbl>
    <w:p w14:paraId="691210DD">
      <w:pPr>
        <w:pBdr/>
        <w:shd w:val="nil" w:color="000000"/>
        <w:spacing/>
        <w:ind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 w14:paraId="1E6095D5">
      <w:pPr>
        <w:pBdr/>
        <w:shd w:val="nil" w:color="000000"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6720A39">
      <w:pPr>
        <w:pBdr/>
        <w:shd w:val="nil" w:color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3. Realiza una investigación y una tabla comparativa entre 3 herramientas de Business Intelligence (BI).​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7733EBB">
      <w:pPr>
        <w:pBdr/>
        <w:shd w:val="nil" w:color="000000"/>
        <w:spacing/>
        <w:ind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 w14:paraId="6D32193A">
      <w:pPr>
        <w:pBdr/>
        <w:shd w:val="nil" w:color="000000"/>
        <w:spacing/>
        <w:ind/>
        <w:rPr>
          <w14:ligatures w14:val="none"/>
        </w:rPr>
      </w:pPr>
      <w:r>
        <w:rPr>
          <w14:ligatures w14:val="none"/>
        </w:rPr>
        <w:t xml:space="preserve">El Business Intelligence (BI) es el conjunto de herramientas y procesos que permiten convertir información dispersa (ERP, CRM, hojas de cálculo, bases de datos) en conocimiento accionable para la toma de decisiones. Una plataforma BI debe cubri</w:t>
      </w:r>
      <w:r>
        <w:rPr>
          <w14:ligatures w14:val="none"/>
        </w:rPr>
        <w:t xml:space="preserve">r cuatro funciones: la ingesta de datos desde distintas fuentes, la construcción de un modelo de datos con las métricas del negocio, la visualización interactiva en cuadros de mando (dashboards) y la distribución segura de ese contenido entre los usuarios.</w:t>
      </w:r>
      <w:r>
        <w:rPr>
          <w14:ligatures w14:val="none"/>
        </w:rPr>
      </w:r>
    </w:p>
    <w:p w14:paraId="065EBB7E">
      <w:pPr>
        <w:pBdr/>
        <w:shd w:val="nil" w:color="000000"/>
        <w:spacing/>
        <w:ind/>
        <w:rPr>
          <w14:ligatures w14:val="none"/>
        </w:rPr>
      </w:pPr>
      <w:r>
        <w:rPr>
          <w14:ligatures w14:val="none"/>
        </w:rPr>
        <w:t xml:space="preserve">Para la comparativa se han seleccionado las tres herramientas líderes del mercado: Microsoft Power BI, Tableau (perteneciente a Salesforce) y Qlik Sense. Las tres están disponibles en la nube y funcionan en Windows, Linux y macOS, por </w:t>
      </w:r>
      <w:r>
        <w:rPr>
          <w14:ligatures w14:val="none"/>
        </w:rPr>
        <w:t xml:space="preserve">lo que la comparativa se centra en el modelo de licencia, el motor de datos y el tipo de organización para el que resultan más adecuadas. Los precios son de lista sin impuestos y pueden variar según el país, el número de usuarios y los módulos contratados.</w:t>
      </w:r>
      <w:r>
        <w:rPr>
          <w14:ligatures w14:val="none"/>
        </w:rPr>
      </w:r>
    </w:p>
    <w:tbl>
      <w:tblPr>
        <w:tblStyle w:val="701"/>
        <w:tblInd w:w="-233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856"/>
        <w:gridCol w:w="2705"/>
        <w:gridCol w:w="2705"/>
        <w:gridCol w:w="2705"/>
      </w:tblGrid>
      <w:tr>
        <w:trPr>
          <w:trHeight w:val="933"/>
        </w:trPr>
        <w:tc>
          <w:tcPr>
            <w:tcBorders/>
            <w:tcW w:w="1856" w:type="dxa"/>
            <w:vAlign w:val="center"/>
          </w:tcPr>
          <w:p w14:paraId="1D3EA47B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Criterio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2705" w:type="dxa"/>
            <w:vAlign w:val="center"/>
          </w:tcPr>
          <w:p w14:paraId="6DA15AC7">
            <w:pPr>
              <w:pBdr/>
              <w:shd w:val="nil" w:color="000000"/>
              <w:spacing/>
              <w:ind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Power BI</w:t>
            </w:r>
            <w:r>
              <w:rPr>
                <w:b/>
                <w:bCs/>
              </w:rPr>
            </w:r>
          </w:p>
        </w:tc>
        <w:tc>
          <w:tcPr>
            <w:tcBorders/>
            <w:tcW w:w="2705" w:type="dxa"/>
            <w:vAlign w:val="center"/>
          </w:tcPr>
          <w:p w14:paraId="2D97675E">
            <w:pPr>
              <w:pBdr/>
              <w:shd w:val="nil" w:color="000000"/>
              <w:spacing/>
              <w:ind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Tableau</w:t>
            </w:r>
            <w:r>
              <w:rPr>
                <w:b/>
                <w:bCs/>
              </w:rPr>
            </w:r>
          </w:p>
        </w:tc>
        <w:tc>
          <w:tcPr>
            <w:tcBorders/>
            <w:tcW w:w="2705" w:type="dxa"/>
            <w:vAlign w:val="center"/>
          </w:tcPr>
          <w:p w14:paraId="4A7D159C">
            <w:pPr>
              <w:pBdr/>
              <w:shd w:val="nil" w:color="000000"/>
              <w:spacing/>
              <w:ind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Qlik Sense</w:t>
            </w:r>
            <w:r>
              <w:rPr>
                <w:b/>
                <w:bCs/>
              </w:rPr>
            </w:r>
          </w:p>
        </w:tc>
      </w:tr>
      <w:tr>
        <w:trPr>
          <w:trHeight w:val="933"/>
        </w:trPr>
        <w:tc>
          <w:tcPr>
            <w:tcBorders/>
            <w:tcW w:w="1856" w:type="dxa"/>
            <w:vAlign w:val="center"/>
          </w:tcPr>
          <w:p w14:paraId="03F666B1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Precio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2705" w:type="dxa"/>
            <w:vAlign w:val="center"/>
          </w:tcPr>
          <w:p w14:paraId="017E1CE3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Desktop gratis</w:t>
              <w:br/>
              <w:t xml:space="preserve">Pro 14€ </w:t>
            </w:r>
            <w:r>
              <w:rPr>
                <w14:ligatures w14:val="none"/>
              </w:rPr>
              <w:t xml:space="preserve">por usuario/mes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2705" w:type="dxa"/>
            <w:vAlign w:val="center"/>
          </w:tcPr>
          <w:p w14:paraId="1795A596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15-75</w:t>
            </w:r>
            <w:r>
              <w:rPr>
                <w14:ligatures w14:val="none"/>
              </w:rPr>
              <w:t xml:space="preserve">€ </w:t>
            </w:r>
            <w:r>
              <w:rPr>
                <w14:ligatures w14:val="none"/>
              </w:rPr>
              <w:t xml:space="preserve">por usuario/mes</w:t>
            </w:r>
            <w:r/>
            <w:r>
              <w:rPr>
                <w14:ligatures w14:val="none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2705" w:type="dxa"/>
            <w:vAlign w:val="center"/>
          </w:tcPr>
          <w:p w14:paraId="6C5DC8E3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300-2.750€/mes (cobra por volumen de datos)</w:t>
            </w:r>
            <w:r>
              <w:rPr>
                <w:b w:val="0"/>
                <w:bCs w:val="0"/>
              </w:rPr>
            </w:r>
          </w:p>
        </w:tc>
      </w:tr>
      <w:tr>
        <w:trPr>
          <w:trHeight w:val="933"/>
        </w:trPr>
        <w:tc>
          <w:tcPr>
            <w:tcBorders/>
            <w:tcW w:w="1856" w:type="dxa"/>
            <w:vAlign w:val="center"/>
          </w:tcPr>
          <w:p w14:paraId="4DD344B4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Disponibilidad en la nube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2705" w:type="dxa"/>
            <w:vAlign w:val="center"/>
          </w:tcPr>
          <w:p w14:paraId="3B57973E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Cloud o Server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14:ligatures w14:val="none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2705" w:type="dxa"/>
            <w:vAlign w:val="center"/>
          </w:tcPr>
          <w:p w14:paraId="33E237AE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Cloud o Server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2705" w:type="dxa"/>
            <w:vAlign w:val="center"/>
          </w:tcPr>
          <w:p w14:paraId="3B57973E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Cloud o Server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  <w:r>
              <w:rPr>
                <w14:ligatures w14:val="none"/>
              </w:rPr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>
          <w:trHeight w:val="933"/>
        </w:trPr>
        <w:tc>
          <w:tcPr>
            <w:tcBorders/>
            <w:tcW w:w="1856" w:type="dxa"/>
            <w:vAlign w:val="center"/>
          </w:tcPr>
          <w:p w14:paraId="54F8E2E7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Servicio técnico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2705" w:type="dxa"/>
            <w:vAlign w:val="center"/>
          </w:tcPr>
          <w:p w14:paraId="090E2640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24/7 de Microsoft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2705" w:type="dxa"/>
            <w:vAlign w:val="center"/>
          </w:tcPr>
          <w:p w14:paraId="711F9424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24/7 de Salesforce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2705" w:type="dxa"/>
            <w:vAlign w:val="center"/>
          </w:tcPr>
          <w:p w14:paraId="5BF6A013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24/7 en planes superiores</w:t>
            </w:r>
            <w:r>
              <w:rPr>
                <w:b w:val="0"/>
                <w:bCs w:val="0"/>
              </w:rPr>
            </w:r>
          </w:p>
        </w:tc>
      </w:tr>
      <w:tr>
        <w:trPr>
          <w:trHeight w:val="933"/>
        </w:trPr>
        <w:tc>
          <w:tcPr>
            <w:tcBorders/>
            <w:tcW w:w="1856" w:type="dxa"/>
            <w:vAlign w:val="center"/>
          </w:tcPr>
          <w:p w14:paraId="32512B96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Modelo de datos y visualización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2705" w:type="dxa"/>
            <w:vAlign w:val="center"/>
          </w:tcPr>
          <w:p w14:paraId="0C421F9F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En memoria (VertiPaq) con DAX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2705" w:type="dxa"/>
            <w:vAlign w:val="center"/>
          </w:tcPr>
          <w:p w14:paraId="50F497C0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Muy flexible, con LOD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2705" w:type="dxa"/>
            <w:vAlign w:val="center"/>
          </w:tcPr>
          <w:p w14:paraId="2EED5BB0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Motor asociativo en memoria</w:t>
            </w:r>
            <w:r>
              <w:rPr>
                <w:b w:val="0"/>
                <w:bCs w:val="0"/>
              </w:rPr>
            </w:r>
          </w:p>
        </w:tc>
      </w:tr>
      <w:tr>
        <w:trPr>
          <w:trHeight w:val="933"/>
        </w:trPr>
        <w:tc>
          <w:tcPr>
            <w:tcBorders/>
            <w:tcW w:w="1856" w:type="dxa"/>
            <w:vAlign w:val="center"/>
          </w:tcPr>
          <w:p w14:paraId="3B279709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Ideal para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2705" w:type="dxa"/>
            <w:vAlign w:val="center"/>
          </w:tcPr>
          <w:p w14:paraId="0D9B2022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Empresas con Microsoft 365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2705" w:type="dxa"/>
            <w:vAlign w:val="center"/>
          </w:tcPr>
          <w:p w14:paraId="5F9957B8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Análisis visual y exploratorio</w:t>
            </w:r>
            <w:r>
              <w:rPr>
                <w:b w:val="0"/>
                <w:bCs w:val="0"/>
              </w:rPr>
            </w:r>
          </w:p>
        </w:tc>
        <w:tc>
          <w:tcPr>
            <w:tcBorders/>
            <w:tcW w:w="2705" w:type="dxa"/>
            <w:vAlign w:val="center"/>
          </w:tcPr>
          <w:p w14:paraId="13786963">
            <w:pPr>
              <w:pBdr/>
              <w:shd w:val="nil" w:color="000000"/>
              <w:spacing/>
              <w:ind/>
              <w:jc w:val="left"/>
              <w:rPr>
                <w:b w:val="0"/>
                <w:bCs w:val="0"/>
              </w:rPr>
            </w:pPr>
            <w:r>
              <w:rPr>
                <w14:ligatures w14:val="none"/>
              </w:rPr>
              <w:t xml:space="preserve">Modelos complejos y mucho volumen</w:t>
            </w:r>
            <w:r>
              <w:rPr>
                <w:b w:val="0"/>
                <w:bCs w:val="0"/>
              </w:rPr>
            </w:r>
          </w:p>
        </w:tc>
      </w:tr>
    </w:tbl>
    <w:p w14:paraId="3C05735A">
      <w:pPr>
        <w:pBdr/>
        <w:shd w:val="nil" w:color="000000"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9A231DB">
      <w:pPr>
        <w:pBdr/>
        <w:shd w:val="nil" w:color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4. Elabora una comparativa entre las soluciones instaladas en servidores locales (On-Premise) frente a las soluciones basadas en la nube (Cloud).​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6E94CBE1">
      <w:pPr>
        <w:pBdr/>
        <w:shd w:val="nil" w:color="000000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14:ligatures w14:val="none"/>
        </w:rPr>
        <w:t xml:space="preserve">Las soluciones Cloud est</w:t>
      </w:r>
      <w:r>
        <w:rPr>
          <w14:ligatures w14:val="none"/>
        </w:rPr>
        <w:t xml:space="preserve">án bien para pequeñas o medianas empresas que necesit</w:t>
      </w:r>
      <w:r>
        <w:rPr>
          <w14:ligatures w14:val="none"/>
        </w:rPr>
        <w:t xml:space="preserve">an sistemas funcionales sin tener que comprar servidores y contratar a alguien para que los monte y programe la infraestrucutra. Las soluciones cloud te ofrecen todo lo que te da el on-premise sin las complicaciones que trae el on-premise, ofreciendo tambi</w:t>
      </w:r>
      <w:r>
        <w:rPr>
          <w14:ligatures w14:val="none"/>
        </w:rPr>
        <w:t xml:space="preserve">én soporte t</w:t>
      </w:r>
      <w:r>
        <w:rPr>
          <w14:ligatures w14:val="none"/>
        </w:rPr>
        <w:t xml:space="preserve">écnico. Todo esto a cambio de pagar una mensualidad y/o licencias de usuario. Tambi</w:t>
      </w:r>
      <w:r>
        <w:rPr>
          <w14:ligatures w14:val="none"/>
        </w:rPr>
        <w:t xml:space="preserve">én es necesario estar conectado a internet para poder acceder a este servicio.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08278C1">
      <w:pPr>
        <w:pBdr/>
        <w:shd w:val="nil" w:color="000000"/>
        <w:spacing/>
        <w:ind/>
        <w:rPr>
          <w14:ligatures w14:val="none"/>
        </w:rPr>
      </w:pPr>
      <w:r>
        <w:rPr>
          <w:highlight w:val="none"/>
          <w14:ligatures w14:val="none"/>
        </w:rPr>
        <w:t xml:space="preserve">Por otro lado el on-premise es para aquellas grandes empresas que pueden costearse montar servidores y mantenerlos por ellos mismos, teniendo mayor control sobre los datos sin delegarlo a terceros y as</w:t>
      </w:r>
      <w:r>
        <w:rPr>
          <w:highlight w:val="none"/>
          <w14:ligatures w14:val="none"/>
        </w:rPr>
        <w:t xml:space="preserve">í pudiendo evitar problemas de seguridad</w:t>
      </w:r>
      <w:r>
        <w:rPr>
          <w:highlight w:val="none"/>
          <w14:ligatures w14:val="none"/>
        </w:rPr>
        <w:t xml:space="preserve">.</w:t>
      </w:r>
      <w:r>
        <w:rPr>
          <w14:ligatures w14:val="none"/>
        </w:rPr>
      </w:r>
      <w:r>
        <w:rPr>
          <w14:ligatures w14:val="none"/>
        </w:rPr>
      </w:r>
    </w:p>
    <w:p w14:paraId="500E6E0D">
      <w:pPr>
        <w:pBdr/>
        <w:shd w:val="nil" w:color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5. ¿Que diferencia hay entre un Data Warehouse y un Data Lake? Pon ejemplos de ambos.​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38E35042">
      <w:pPr>
        <w:pBdr/>
        <w:shd w:val="nil" w:color="000000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  <w:t xml:space="preserve">El data Warehouse es un repositorio unificado y estructurado con datos orientados a analisis mientras que el data lake es un conjunto masivo de datos, cada uno es su formato propio tanto estructurado como no estructurado.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sectPr>
      <w:footnotePr/>
      <w:endnotePr/>
      <w:type w:val="nextPage"/>
      <w:pgSz w:h="16838" w:orient="portrait" w:w="11906"/>
      <w:pgMar w:top="1440" w:right="1083" w:bottom="1440" w:left="1083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2026-10-01T15:38:42Z</dcterms:modified>
</cp:coreProperties>
</file>