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0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Лабораторная работа №7. Итоговый отчёт о тестировании в соответствии со стандартом ISTQB</w:t>
      </w: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Вариант 16. Тема: «Управление доставкой»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 Идентификация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D9E2F3" w:color="auto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6000"/>
            <w:shd w:fill="D9E2F3" w:color="auto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type="dxa" w:w="3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Название проекта</w:t>
            </w:r>
          </w:p>
        </w:tc>
        <w:tc>
          <w:tcPr>
            <w:tcW w:type="dxa" w:w="6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LABA1 — «Управление доставкой»</w:t>
            </w:r>
          </w:p>
        </w:tc>
      </w:tr>
      <w:tr>
        <w:tc>
          <w:tcPr>
            <w:tcW w:type="dxa" w:w="3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Версия ПО</w:t>
            </w:r>
          </w:p>
        </w:tc>
        <w:tc>
          <w:tcPr>
            <w:tcW w:type="dxa" w:w="6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3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Тип тестирования</w:t>
            </w:r>
          </w:p>
        </w:tc>
        <w:tc>
          <w:tcPr>
            <w:tcW w:type="dxa" w:w="6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Модульное, функциональное ручное, UI-автоматизация</w:t>
            </w:r>
          </w:p>
        </w:tc>
      </w:tr>
    </w:tbl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 Охват тестирования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600"/>
        <w:gridCol w:w="1900"/>
      </w:tblGrid>
      <w:tr>
        <w:trPr>
          <w:tblHeader/>
        </w:trPr>
        <w:tc>
          <w:tcPr>
            <w:tcW w:type="dxa" w:w="4500"/>
            <w:shd w:fill="D9E2F3" w:color="auto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2600"/>
            <w:shd w:fill="D9E2F3" w:color="auto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Тест-кейсы</w:t>
            </w:r>
          </w:p>
        </w:tc>
        <w:tc>
          <w:tcPr>
            <w:tcW w:type="dxa" w:w="1900"/>
            <w:shd w:fill="D9E2F3" w:color="auto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Охват</w:t>
            </w:r>
          </w:p>
        </w:tc>
      </w:tr>
      <w:tr>
        <w:tc>
          <w:tcPr>
            <w:tcW w:type="dxa" w:w="45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Добавление доставки</w:t>
            </w:r>
          </w:p>
        </w:tc>
        <w:tc>
          <w:tcPr>
            <w:tcW w:type="dxa" w:w="26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9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45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Удаление доставки</w:t>
            </w:r>
          </w:p>
        </w:tc>
        <w:tc>
          <w:tcPr>
            <w:tcW w:type="dxa" w:w="26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45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Обновление статуса</w:t>
            </w:r>
          </w:p>
        </w:tc>
        <w:tc>
          <w:tcPr>
            <w:tcW w:type="dxa" w:w="26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45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Редактирование доставки</w:t>
            </w:r>
          </w:p>
        </w:tc>
        <w:tc>
          <w:tcPr>
            <w:tcW w:type="dxa" w:w="26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19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100%</w:t>
            </w:r>
          </w:p>
        </w:tc>
      </w:tr>
    </w:tbl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F7F7F7" w:color="auto" w:val="clear"/>
        <w:spacing w:after="20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8"/>
          <w:szCs w:val="28"/>
        </w:rPr>
        <w:t xml:space="preserve">[ Место для скриншота: итоговый прогон всех тестов (модульных и UI) в Test Explorer ]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 Метрики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000"/>
      </w:tblGrid>
      <w:tr>
        <w:trPr>
          <w:tblHeader/>
        </w:trPr>
        <w:tc>
          <w:tcPr>
            <w:tcW w:type="dxa" w:w="3000"/>
            <w:shd w:fill="D9E2F3" w:color="auto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Категория тестов</w:t>
            </w:r>
          </w:p>
        </w:tc>
        <w:tc>
          <w:tcPr>
            <w:tcW w:type="dxa" w:w="2000"/>
            <w:shd w:fill="D9E2F3" w:color="auto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Всего</w:t>
            </w:r>
          </w:p>
        </w:tc>
        <w:tc>
          <w:tcPr>
            <w:tcW w:type="dxa" w:w="2000"/>
            <w:shd w:fill="D9E2F3" w:color="auto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Passed</w:t>
            </w:r>
          </w:p>
        </w:tc>
        <w:tc>
          <w:tcPr>
            <w:tcW w:type="dxa" w:w="2000"/>
            <w:shd w:fill="D9E2F3" w:color="auto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Failed</w:t>
            </w:r>
          </w:p>
        </w:tc>
      </w:tr>
      <w:tr>
        <w:tc>
          <w:tcPr>
            <w:tcW w:type="dxa" w:w="3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Модульные тесты</w:t>
            </w:r>
          </w:p>
        </w:tc>
        <w:tc>
          <w:tcPr>
            <w:tcW w:type="dxa" w:w="2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Функциональные (ручные)</w:t>
            </w:r>
          </w:p>
        </w:tc>
        <w:tc>
          <w:tcPr>
            <w:tcW w:type="dxa" w:w="2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UI-автотесты</w:t>
            </w:r>
          </w:p>
        </w:tc>
        <w:tc>
          <w:tcPr>
            <w:tcW w:type="dxa" w:w="2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W w:type="dxa" w:w="2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W w:type="dxa" w:w="20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</w:tr>
    </w:tbl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 Оценка дефектов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300"/>
        <w:gridCol w:w="1300"/>
        <w:gridCol w:w="1200"/>
      </w:tblGrid>
      <w:tr>
        <w:trPr>
          <w:tblHeader/>
        </w:trPr>
        <w:tc>
          <w:tcPr>
            <w:tcW w:type="dxa" w:w="1200"/>
            <w:shd w:fill="D9E2F3" w:color="auto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5300"/>
            <w:shd w:fill="D9E2F3" w:color="auto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Описание</w:t>
            </w:r>
          </w:p>
        </w:tc>
        <w:tc>
          <w:tcPr>
            <w:tcW w:type="dxa" w:w="1300"/>
            <w:shd w:fill="D9E2F3" w:color="auto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Severity</w:t>
            </w:r>
          </w:p>
        </w:tc>
        <w:tc>
          <w:tcPr>
            <w:tcW w:type="dxa" w:w="1200"/>
            <w:shd w:fill="D9E2F3" w:color="auto" w:val="clea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Статус</w:t>
            </w:r>
          </w:p>
        </w:tc>
      </w:tr>
      <w:tr>
        <w:tc>
          <w:tcPr>
            <w:tcW w:type="dxa" w:w="12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DEF-001</w:t>
            </w:r>
          </w:p>
        </w:tc>
        <w:tc>
          <w:tcPr>
            <w:tcW w:type="dxa" w:w="53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Кнопки «Удалить» и «Обновить статус» не работали</w:t>
            </w:r>
          </w:p>
        </w:tc>
        <w:tc>
          <w:tcPr>
            <w:tcW w:type="dxa" w:w="13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Major</w:t>
            </w:r>
          </w:p>
        </w:tc>
        <w:tc>
          <w:tcPr>
            <w:tcW w:type="dxa" w:w="12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Closed (лаб. №4)</w:t>
            </w:r>
          </w:p>
        </w:tc>
      </w:tr>
      <w:tr>
        <w:tc>
          <w:tcPr>
            <w:tcW w:type="dxa" w:w="12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DEF-002</w:t>
            </w:r>
          </w:p>
        </w:tc>
        <w:tc>
          <w:tcPr>
            <w:tcW w:type="dxa" w:w="53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Дата доставки в прошлом принималась без ошибки</w:t>
            </w:r>
          </w:p>
        </w:tc>
        <w:tc>
          <w:tcPr>
            <w:tcW w:type="dxa" w:w="13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Minor</w:t>
            </w:r>
          </w:p>
        </w:tc>
        <w:tc>
          <w:tcPr>
            <w:tcW w:type="dxa" w:w="12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Closed (лаб. №4)</w:t>
            </w:r>
          </w:p>
        </w:tc>
      </w:tr>
    </w:tbl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F7F7F7" w:color="auto" w:val="clear"/>
        <w:spacing w:after="20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28"/>
          <w:szCs w:val="28"/>
        </w:rPr>
        <w:t xml:space="preserve">[ Место для скриншота: работающее приложение «Управление доставкой» после всех исправлений ]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5. Выводы и рекомендации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Все основные функции приложения работают корректно.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100% тестов пройдены успешно после исправлений.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Рекомендуется добавить подтверждение перед удалением доставки.</w:t>
      </w:r>
    </w:p>
    <w:p>
      <w:pPr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</w:p>
    <w:p>
      <w:pPr>
        <w:spacing w:after="120"/>
      </w:pPr>
      <w:r>
        <w:rPr>
          <w:rFonts w:ascii="Times New Roman" w:cs="Times New Roman" w:eastAsia="Times New Roman" w:hAnsi="Times New Roman"/>
          <w:color w:val="000000"/>
          <w:sz w:val="28"/>
          <w:szCs w:val="28"/>
        </w:rPr>
        <w:t xml:space="preserve">Приложение «Управление доставкой» соответствует функциональным требованиям и готово к сдаче.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2026-07-07T18:55:24.613Z</dcterms:created>
  <dcterms:modified xsi:type="dcterms:W3CDTF">2026-07-07T18:55:24.613Z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