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b/>
        </w:rPr>
        <w:t>M3 Database Design Deliverables</w:t>
      </w:r>
    </w:p>
    <w:p>
      <w:pPr>
        <w:jc w:val="center"/>
      </w:pPr>
      <w:r>
        <w:rPr>
          <w:i/>
          <w:sz w:val="21"/>
        </w:rPr>
        <w:t>Specialist Consultation Booking System</w:t>
        <w:br/>
        <w:t>Slot + Booking Module</w:t>
        <w:br/>
        <w:t>Submission-ready explanation for Part B</w:t>
      </w:r>
    </w:p>
    <w:p>
      <w:r>
        <w:rPr>
          <w:b/>
        </w:rPr>
        <w:t xml:space="preserve">Purpose: </w:t>
      </w:r>
      <w:r>
        <w:t>This document explains the final database design decisions for M3, based on the team PBIs from M2, M3, M4 and M6. It also clarifies the SQL schema, entity design and repository logic so the implementation can be defended during review.</w:t>
      </w:r>
    </w:p>
    <w:p>
      <w:pPr>
        <w:pStyle w:val="Heading1"/>
      </w:pPr>
      <w:r>
        <w:t>1. Final deliverables included</w:t>
      </w:r>
    </w:p>
    <w:p>
      <w:pPr>
        <w:ind w:left="360" w:hanging="259"/>
      </w:pPr>
      <w:r>
        <w:t>• schema.sql - merged SQL schema aligned with M2 and extended for M3 booking logic</w:t>
      </w:r>
    </w:p>
    <w:p>
      <w:pPr>
        <w:ind w:left="360" w:hanging="259"/>
      </w:pPr>
      <w:r>
        <w:t>• Slot.java - JPA entity for specialist time slots</w:t>
      </w:r>
    </w:p>
    <w:p>
      <w:pPr>
        <w:ind w:left="360" w:hanging="259"/>
      </w:pPr>
      <w:r>
        <w:t>• Booking.java - JPA entity for bookings and linked slots</w:t>
      </w:r>
    </w:p>
    <w:p>
      <w:pPr>
        <w:ind w:left="360" w:hanging="259"/>
      </w:pPr>
      <w:r>
        <w:t>• SlotRepository.java - data access interface for slot queries</w:t>
      </w:r>
    </w:p>
    <w:p>
      <w:pPr>
        <w:ind w:left="360" w:hanging="259"/>
      </w:pPr>
      <w:r>
        <w:t>• BookingRepository.java - data access interface for booking queries</w:t>
      </w:r>
    </w:p>
    <w:p>
      <w:pPr>
        <w:ind w:left="360" w:hanging="259"/>
      </w:pPr>
      <w:r>
        <w:t>• SlotStatus.java and BookingStatus.java - enum files for stable status values</w:t>
      </w:r>
    </w:p>
    <w:p>
      <w:pPr>
        <w:pStyle w:val="Heading1"/>
      </w:pPr>
      <w:r>
        <w:t>2. Core design decisions and why they are correct</w:t>
      </w:r>
    </w:p>
    <w:p>
      <w:pPr>
        <w:pStyle w:val="Heading2"/>
      </w:pPr>
      <w:r>
        <w:t>Use users instead of User as the table name</w:t>
      </w:r>
    </w:p>
    <w:p>
      <w:r>
        <w:t>The table name User can conflict with reserved words or built-in objects in some SQL environments. Using users is safer, more portable, and easier to maintain. The same plural naming pattern is applied to specialists, slots, bookings and booking_slots.</w:t>
      </w:r>
    </w:p>
    <w:p>
      <w:pPr>
        <w:pStyle w:val="Heading2"/>
      </w:pPr>
      <w:r>
        <w:t>Store fee on specialists, but persist total_fee on bookings</w:t>
      </w:r>
    </w:p>
    <w:p>
      <w:r>
        <w:t>The PBIs show that the specialist profile contains the service fee, while the booking form must display a read-only fee before submission. Therefore the specialist keeps the source price, and the booking stores the final calculated amount at submission time. This prevents old bookings from changing when the specialist updates their future price.</w:t>
      </w:r>
    </w:p>
    <w:p>
      <w:pPr>
        <w:pStyle w:val="Heading2"/>
      </w:pPr>
      <w:r>
        <w:t>Separate slot availability from booking lifecycle</w:t>
      </w:r>
    </w:p>
    <w:p>
      <w:r>
        <w:t>A slot only needs to know whether it is available for selection. The booking record is responsible for workflow states such as Pending, Confirmed, Rejected, Cancelled and Completed. This separation keeps the schema clean and matches the module boundaries.</w:t>
      </w:r>
    </w:p>
    <w:p>
      <w:pPr>
        <w:pStyle w:val="Heading2"/>
      </w:pPr>
      <w:r>
        <w:t>Add a booking_slots junction table</w:t>
      </w:r>
    </w:p>
    <w:p>
      <w:r>
        <w:t>M4 allows a customer to select one or several consecutive slots in the same day. A single foreign key slot_id inside bookings would not support this cleanly. Therefore a many-to-many link table is introduced so one booking can contain multiple slots while each slot can still be protected from double-booking through a unique constraint on slot_id in booking_slots.</w:t>
      </w:r>
    </w:p>
    <w:p>
      <w:pPr>
        <w:pStyle w:val="Heading2"/>
      </w:pPr>
      <w:r>
        <w:t>Keep both customer_id and specialist_id on bookings</w:t>
      </w:r>
    </w:p>
    <w:p>
      <w:r>
        <w:t>Although the specialist could be inferred through the selected slots, storing specialist_id directly makes dashboard display, lifecycle actions, filtering and admin monitoring much simpler and more efficient.</w:t>
      </w:r>
    </w:p>
    <w:p>
      <w:pPr>
        <w:pStyle w:val="Heading1"/>
      </w:pPr>
      <w:r>
        <w:t>3. Final table structure overview</w:t>
      </w:r>
    </w:p>
    <w:tbl>
      <w:tblPr>
        <w:tblStyle w:val="TableGrid"/>
        <w:tblW w:type="auto" w:w="0"/>
        <w:jc w:val="center"/>
        <w:tblLook w:firstColumn="1" w:firstRow="1" w:lastColumn="0" w:lastRow="0" w:noHBand="0" w:noVBand="1" w:val="04A0"/>
      </w:tblPr>
      <w:tblGrid>
        <w:gridCol w:w="4968"/>
        <w:gridCol w:w="4968"/>
      </w:tblGrid>
      <w:tr>
        <w:tc>
          <w:tcPr>
            <w:tcW w:type="dxa" w:w="2268"/>
            <w:shd w:fill="D9EAF7"/>
            <w:vAlign w:val="center"/>
          </w:tcPr>
          <w:p>
            <w:r>
              <w:t>Table</w:t>
            </w:r>
          </w:p>
        </w:tc>
        <w:tc>
          <w:tcPr>
            <w:tcW w:type="dxa" w:w="6236"/>
            <w:shd w:fill="D9EAF7"/>
            <w:vAlign w:val="center"/>
          </w:tcPr>
          <w:p>
            <w:r>
              <w:t>Purpose</w:t>
            </w:r>
          </w:p>
        </w:tc>
      </w:tr>
      <w:tr>
        <w:tc>
          <w:tcPr>
            <w:tcW w:type="dxa" w:w="2268"/>
          </w:tcPr>
          <w:p>
            <w:r>
              <w:t>users</w:t>
            </w:r>
          </w:p>
        </w:tc>
        <w:tc>
          <w:tcPr>
            <w:tcW w:type="dxa" w:w="6236"/>
          </w:tcPr>
          <w:p>
            <w:r>
              <w:t>Stores all authenticated accounts. Used by M2 and referenced by bookings.customer_id.</w:t>
            </w:r>
          </w:p>
        </w:tc>
      </w:tr>
      <w:tr>
        <w:tc>
          <w:tcPr>
            <w:tcW w:type="dxa" w:w="2268"/>
          </w:tcPr>
          <w:p>
            <w:r>
              <w:t>specialists</w:t>
            </w:r>
          </w:p>
        </w:tc>
        <w:tc>
          <w:tcPr>
            <w:tcW w:type="dxa" w:w="6236"/>
          </w:tcPr>
          <w:p>
            <w:r>
              <w:t>Stores approved specialist profile data and service fee. Used by slots.specialist_id and bookings.specialist_id.</w:t>
            </w:r>
          </w:p>
        </w:tc>
      </w:tr>
      <w:tr>
        <w:tc>
          <w:tcPr>
            <w:tcW w:type="dxa" w:w="2268"/>
          </w:tcPr>
          <w:p>
            <w:r>
              <w:t>slots</w:t>
            </w:r>
          </w:p>
        </w:tc>
        <w:tc>
          <w:tcPr>
            <w:tcW w:type="dxa" w:w="6236"/>
          </w:tcPr>
          <w:p>
            <w:r>
              <w:t>Stores each specialist time slot with date, start time, end time and availability status.</w:t>
            </w:r>
          </w:p>
        </w:tc>
      </w:tr>
      <w:tr>
        <w:tc>
          <w:tcPr>
            <w:tcW w:type="dxa" w:w="2268"/>
          </w:tcPr>
          <w:p>
            <w:r>
              <w:t>bookings</w:t>
            </w:r>
          </w:p>
        </w:tc>
        <w:tc>
          <w:tcPr>
            <w:tcW w:type="dxa" w:w="6236"/>
          </w:tcPr>
          <w:p>
            <w:r>
              <w:t>Stores booking form data, final fee snapshot and lifecycle status.</w:t>
            </w:r>
          </w:p>
        </w:tc>
      </w:tr>
      <w:tr>
        <w:tc>
          <w:tcPr>
            <w:tcW w:type="dxa" w:w="2268"/>
          </w:tcPr>
          <w:p>
            <w:r>
              <w:t>booking_slots</w:t>
            </w:r>
          </w:p>
        </w:tc>
        <w:tc>
          <w:tcPr>
            <w:tcW w:type="dxa" w:w="6236"/>
          </w:tcPr>
          <w:p>
            <w:r>
              <w:t>Stores the relationship between one booking and one or more selected slots.</w:t>
            </w:r>
          </w:p>
        </w:tc>
      </w:tr>
    </w:tbl>
    <w:p>
      <w:pPr>
        <w:pStyle w:val="Heading1"/>
      </w:pPr>
      <w:r>
        <w:t>4. Field-level explanation for M3 tables</w:t>
      </w:r>
    </w:p>
    <w:p>
      <w:pPr>
        <w:pStyle w:val="Heading2"/>
      </w:pPr>
      <w:r>
        <w:t>4.1 slots table</w:t>
      </w:r>
    </w:p>
    <w:tbl>
      <w:tblPr>
        <w:tblStyle w:val="TableGrid"/>
        <w:tblW w:type="auto" w:w="0"/>
        <w:jc w:val="center"/>
        <w:tblLook w:firstColumn="1" w:firstRow="1" w:lastColumn="0" w:lastRow="0" w:noHBand="0" w:noVBand="1" w:val="04A0"/>
      </w:tblPr>
      <w:tblGrid>
        <w:gridCol w:w="4968"/>
        <w:gridCol w:w="4968"/>
      </w:tblGrid>
      <w:tr>
        <w:tc>
          <w:tcPr>
            <w:tcW w:type="dxa" w:w="4968"/>
            <w:shd w:fill="EAF2F8"/>
          </w:tcPr>
          <w:p>
            <w:r>
              <w:t>Field</w:t>
            </w:r>
          </w:p>
        </w:tc>
        <w:tc>
          <w:tcPr>
            <w:tcW w:type="dxa" w:w="4968"/>
            <w:shd w:fill="EAF2F8"/>
          </w:tcPr>
          <w:p>
            <w:r>
              <w:t>Reason</w:t>
            </w:r>
          </w:p>
        </w:tc>
      </w:tr>
      <w:tr>
        <w:tc>
          <w:tcPr>
            <w:tcW w:type="dxa" w:w="4968"/>
          </w:tcPr>
          <w:p>
            <w:r>
              <w:t>id</w:t>
            </w:r>
          </w:p>
        </w:tc>
        <w:tc>
          <w:tcPr>
            <w:tcW w:type="dxa" w:w="4968"/>
          </w:tcPr>
          <w:p>
            <w:r>
              <w:t>Primary key for slot records.</w:t>
            </w:r>
          </w:p>
        </w:tc>
      </w:tr>
      <w:tr>
        <w:tc>
          <w:tcPr>
            <w:tcW w:type="dxa" w:w="4968"/>
          </w:tcPr>
          <w:p>
            <w:r>
              <w:t>specialist_id</w:t>
            </w:r>
          </w:p>
        </w:tc>
        <w:tc>
          <w:tcPr>
            <w:tcW w:type="dxa" w:w="4968"/>
          </w:tcPr>
          <w:p>
            <w:r>
              <w:t>Foreign key to specialists.id. Every slot belongs to exactly one specialist.</w:t>
            </w:r>
          </w:p>
        </w:tc>
      </w:tr>
      <w:tr>
        <w:tc>
          <w:tcPr>
            <w:tcW w:type="dxa" w:w="4968"/>
          </w:tcPr>
          <w:p>
            <w:r>
              <w:t>slot_date</w:t>
            </w:r>
          </w:p>
        </w:tc>
        <w:tc>
          <w:tcPr>
            <w:tcW w:type="dxa" w:w="4968"/>
          </w:tcPr>
          <w:p>
            <w:r>
              <w:t>Stores the consultation date selected during slot creation.</w:t>
            </w:r>
          </w:p>
        </w:tc>
      </w:tr>
      <w:tr>
        <w:tc>
          <w:tcPr>
            <w:tcW w:type="dxa" w:w="4968"/>
          </w:tcPr>
          <w:p>
            <w:r>
              <w:t>start_time</w:t>
            </w:r>
          </w:p>
        </w:tc>
        <w:tc>
          <w:tcPr>
            <w:tcW w:type="dxa" w:w="4968"/>
          </w:tcPr>
          <w:p>
            <w:r>
              <w:t>Stores the starting time of the slot.</w:t>
            </w:r>
          </w:p>
        </w:tc>
      </w:tr>
      <w:tr>
        <w:tc>
          <w:tcPr>
            <w:tcW w:type="dxa" w:w="4968"/>
          </w:tcPr>
          <w:p>
            <w:r>
              <w:t>end_time</w:t>
            </w:r>
          </w:p>
        </w:tc>
        <w:tc>
          <w:tcPr>
            <w:tcW w:type="dxa" w:w="4968"/>
          </w:tcPr>
          <w:p>
            <w:r>
              <w:t>Stores the ending time of the slot. A check constraint enforces end_time &gt; start_time.</w:t>
            </w:r>
          </w:p>
        </w:tc>
      </w:tr>
      <w:tr>
        <w:tc>
          <w:tcPr>
            <w:tcW w:type="dxa" w:w="4968"/>
          </w:tcPr>
          <w:p>
            <w:r>
              <w:t>status</w:t>
            </w:r>
          </w:p>
        </w:tc>
        <w:tc>
          <w:tcPr>
            <w:tcW w:type="dxa" w:w="4968"/>
          </w:tcPr>
          <w:p>
            <w:r>
              <w:t>Stores AVAILABLE or UNAVAILABLE so schedule inventory remains separate from booking workflow.</w:t>
            </w:r>
          </w:p>
        </w:tc>
      </w:tr>
      <w:tr>
        <w:tc>
          <w:tcPr>
            <w:tcW w:type="dxa" w:w="4968"/>
          </w:tcPr>
          <w:p>
            <w:r>
              <w:t>created_at</w:t>
            </w:r>
          </w:p>
        </w:tc>
        <w:tc>
          <w:tcPr>
            <w:tcW w:type="dxa" w:w="4968"/>
          </w:tcPr>
          <w:p>
            <w:r>
              <w:t>Audit timestamp for creation.</w:t>
            </w:r>
          </w:p>
        </w:tc>
      </w:tr>
      <w:tr>
        <w:tc>
          <w:tcPr>
            <w:tcW w:type="dxa" w:w="4968"/>
          </w:tcPr>
          <w:p>
            <w:r>
              <w:t>updated_at</w:t>
            </w:r>
          </w:p>
        </w:tc>
        <w:tc>
          <w:tcPr>
            <w:tcW w:type="dxa" w:w="4968"/>
          </w:tcPr>
          <w:p>
            <w:r>
              <w:t>Audit timestamp for latest update, useful when a slot is marked unavailable later.</w:t>
            </w:r>
          </w:p>
        </w:tc>
      </w:tr>
    </w:tbl>
    <w:p>
      <w:pPr>
        <w:pStyle w:val="Heading2"/>
      </w:pPr>
      <w:r>
        <w:t>4.2 bookings table</w:t>
      </w:r>
    </w:p>
    <w:tbl>
      <w:tblPr>
        <w:tblStyle w:val="TableGrid"/>
        <w:tblW w:type="auto" w:w="0"/>
        <w:jc w:val="center"/>
        <w:tblLook w:firstColumn="1" w:firstRow="1" w:lastColumn="0" w:lastRow="0" w:noHBand="0" w:noVBand="1" w:val="04A0"/>
      </w:tblPr>
      <w:tblGrid>
        <w:gridCol w:w="4968"/>
        <w:gridCol w:w="4968"/>
      </w:tblGrid>
      <w:tr>
        <w:tc>
          <w:tcPr>
            <w:tcW w:type="dxa" w:w="4968"/>
            <w:shd w:fill="EAF2F8"/>
          </w:tcPr>
          <w:p>
            <w:r>
              <w:t>Field</w:t>
            </w:r>
          </w:p>
        </w:tc>
        <w:tc>
          <w:tcPr>
            <w:tcW w:type="dxa" w:w="4968"/>
            <w:shd w:fill="EAF2F8"/>
          </w:tcPr>
          <w:p>
            <w:r>
              <w:t>Reason</w:t>
            </w:r>
          </w:p>
        </w:tc>
      </w:tr>
      <w:tr>
        <w:tc>
          <w:tcPr>
            <w:tcW w:type="dxa" w:w="4968"/>
          </w:tcPr>
          <w:p>
            <w:r>
              <w:t>id</w:t>
            </w:r>
          </w:p>
        </w:tc>
        <w:tc>
          <w:tcPr>
            <w:tcW w:type="dxa" w:w="4968"/>
          </w:tcPr>
          <w:p>
            <w:r>
              <w:t>Primary key for booking records.</w:t>
            </w:r>
          </w:p>
        </w:tc>
      </w:tr>
      <w:tr>
        <w:tc>
          <w:tcPr>
            <w:tcW w:type="dxa" w:w="4968"/>
          </w:tcPr>
          <w:p>
            <w:r>
              <w:t>customer_id</w:t>
            </w:r>
          </w:p>
        </w:tc>
        <w:tc>
          <w:tcPr>
            <w:tcW w:type="dxa" w:w="4968"/>
          </w:tcPr>
          <w:p>
            <w:r>
              <w:t>Foreign key to users.id. The booking is submitted by a customer account.</w:t>
            </w:r>
          </w:p>
        </w:tc>
      </w:tr>
      <w:tr>
        <w:tc>
          <w:tcPr>
            <w:tcW w:type="dxa" w:w="4968"/>
          </w:tcPr>
          <w:p>
            <w:r>
              <w:t>specialist_id</w:t>
            </w:r>
          </w:p>
        </w:tc>
        <w:tc>
          <w:tcPr>
            <w:tcW w:type="dxa" w:w="4968"/>
          </w:tcPr>
          <w:p>
            <w:r>
              <w:t>Foreign key to specialists.id. The booking targets one specialist.</w:t>
            </w:r>
          </w:p>
        </w:tc>
      </w:tr>
      <w:tr>
        <w:tc>
          <w:tcPr>
            <w:tcW w:type="dxa" w:w="4968"/>
          </w:tcPr>
          <w:p>
            <w:r>
              <w:t>contact</w:t>
            </w:r>
          </w:p>
        </w:tc>
        <w:tc>
          <w:tcPr>
            <w:tcW w:type="dxa" w:w="4968"/>
          </w:tcPr>
          <w:p>
            <w:r>
              <w:t>Mandatory booking form field. Stored as a snapshot because the customer may edit their profile later.</w:t>
            </w:r>
          </w:p>
        </w:tc>
      </w:tr>
      <w:tr>
        <w:tc>
          <w:tcPr>
            <w:tcW w:type="dxa" w:w="4968"/>
          </w:tcPr>
          <w:p>
            <w:r>
              <w:t>topic</w:t>
            </w:r>
          </w:p>
        </w:tc>
        <w:tc>
          <w:tcPr>
            <w:tcW w:type="dxa" w:w="4968"/>
          </w:tcPr>
          <w:p>
            <w:r>
              <w:t>Optional form field with a maximum length of 100 characters.</w:t>
            </w:r>
          </w:p>
        </w:tc>
      </w:tr>
      <w:tr>
        <w:tc>
          <w:tcPr>
            <w:tcW w:type="dxa" w:w="4968"/>
          </w:tcPr>
          <w:p>
            <w:r>
              <w:t>notes</w:t>
            </w:r>
          </w:p>
        </w:tc>
        <w:tc>
          <w:tcPr>
            <w:tcW w:type="dxa" w:w="4968"/>
          </w:tcPr>
          <w:p>
            <w:r>
              <w:t>Optional form field with a maximum length of 500 characters.</w:t>
            </w:r>
          </w:p>
        </w:tc>
      </w:tr>
      <w:tr>
        <w:tc>
          <w:tcPr>
            <w:tcW w:type="dxa" w:w="4968"/>
          </w:tcPr>
          <w:p>
            <w:r>
              <w:t>total_fee</w:t>
            </w:r>
          </w:p>
        </w:tc>
        <w:tc>
          <w:tcPr>
            <w:tcW w:type="dxa" w:w="4968"/>
          </w:tcPr>
          <w:p>
            <w:r>
              <w:t>Stores the final calculated fee shown at submission time.</w:t>
            </w:r>
          </w:p>
        </w:tc>
      </w:tr>
      <w:tr>
        <w:tc>
          <w:tcPr>
            <w:tcW w:type="dxa" w:w="4968"/>
          </w:tcPr>
          <w:p>
            <w:r>
              <w:t>status</w:t>
            </w:r>
          </w:p>
        </w:tc>
        <w:tc>
          <w:tcPr>
            <w:tcW w:type="dxa" w:w="4968"/>
          </w:tcPr>
          <w:p>
            <w:r>
              <w:t>Stores booking lifecycle states: PENDING, CONFIRMED, REJECTED, CANCELLED, COMPLETED.</w:t>
            </w:r>
          </w:p>
        </w:tc>
      </w:tr>
      <w:tr>
        <w:tc>
          <w:tcPr>
            <w:tcW w:type="dxa" w:w="4968"/>
          </w:tcPr>
          <w:p>
            <w:r>
              <w:t>created_at</w:t>
            </w:r>
          </w:p>
        </w:tc>
        <w:tc>
          <w:tcPr>
            <w:tcW w:type="dxa" w:w="4968"/>
          </w:tcPr>
          <w:p>
            <w:r>
              <w:t>Used to show newest bookings first on dashboards.</w:t>
            </w:r>
          </w:p>
        </w:tc>
      </w:tr>
      <w:tr>
        <w:tc>
          <w:tcPr>
            <w:tcW w:type="dxa" w:w="4968"/>
          </w:tcPr>
          <w:p>
            <w:r>
              <w:t>updated_at</w:t>
            </w:r>
          </w:p>
        </w:tc>
        <w:tc>
          <w:tcPr>
            <w:tcW w:type="dxa" w:w="4968"/>
          </w:tcPr>
          <w:p>
            <w:r>
              <w:t>Tracks lifecycle updates such as confirmation or cancellation.</w:t>
            </w:r>
          </w:p>
        </w:tc>
      </w:tr>
    </w:tbl>
    <w:p>
      <w:pPr>
        <w:pStyle w:val="Heading2"/>
      </w:pPr>
      <w:r>
        <w:t>4.3 booking_slots table</w:t>
      </w:r>
    </w:p>
    <w:p>
      <w:r>
        <w:t>This table exists because one booking may include several consecutive slots. The composite primary key (booking_id, slot_id) avoids duplicates, and the unique constraint on slot_id prevents the same slot from being assigned to more than one booking.</w:t>
      </w:r>
    </w:p>
    <w:p>
      <w:pPr>
        <w:pStyle w:val="Heading1"/>
      </w:pPr>
      <w:r>
        <w:t>5. Constraints and business rules implemented</w:t>
      </w:r>
    </w:p>
    <w:p>
      <w:pPr>
        <w:ind w:left="360" w:hanging="259"/>
      </w:pPr>
      <w:r>
        <w:t>• slots has a unique constraint on (specialist_id, slot_date, start_time, end_time) to prevent exact duplicate slots.</w:t>
      </w:r>
    </w:p>
    <w:p>
      <w:pPr>
        <w:ind w:left="360" w:hanging="259"/>
      </w:pPr>
      <w:r>
        <w:t>• slots has a check constraint end_time &gt; start_time.</w:t>
      </w:r>
    </w:p>
    <w:p>
      <w:pPr>
        <w:ind w:left="360" w:hanging="259"/>
      </w:pPr>
      <w:r>
        <w:t>• specialists.price_amount and bookings.total_fee both require non-negative values.</w:t>
      </w:r>
    </w:p>
    <w:p>
      <w:pPr>
        <w:ind w:left="360" w:hanging="259"/>
      </w:pPr>
      <w:r>
        <w:t>• booking_slots has a unique constraint on slot_id to prevent one slot from being booked twice.</w:t>
      </w:r>
    </w:p>
    <w:p>
      <w:pPr>
        <w:ind w:left="360" w:hanging="259"/>
      </w:pPr>
      <w:r>
        <w:t>• Overlapping slot prevention is handled in the service layer and supported by SlotRepository.existsOverlappingSlot(...).</w:t>
      </w:r>
    </w:p>
    <w:p>
      <w:pPr>
        <w:ind w:left="360" w:hanging="259"/>
      </w:pPr>
      <w:r>
        <w:t>• The minimum 30-minute duration and future-date validation are best enforced in the application layer because they depend on runtime logic and local date handling.</w:t>
      </w:r>
    </w:p>
    <w:p>
      <w:pPr>
        <w:pStyle w:val="Heading1"/>
      </w:pPr>
      <w:r>
        <w:t>6. Repository logic and how it supports the PBIs</w:t>
      </w:r>
    </w:p>
    <w:p>
      <w:pPr>
        <w:pStyle w:val="Heading2"/>
      </w:pPr>
      <w:r>
        <w:t>SlotRepository</w:t>
      </w:r>
    </w:p>
    <w:p>
      <w:r>
        <w:t>Provides queries to list a specialist's schedule, filter by date, filter by availability and check overlap before slot creation. This directly supports slot creation, schedule viewing and validation PBIs.</w:t>
      </w:r>
    </w:p>
    <w:p>
      <w:pPr>
        <w:pStyle w:val="Heading2"/>
      </w:pPr>
      <w:r>
        <w:t>BookingRepository</w:t>
      </w:r>
    </w:p>
    <w:p>
      <w:r>
        <w:t>Provides queries for customer dashboards, specialist booking management and status-based filtering. This supports viewing, tracking and lifecycle management use cases.</w:t>
      </w:r>
    </w:p>
    <w:p>
      <w:pPr>
        <w:pStyle w:val="Heading1"/>
      </w:pPr>
      <w:r>
        <w:t>7. What must be confirmed with M2 before final merge</w:t>
      </w:r>
    </w:p>
    <w:p>
      <w:pPr>
        <w:ind w:left="360" w:hanging="259"/>
      </w:pPr>
      <w:r>
        <w:t>• M2 must keep specialists.id as the foreign-key target for slots.specialist_id and bookings.specialist_id.</w:t>
      </w:r>
    </w:p>
    <w:p>
      <w:pPr>
        <w:ind w:left="360" w:hanging="259"/>
      </w:pPr>
      <w:r>
        <w:t>• M2 must keep users.id as the foreign-key target for bookings.customer_id.</w:t>
      </w:r>
    </w:p>
    <w:p>
      <w:pPr>
        <w:ind w:left="360" w:hanging="259"/>
      </w:pPr>
      <w:r>
        <w:t>• The team should agree that only specialists with ACTIVE status can be booked.</w:t>
      </w:r>
    </w:p>
    <w:p>
      <w:pPr>
        <w:ind w:left="360" w:hanging="259"/>
      </w:pPr>
      <w:r>
        <w:t>• The team should agree that fee is sourced from specialists.price_amount and copied to bookings.total_fee at submission time.</w:t>
      </w:r>
    </w:p>
    <w:p>
      <w:pPr>
        <w:ind w:left="360" w:hanging="259"/>
      </w:pPr>
      <w:r>
        <w:t>• M2 should provide User.java and Specialist.java entities using matching package names or the imports in Slot.java and Booking.java should be updated during merge.</w:t>
      </w:r>
    </w:p>
    <w:p>
      <w:pPr>
        <w:pStyle w:val="Heading1"/>
      </w:pPr>
      <w:r>
        <w:t>8. Suggested explanation to say during submission or review</w:t>
      </w:r>
    </w:p>
    <w:p>
      <w:r>
        <w:t>My module focuses on schedule inventory and booking persistence. I designed slots to manage specialist availability, and bookings to manage customer appointment requests. Because the booking PBIs allow consecutive multi-slot selection, I introduced booking_slots to keep the schema normalized and scalable. I also stored total_fee directly in bookings so historical records remain correct even if the specialist changes their future price. Finally, I separated slot availability from booking workflow status to keep the design aligned with the module boundaries and easier to maintain.</w:t>
      </w:r>
    </w:p>
    <w:p>
      <w:r>
        <w:rPr>
          <w:b/>
        </w:rPr>
        <w:t xml:space="preserve">Files delivered together with this document: </w:t>
      </w:r>
      <w:r>
        <w:t>schema.sql, Slot.java, Booking.java, SlotRepository.java, BookingRepository.java, SlotStatus.java, BookingStatus.java</w:t>
      </w:r>
    </w:p>
    <w:sectPr w:rsidR="00FC693F" w:rsidRPr="0006063C" w:rsidSect="00034616">
      <w:pgSz w:w="12240" w:h="15840"/>
      <w:pgMar w:top="1080" w:right="1152" w:bottom="1080"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Microsoft YaHe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eastAsia="Microsoft YaHei"/>
      <w:b/>
      <w:bCs/>
      <w:color w:val="1F4E79"/>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eastAsia="Microsoft YaHei"/>
      <w:b/>
      <w:bCs/>
      <w:color w:val="4472C4"/>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eastAsia="Microsoft YaHei"/>
      <w:b/>
      <w:color w:val="17365D" w:themeColor="text2" w:themeShade="BF"/>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