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m:oMathPara>
        <m:oMathParaPr/>
        <m:oMath>
          <m:sPre>
            <m:sPrePr>
              <m:ctrlPr/>
            </m:sPrePr>
            <m:sub>
              <m:r>
                <w:rPr>
                  <w:rFonts w:ascii="Cambria Math" w:hAnsi="Cambria Math" w:cs="Cambria Math" w:eastAsia="Cambria Math"/>
                </w:rPr>
                <m:rPr/>
                <m:t>1</m:t>
              </m:r>
            </m:sub>
            <m:sup>
              <m:r>
                <w:rPr>
                  <w:rFonts w:ascii="Cambria Math" w:hAnsi="Cambria Math" w:cs="Cambria Math" w:eastAsia="Cambria Math"/>
                </w:rPr>
                <m:rPr/>
                <m:t>n</m:t>
              </m:r>
            </m:sup>
            <m:e>
              <m:r>
                <w:rPr>
                  <w:rFonts w:ascii="Cambria Math" w:hAnsi="Cambria Math" w:cs="Cambria Math" w:eastAsia="Cambria Math"/>
                </w:rPr>
                <m:rPr/>
                <m:t>Y</m:t>
              </m:r>
            </m:e>
          </m:sPre>
        </m:oMath>
      </m:oMathPara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27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default="1" w:styleId="154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6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65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